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92911N104</w:t>
      </w:r>
    </w:p>
    <w:p>
      <w:pPr>
        <w:spacing w:after="0" w:line="3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January 27,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28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5428615"/>
                    </a:xfrm>
                    <a:prstGeom prst="rect">
                      <a:avLst/>
                    </a:prstGeom>
                    <a:noFill/>
                  </pic:spPr>
                </pic:pic>
              </a:graphicData>
            </a:graphic>
          </wp:anchor>
        </w:drawing>
        <w:t>CUSIP No. 92911N104</w:t>
      </w:r>
    </w:p>
    <w:p>
      <w:pPr>
        <w:spacing w:after="0" w:line="185" w:lineRule="exact"/>
        <w:rPr>
          <w:sz w:val="20"/>
          <w:szCs w:val="20"/>
          <w:color w:val="auto"/>
        </w:rPr>
      </w:pPr>
    </w:p>
    <w:p>
      <w:pPr>
        <w:ind w:left="22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22"/>
          <w:szCs w:val="22"/>
          <w:color w:val="auto"/>
        </w:rPr>
        <w:t>David Goldfarb</w:t>
      </w:r>
    </w:p>
    <w:p>
      <w:pPr>
        <w:spacing w:after="0" w:line="30" w:lineRule="exact"/>
        <w:rPr>
          <w:sz w:val="20"/>
          <w:szCs w:val="20"/>
          <w:color w:val="auto"/>
        </w:rPr>
      </w:pPr>
    </w:p>
    <w:p>
      <w:pPr>
        <w:ind w:left="560" w:hanging="34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178" w:lineRule="exact"/>
        <w:rPr>
          <w:rFonts w:ascii="Arial" w:cs="Arial" w:eastAsia="Arial" w:hAnsi="Arial"/>
          <w:sz w:val="18"/>
          <w:szCs w:val="18"/>
          <w:color w:val="auto"/>
        </w:rPr>
      </w:pPr>
    </w:p>
    <w:p>
      <w:pPr>
        <w:ind w:left="560" w:hanging="34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560" w:hanging="343"/>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9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USA</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99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9"/>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363,619</w:t>
            </w: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1"/>
              </w:rPr>
              <w:t>shares</w:t>
            </w:r>
          </w:p>
        </w:tc>
        <w:tc>
          <w:tcPr>
            <w:tcW w:w="40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2"/>
              </w:rPr>
              <w:t>beneficially</w:t>
            </w:r>
          </w:p>
        </w:tc>
        <w:tc>
          <w:tcPr>
            <w:tcW w:w="400" w:type="dxa"/>
            <w:vAlign w:val="bottom"/>
          </w:tcPr>
          <w:p>
            <w:pPr>
              <w:spacing w:after="0"/>
              <w:rPr>
                <w:sz w:val="20"/>
                <w:szCs w:val="20"/>
                <w:color w:val="auto"/>
              </w:rPr>
            </w:pPr>
          </w:p>
        </w:tc>
        <w:tc>
          <w:tcPr>
            <w:tcW w:w="9900" w:type="dxa"/>
            <w:vAlign w:val="bottom"/>
          </w:tcPr>
          <w:p>
            <w:pPr>
              <w:ind w:left="30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2"/>
        </w:trPr>
        <w:tc>
          <w:tcPr>
            <w:tcW w:w="92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0"/>
              </w:rPr>
              <w:t>owned by</w:t>
            </w:r>
          </w:p>
        </w:tc>
        <w:tc>
          <w:tcPr>
            <w:tcW w:w="400" w:type="dxa"/>
            <w:vAlign w:val="bottom"/>
            <w:tcBorders>
              <w:bottom w:val="single" w:sz="8" w:color="auto"/>
            </w:tcBorders>
          </w:tcPr>
          <w:p>
            <w:pPr>
              <w:spacing w:after="0"/>
              <w:rPr>
                <w:sz w:val="8"/>
                <w:szCs w:val="8"/>
                <w:color w:val="auto"/>
              </w:rPr>
            </w:pPr>
          </w:p>
        </w:tc>
        <w:tc>
          <w:tcPr>
            <w:tcW w:w="9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6"/>
              </w:rPr>
              <w:t>each</w:t>
            </w:r>
          </w:p>
        </w:tc>
        <w:tc>
          <w:tcPr>
            <w:tcW w:w="40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9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tcPr>
          <w:p>
            <w:pPr>
              <w:spacing w:after="0"/>
              <w:rPr>
                <w:sz w:val="18"/>
                <w:szCs w:val="18"/>
                <w:color w:val="auto"/>
              </w:rPr>
            </w:pPr>
          </w:p>
        </w:tc>
        <w:tc>
          <w:tcPr>
            <w:tcW w:w="9900" w:type="dxa"/>
            <w:vAlign w:val="bottom"/>
            <w:vMerge w:val="restart"/>
          </w:tcPr>
          <w:p>
            <w:pPr>
              <w:ind w:left="300"/>
              <w:spacing w:after="0"/>
              <w:rPr>
                <w:sz w:val="20"/>
                <w:szCs w:val="20"/>
                <w:color w:val="auto"/>
              </w:rPr>
            </w:pPr>
            <w:r>
              <w:rPr>
                <w:rFonts w:ascii="Arial" w:cs="Arial" w:eastAsia="Arial" w:hAnsi="Arial"/>
                <w:sz w:val="22"/>
                <w:szCs w:val="22"/>
                <w:color w:val="auto"/>
              </w:rPr>
              <w:t>363,619</w:t>
            </w:r>
          </w:p>
        </w:tc>
        <w:tc>
          <w:tcPr>
            <w:tcW w:w="0" w:type="dxa"/>
            <w:vAlign w:val="bottom"/>
          </w:tcPr>
          <w:p>
            <w:pPr>
              <w:spacing w:after="0"/>
              <w:rPr>
                <w:sz w:val="1"/>
                <w:szCs w:val="1"/>
                <w:color w:val="auto"/>
              </w:rPr>
            </w:pPr>
          </w:p>
        </w:tc>
      </w:tr>
      <w:tr>
        <w:trPr>
          <w:trHeight w:val="155"/>
        </w:trPr>
        <w:tc>
          <w:tcPr>
            <w:tcW w:w="920" w:type="dxa"/>
            <w:vAlign w:val="bottom"/>
          </w:tcPr>
          <w:p>
            <w:pPr>
              <w:jc w:val="center"/>
              <w:spacing w:after="0" w:line="151" w:lineRule="exact"/>
              <w:rPr>
                <w:sz w:val="20"/>
                <w:szCs w:val="20"/>
                <w:color w:val="auto"/>
              </w:rPr>
            </w:pPr>
            <w:r>
              <w:rPr>
                <w:rFonts w:ascii="Arial" w:cs="Arial" w:eastAsia="Arial" w:hAnsi="Arial"/>
                <w:sz w:val="16"/>
                <w:szCs w:val="16"/>
                <w:color w:val="auto"/>
                <w:w w:val="99"/>
              </w:rPr>
              <w:t>person with:</w:t>
            </w:r>
          </w:p>
        </w:tc>
        <w:tc>
          <w:tcPr>
            <w:tcW w:w="400" w:type="dxa"/>
            <w:vAlign w:val="bottom"/>
            <w:tcBorders>
              <w:bottom w:val="single" w:sz="8" w:color="auto"/>
            </w:tcBorders>
          </w:tcPr>
          <w:p>
            <w:pPr>
              <w:spacing w:after="0"/>
              <w:rPr>
                <w:sz w:val="13"/>
                <w:szCs w:val="13"/>
                <w:color w:val="auto"/>
              </w:rPr>
            </w:pPr>
          </w:p>
        </w:tc>
        <w:tc>
          <w:tcPr>
            <w:tcW w:w="9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99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0</w:t>
      </w:r>
    </w:p>
    <w:p>
      <w:pPr>
        <w:spacing w:after="0" w:line="30" w:lineRule="exact"/>
        <w:rPr>
          <w:sz w:val="20"/>
          <w:szCs w:val="20"/>
          <w:color w:val="auto"/>
        </w:rPr>
      </w:pPr>
    </w:p>
    <w:p>
      <w:pPr>
        <w:ind w:left="220"/>
        <w:spacing w:after="0"/>
        <w:tabs>
          <w:tab w:leader="none" w:pos="5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5"/>
          <w:szCs w:val="15"/>
          <w:color w:val="auto"/>
        </w:rPr>
        <w:t>Aggregate amount beneficially owned by each reporting person</w:t>
      </w:r>
    </w:p>
    <w:p>
      <w:pPr>
        <w:spacing w:after="0" w:line="19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363,619</w:t>
      </w:r>
    </w:p>
    <w:p>
      <w:pPr>
        <w:spacing w:after="0" w:line="30" w:lineRule="exact"/>
        <w:rPr>
          <w:sz w:val="20"/>
          <w:szCs w:val="20"/>
          <w:color w:val="auto"/>
        </w:rPr>
      </w:pPr>
    </w:p>
    <w:p>
      <w:pPr>
        <w:ind w:left="560" w:hanging="43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38" w:lineRule="exact"/>
        <w:rPr>
          <w:rFonts w:ascii="Arial" w:cs="Arial" w:eastAsia="Arial" w:hAnsi="Arial"/>
          <w:sz w:val="18"/>
          <w:szCs w:val="18"/>
          <w:color w:val="auto"/>
        </w:rPr>
      </w:pPr>
    </w:p>
    <w:p>
      <w:pPr>
        <w:ind w:left="560" w:hanging="43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9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6.5%</w:t>
      </w:r>
    </w:p>
    <w:p>
      <w:pPr>
        <w:spacing w:after="0" w:line="30"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9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IN</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color w:val="auto"/>
              </w:rPr>
              <w:t>(a)</w:t>
            </w:r>
          </w:p>
        </w:tc>
        <w:tc>
          <w:tcPr>
            <w:tcW w:w="4300" w:type="dxa"/>
            <w:vAlign w:val="bottom"/>
          </w:tcPr>
          <w:p>
            <w:pPr>
              <w:ind w:left="220"/>
              <w:spacing w:after="0"/>
              <w:rPr>
                <w:sz w:val="20"/>
                <w:szCs w:val="20"/>
                <w:color w:val="auto"/>
              </w:rPr>
            </w:pPr>
            <w:r>
              <w:rPr>
                <w:rFonts w:ascii="Arial" w:cs="Arial" w:eastAsia="Arial" w:hAnsi="Arial"/>
                <w:sz w:val="18"/>
                <w:szCs w:val="18"/>
                <w:color w:val="auto"/>
              </w:rPr>
              <w:t>Name of issuer:</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Vringo, Inc.</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00"/>
              <w:spacing w:after="0"/>
              <w:rPr>
                <w:sz w:val="20"/>
                <w:szCs w:val="20"/>
                <w:color w:val="auto"/>
              </w:rPr>
            </w:pPr>
            <w:r>
              <w:rPr>
                <w:rFonts w:ascii="Arial" w:cs="Arial" w:eastAsia="Arial" w:hAnsi="Arial"/>
                <w:sz w:val="18"/>
                <w:szCs w:val="18"/>
                <w:color w:val="auto"/>
              </w:rPr>
              <w:t>(b)</w:t>
            </w:r>
          </w:p>
        </w:tc>
        <w:tc>
          <w:tcPr>
            <w:tcW w:w="4300" w:type="dxa"/>
            <w:vAlign w:val="bottom"/>
          </w:tcPr>
          <w:p>
            <w:pPr>
              <w:ind w:left="220"/>
              <w:spacing w:after="0"/>
              <w:rPr>
                <w:sz w:val="20"/>
                <w:szCs w:val="20"/>
                <w:color w:val="auto"/>
              </w:rPr>
            </w:pPr>
            <w:r>
              <w:rPr>
                <w:rFonts w:ascii="Arial" w:cs="Arial" w:eastAsia="Arial" w:hAnsi="Arial"/>
                <w:sz w:val="18"/>
                <w:szCs w:val="18"/>
                <w:color w:val="auto"/>
              </w:rPr>
              <w:t>Address of issuer’s principal executive offices: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18 E. 16</w:t>
            </w:r>
            <w:r>
              <w:rPr>
                <w:rFonts w:ascii="Arial" w:cs="Arial" w:eastAsia="Arial" w:hAnsi="Arial"/>
                <w:sz w:val="11"/>
                <w:szCs w:val="11"/>
                <w:color w:val="auto"/>
              </w:rPr>
              <w:t>th</w:t>
            </w:r>
            <w:r>
              <w:rPr>
                <w:rFonts w:ascii="Arial" w:cs="Arial" w:eastAsia="Arial" w:hAnsi="Arial"/>
                <w:sz w:val="18"/>
                <w:szCs w:val="18"/>
                <w:color w:val="auto"/>
              </w:rPr>
              <w:t xml:space="preserve"> St., 7</w:t>
            </w:r>
            <w:r>
              <w:rPr>
                <w:rFonts w:ascii="Arial" w:cs="Arial" w:eastAsia="Arial" w:hAnsi="Arial"/>
                <w:sz w:val="11"/>
                <w:szCs w:val="11"/>
                <w:color w:val="auto"/>
              </w:rPr>
              <w:t>th</w:t>
            </w:r>
            <w:r>
              <w:rPr>
                <w:rFonts w:ascii="Arial" w:cs="Arial" w:eastAsia="Arial" w:hAnsi="Arial"/>
                <w:sz w:val="18"/>
                <w:szCs w:val="18"/>
                <w:color w:val="auto"/>
              </w:rPr>
              <w:t xml:space="preserve"> floor; New York NY 10003</w:t>
            </w: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2(a)</w:t>
            </w:r>
          </w:p>
        </w:tc>
        <w:tc>
          <w:tcPr>
            <w:tcW w:w="4300" w:type="dxa"/>
            <w:vAlign w:val="bottom"/>
          </w:tcPr>
          <w:p>
            <w:pPr>
              <w:ind w:left="220"/>
              <w:spacing w:after="0"/>
              <w:rPr>
                <w:sz w:val="20"/>
                <w:szCs w:val="20"/>
                <w:color w:val="auto"/>
              </w:rPr>
            </w:pPr>
            <w:r>
              <w:rPr>
                <w:rFonts w:ascii="Arial" w:cs="Arial" w:eastAsia="Arial" w:hAnsi="Arial"/>
                <w:sz w:val="18"/>
                <w:szCs w:val="18"/>
                <w:color w:val="auto"/>
              </w:rPr>
              <w:t>Name of person filing:</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David Goldfarb</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2(b)</w:t>
            </w:r>
          </w:p>
        </w:tc>
        <w:tc>
          <w:tcPr>
            <w:tcW w:w="4300" w:type="dxa"/>
            <w:vAlign w:val="bottom"/>
          </w:tcPr>
          <w:p>
            <w:pPr>
              <w:ind w:left="220"/>
              <w:spacing w:after="0"/>
              <w:rPr>
                <w:sz w:val="20"/>
                <w:szCs w:val="20"/>
                <w:color w:val="auto"/>
              </w:rPr>
            </w:pPr>
            <w:r>
              <w:rPr>
                <w:rFonts w:ascii="Arial" w:cs="Arial" w:eastAsia="Arial" w:hAnsi="Arial"/>
                <w:sz w:val="18"/>
                <w:szCs w:val="18"/>
                <w:color w:val="auto"/>
                <w:w w:val="88"/>
              </w:rPr>
              <w:t>Address or principal business office or, if none, residence:</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7 Hairis St.; Beit Shemesh Israel</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2(c)</w:t>
            </w:r>
          </w:p>
        </w:tc>
        <w:tc>
          <w:tcPr>
            <w:tcW w:w="4300" w:type="dxa"/>
            <w:vAlign w:val="bottom"/>
          </w:tcPr>
          <w:p>
            <w:pPr>
              <w:ind w:left="220"/>
              <w:spacing w:after="0"/>
              <w:rPr>
                <w:sz w:val="20"/>
                <w:szCs w:val="20"/>
                <w:color w:val="auto"/>
              </w:rPr>
            </w:pPr>
            <w:r>
              <w:rPr>
                <w:rFonts w:ascii="Arial" w:cs="Arial" w:eastAsia="Arial" w:hAnsi="Arial"/>
                <w:sz w:val="18"/>
                <w:szCs w:val="18"/>
                <w:color w:val="auto"/>
              </w:rPr>
              <w:t>Citizenship:</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USA</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2(d)</w:t>
            </w:r>
          </w:p>
        </w:tc>
        <w:tc>
          <w:tcPr>
            <w:tcW w:w="4300" w:type="dxa"/>
            <w:vAlign w:val="bottom"/>
          </w:tcPr>
          <w:p>
            <w:pPr>
              <w:ind w:left="22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Common Stock</w:t>
            </w:r>
          </w:p>
        </w:tc>
      </w:tr>
      <w:tr>
        <w:trPr>
          <w:trHeight w:val="324"/>
        </w:trPr>
        <w:tc>
          <w:tcPr>
            <w:tcW w:w="62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2(e)</w:t>
            </w:r>
          </w:p>
        </w:tc>
        <w:tc>
          <w:tcPr>
            <w:tcW w:w="4300" w:type="dxa"/>
            <w:vAlign w:val="bottom"/>
          </w:tcPr>
          <w:p>
            <w:pPr>
              <w:ind w:left="220"/>
              <w:spacing w:after="0"/>
              <w:rPr>
                <w:sz w:val="20"/>
                <w:szCs w:val="20"/>
                <w:color w:val="auto"/>
              </w:rPr>
            </w:pPr>
            <w:r>
              <w:rPr>
                <w:rFonts w:ascii="Arial" w:cs="Arial" w:eastAsia="Arial" w:hAnsi="Arial"/>
                <w:sz w:val="18"/>
                <w:szCs w:val="18"/>
                <w:color w:val="auto"/>
              </w:rPr>
              <w:t>CUSIP No. :</w:t>
            </w:r>
          </w:p>
        </w:tc>
      </w:tr>
      <w:tr>
        <w:trPr>
          <w:trHeight w:val="324"/>
        </w:trPr>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00" w:type="dxa"/>
            <w:vAlign w:val="bottom"/>
          </w:tcPr>
          <w:p>
            <w:pPr>
              <w:ind w:left="220"/>
              <w:spacing w:after="0"/>
              <w:rPr>
                <w:sz w:val="20"/>
                <w:szCs w:val="20"/>
                <w:color w:val="auto"/>
              </w:rPr>
            </w:pPr>
            <w:r>
              <w:rPr>
                <w:rFonts w:ascii="Arial" w:cs="Arial" w:eastAsia="Arial" w:hAnsi="Arial"/>
                <w:sz w:val="18"/>
                <w:szCs w:val="18"/>
                <w:color w:val="auto"/>
              </w:rPr>
              <w:t>92911N104</w:t>
            </w:r>
          </w:p>
        </w:tc>
      </w:tr>
    </w:tbl>
    <w:p>
      <w:pPr>
        <w:sectPr>
          <w:pgSz w:w="11900" w:h="16838" w:orient="portrait"/>
          <w:cols w:equalWidth="0" w:num="1">
            <w:col w:w="11420"/>
          </w:cols>
          <w:pgMar w:left="240" w:top="3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this statement is filed pursuant to Rules 13d-1(b), or 13d-2(b) or (c), check whether the person filing is a:</w:t>
      </w:r>
    </w:p>
    <w:p>
      <w:pPr>
        <w:spacing w:after="0" w:line="85" w:lineRule="exact"/>
        <w:rPr>
          <w:sz w:val="20"/>
          <w:szCs w:val="20"/>
          <w:color w:val="auto"/>
        </w:rPr>
      </w:pPr>
    </w:p>
    <w:p>
      <w:pPr>
        <w:ind w:left="1380" w:hanging="697"/>
        <w:spacing w:after="0" w:line="207" w:lineRule="exact"/>
        <w:tabs>
          <w:tab w:leader="none" w:pos="13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380" w:hanging="697"/>
        <w:spacing w:after="0" w:line="207" w:lineRule="exact"/>
        <w:tabs>
          <w:tab w:leader="none" w:pos="13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380" w:hanging="697"/>
        <w:spacing w:after="0" w:line="207" w:lineRule="exact"/>
        <w:tabs>
          <w:tab w:leader="none" w:pos="13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380" w:hanging="697"/>
        <w:spacing w:after="0" w:line="207" w:lineRule="exact"/>
        <w:tabs>
          <w:tab w:leader="none" w:pos="13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380" w:hanging="697"/>
        <w:spacing w:after="0" w:line="207" w:lineRule="exact"/>
        <w:tabs>
          <w:tab w:leader="none" w:pos="13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380" w:hanging="697"/>
        <w:spacing w:after="0" w:line="207" w:lineRule="exact"/>
        <w:tabs>
          <w:tab w:leader="none" w:pos="13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380" w:hanging="697"/>
        <w:spacing w:after="0" w:line="207" w:lineRule="exact"/>
        <w:tabs>
          <w:tab w:leader="none" w:pos="13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380" w:hanging="697"/>
        <w:spacing w:after="0" w:line="207" w:lineRule="exact"/>
        <w:tabs>
          <w:tab w:leader="none" w:pos="13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680" w:right="239" w:hanging="997"/>
        <w:spacing w:after="0" w:line="236" w:lineRule="exact"/>
        <w:tabs>
          <w:tab w:leader="none" w:pos="1383"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9" w:lineRule="exact"/>
        <w:rPr>
          <w:rFonts w:ascii="Arial" w:cs="Arial" w:eastAsia="Arial" w:hAnsi="Arial"/>
          <w:sz w:val="18"/>
          <w:szCs w:val="18"/>
          <w:color w:val="auto"/>
        </w:rPr>
      </w:pPr>
    </w:p>
    <w:p>
      <w:pPr>
        <w:ind w:left="1380" w:hanging="697"/>
        <w:spacing w:after="0" w:line="207" w:lineRule="exact"/>
        <w:tabs>
          <w:tab w:leader="none" w:pos="13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680" w:right="559" w:hanging="997"/>
        <w:spacing w:after="0" w:line="236" w:lineRule="exact"/>
        <w:tabs>
          <w:tab w:leader="none" w:pos="1383"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 240.13d-1(b)(1)(ii)(J), please specify the type of institution: ____</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color w:val="auto"/>
        </w:rPr>
        <w:t>Ownership</w:t>
      </w:r>
    </w:p>
    <w:p>
      <w:pPr>
        <w:spacing w:after="0" w:line="123" w:lineRule="exact"/>
        <w:rPr>
          <w:sz w:val="20"/>
          <w:szCs w:val="20"/>
          <w:color w:val="auto"/>
        </w:rPr>
      </w:pPr>
    </w:p>
    <w:p>
      <w:pPr>
        <w:ind w:left="700" w:right="2040"/>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8" w:lineRule="exact"/>
        <w:rPr>
          <w:sz w:val="20"/>
          <w:szCs w:val="20"/>
          <w:color w:val="auto"/>
        </w:rPr>
      </w:pPr>
    </w:p>
    <w:p>
      <w:pPr>
        <w:ind w:left="1000" w:hanging="30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xml:space="preserve">363,619 </w:t>
      </w:r>
      <w:r>
        <w:rPr>
          <w:rFonts w:ascii="Arial" w:cs="Arial" w:eastAsia="Arial" w:hAnsi="Arial"/>
          <w:sz w:val="11"/>
          <w:szCs w:val="11"/>
          <w:color w:val="auto"/>
        </w:rPr>
        <w:t>(1)</w:t>
      </w:r>
    </w:p>
    <w:p>
      <w:pPr>
        <w:spacing w:after="0" w:line="117" w:lineRule="exact"/>
        <w:rPr>
          <w:rFonts w:ascii="Arial" w:cs="Arial" w:eastAsia="Arial" w:hAnsi="Arial"/>
          <w:sz w:val="18"/>
          <w:szCs w:val="18"/>
          <w:color w:val="auto"/>
        </w:rPr>
      </w:pPr>
    </w:p>
    <w:p>
      <w:pPr>
        <w:ind w:left="1000" w:right="9060" w:hanging="303"/>
        <w:spacing w:after="0" w:line="37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6.5%</w:t>
      </w:r>
    </w:p>
    <w:p>
      <w:pPr>
        <w:spacing w:after="0" w:line="1" w:lineRule="exact"/>
        <w:rPr>
          <w:rFonts w:ascii="Arial" w:cs="Arial" w:eastAsia="Arial" w:hAnsi="Arial"/>
          <w:sz w:val="18"/>
          <w:szCs w:val="18"/>
          <w:color w:val="auto"/>
        </w:rPr>
      </w:pPr>
    </w:p>
    <w:p>
      <w:pPr>
        <w:ind w:left="1000" w:right="6860" w:hanging="303"/>
        <w:spacing w:after="0" w:line="422"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shares as to which such person has: i. Sole power to vote or to direct the vote</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2"/>
        </w:trPr>
        <w:tc>
          <w:tcPr>
            <w:tcW w:w="24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363,619</w:t>
            </w:r>
          </w:p>
        </w:tc>
        <w:tc>
          <w:tcPr>
            <w:tcW w:w="580" w:type="dxa"/>
            <w:vAlign w:val="bottom"/>
          </w:tcPr>
          <w:p>
            <w:pPr>
              <w:spacing w:after="0"/>
              <w:rPr>
                <w:sz w:val="19"/>
                <w:szCs w:val="19"/>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ii.</w:t>
            </w:r>
          </w:p>
        </w:tc>
        <w:tc>
          <w:tcPr>
            <w:tcW w:w="3880" w:type="dxa"/>
            <w:vAlign w:val="bottom"/>
          </w:tcPr>
          <w:p>
            <w:pPr>
              <w:ind w:left="60"/>
              <w:spacing w:after="0"/>
              <w:rPr>
                <w:sz w:val="20"/>
                <w:szCs w:val="20"/>
                <w:color w:val="auto"/>
              </w:rPr>
            </w:pPr>
            <w:r>
              <w:rPr>
                <w:rFonts w:ascii="Arial" w:cs="Arial" w:eastAsia="Arial" w:hAnsi="Arial"/>
                <w:sz w:val="18"/>
                <w:szCs w:val="18"/>
                <w:color w:val="auto"/>
              </w:rPr>
              <w:t>Shared power to vote or to direct the vote   0</w:t>
            </w:r>
          </w:p>
        </w:tc>
        <w:tc>
          <w:tcPr>
            <w:tcW w:w="58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iii.</w:t>
            </w:r>
          </w:p>
        </w:tc>
        <w:tc>
          <w:tcPr>
            <w:tcW w:w="3880" w:type="dxa"/>
            <w:vAlign w:val="bottom"/>
          </w:tcPr>
          <w:p>
            <w:pPr>
              <w:ind w:left="60"/>
              <w:spacing w:after="0"/>
              <w:rPr>
                <w:sz w:val="20"/>
                <w:szCs w:val="20"/>
                <w:color w:val="auto"/>
              </w:rPr>
            </w:pPr>
            <w:r>
              <w:rPr>
                <w:rFonts w:ascii="Arial" w:cs="Arial" w:eastAsia="Arial" w:hAnsi="Arial"/>
                <w:sz w:val="18"/>
                <w:szCs w:val="18"/>
                <w:color w:val="auto"/>
                <w:w w:val="93"/>
              </w:rPr>
              <w:t>Sole power to dispose or to direct the disposition of</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363,619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iv.</w:t>
            </w:r>
          </w:p>
        </w:tc>
        <w:tc>
          <w:tcPr>
            <w:tcW w:w="3880" w:type="dxa"/>
            <w:vAlign w:val="bottom"/>
          </w:tcPr>
          <w:p>
            <w:pPr>
              <w:ind w:left="60"/>
              <w:spacing w:after="0"/>
              <w:rPr>
                <w:sz w:val="20"/>
                <w:szCs w:val="20"/>
                <w:color w:val="auto"/>
              </w:rPr>
            </w:pPr>
            <w:r>
              <w:rPr>
                <w:rFonts w:ascii="Arial" w:cs="Arial" w:eastAsia="Arial" w:hAnsi="Arial"/>
                <w:sz w:val="18"/>
                <w:szCs w:val="18"/>
                <w:color w:val="auto"/>
                <w:w w:val="88"/>
              </w:rPr>
              <w:t>Shared power to dispose or to direct the disposition of</w:t>
            </w: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0</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123" w:lineRule="exact"/>
        <w:rPr>
          <w:sz w:val="20"/>
          <w:szCs w:val="20"/>
          <w:color w:val="auto"/>
        </w:rPr>
      </w:pPr>
    </w:p>
    <w:p>
      <w:pPr>
        <w:ind w:left="700" w:right="1400"/>
        <w:spacing w:after="0" w:line="230" w:lineRule="exact"/>
        <w:rPr>
          <w:sz w:val="20"/>
          <w:szCs w:val="20"/>
          <w:color w:val="auto"/>
        </w:rPr>
      </w:pPr>
      <w:r>
        <w:rPr>
          <w:rFonts w:ascii="Arial" w:cs="Arial" w:eastAsia="Arial" w:hAnsi="Arial"/>
          <w:sz w:val="16"/>
          <w:szCs w:val="16"/>
          <w:color w:val="auto"/>
        </w:rPr>
        <w:t xml:space="preserve">Ownership of 5 Percent or Less of a Class. 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Ownership of More than 5 Percent on Behalf of Another Person</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25" w:lineRule="exact"/>
        <w:rPr>
          <w:sz w:val="20"/>
          <w:szCs w:val="20"/>
          <w:color w:val="auto"/>
        </w:rPr>
      </w:pPr>
    </w:p>
    <w:p>
      <w:pPr>
        <w:ind w:left="700" w:right="1180" w:hanging="688"/>
        <w:spacing w:after="0" w:line="268" w:lineRule="auto"/>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460" w:hanging="452"/>
        <w:spacing w:after="0" w:line="228"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Comprised of 191,755 shares of common stock, 128,388 shares of common stock issuable upon exercise of stock options, and 43,476 shares of common stock issuable upon exercise of warrants.</w:t>
      </w:r>
    </w:p>
    <w:p>
      <w:pPr>
        <w:sectPr>
          <w:pgSz w:w="11900" w:h="16838" w:orient="portrait"/>
          <w:cols w:equalWidth="0" w:num="1">
            <w:col w:w="11160"/>
          </w:cols>
          <w:pgMar w:left="240" w:top="274" w:right="499" w:bottom="1440" w:gutter="0" w:footer="0" w:header="0"/>
        </w:sectPr>
      </w:pPr>
    </w:p>
    <w:bookmarkStart w:id="4" w:name="page5"/>
    <w:bookmarkEnd w:id="4"/>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Certifications</w:t>
      </w:r>
    </w:p>
    <w:p>
      <w:pPr>
        <w:spacing w:after="0" w:line="123" w:lineRule="exact"/>
        <w:rPr>
          <w:sz w:val="20"/>
          <w:szCs w:val="20"/>
          <w:color w:val="auto"/>
        </w:rPr>
      </w:pPr>
    </w:p>
    <w:p>
      <w:pPr>
        <w:jc w:val="both"/>
        <w:ind w:left="1020" w:right="379"/>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82"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27,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Name/Title</w:t>
        <w:tab/>
        <w:t>David Goldfarb</w:t>
      </w:r>
    </w:p>
    <w:p>
      <w:pPr>
        <w:spacing w:after="0" w:line="171"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 power of attorney for this purpose which is already on file with the Commission may be incorporated by reference. The name and any title of each person who signs the statement shall be typed or printed beneath his signature.</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2019-12-11T05:05:00Z</dcterms:created>
  <dcterms:modified xsi:type="dcterms:W3CDTF">2019-12-11T05:05:00Z</dcterms:modified>
</cp:coreProperties>
</file>