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REMOVAL FROM LISTING AND/OR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UNDER SECTION 12(b)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Number 001-34785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 and NYSE MKT,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Issuer’s principal executive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to purchase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17 CFR 240.12d2-2(a)(1)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17 CFR 240.12d2-2(a)(2)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17 CFR 240.12d2-2(a)(3)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17 CFR 240.12d2-2(a)(4)</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 Pursuant to 17 CFR 240.12d2-2(b), the Exchange has complied with its rules to strike the class of securities from listing and/or withdraw registration on the Exchange.</w:t>
      </w:r>
    </w:p>
    <w:p>
      <w:pPr>
        <w:spacing w:after="0" w:line="170" w:lineRule="exact"/>
        <w:rPr>
          <w:sz w:val="24"/>
          <w:szCs w:val="24"/>
          <w:color w:val="auto"/>
        </w:rPr>
      </w:pPr>
    </w:p>
    <w:p>
      <w:pPr>
        <w:ind w:right="220" w:firstLine="8"/>
        <w:spacing w:after="0" w:line="27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Pursuant to the requirements of the Securities Exchange Act of 1934, Vringo, Inc. certifies that it has reasonable grounds to believe that it meets all of the requirements for filing the Form 25 and has caused this notification to be signed on its behalf by the undersigned duly authorized person.</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Date: April 29, 2013</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 Perlman</w:t>
      </w:r>
    </w:p>
    <w:p>
      <w:pPr>
        <w:spacing w:after="0" w:line="36" w:lineRule="exact"/>
        <w:rPr>
          <w:sz w:val="24"/>
          <w:szCs w:val="24"/>
          <w:color w:val="auto"/>
        </w:rPr>
      </w:pPr>
    </w:p>
    <w:p>
      <w:pPr>
        <w:ind w:left="700"/>
        <w:spacing w:after="0"/>
        <w:rPr>
          <w:sz w:val="20"/>
          <w:szCs w:val="20"/>
          <w:color w:val="auto"/>
        </w:rPr>
      </w:pPr>
      <w:r>
        <w:rPr>
          <w:rFonts w:ascii="Arial" w:cs="Arial" w:eastAsia="Arial" w:hAnsi="Arial"/>
          <w:sz w:val="18"/>
          <w:szCs w:val="18"/>
          <w:color w:val="auto"/>
        </w:rPr>
        <w:t>Andrew P. Perlman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4"/>
          <w:szCs w:val="24"/>
          <w:color w:val="auto"/>
        </w:rPr>
      </w:pPr>
    </w:p>
    <w:p>
      <w:pPr>
        <w:ind w:left="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2019-12-07T17:03:31Z</dcterms:created>
  <dcterms:modified xsi:type="dcterms:W3CDTF">2019-12-07T17:03:31Z</dcterms:modified>
</cp:coreProperties>
</file>