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6"/>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AWM Investment Company, Inc.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FORM Holdings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ind w:left="440"/>
              <w:spacing w:after="0"/>
              <w:rPr>
                <w:sz w:val="20"/>
                <w:szCs w:val="20"/>
                <w:color w:val="auto"/>
              </w:rPr>
            </w:pPr>
            <w:r>
              <w:rPr>
                <w:rFonts w:ascii="Arial" w:cs="Arial" w:eastAsia="Arial" w:hAnsi="Arial"/>
                <w:sz w:val="14"/>
                <w:szCs w:val="14"/>
                <w:color w:val="auto"/>
              </w:rPr>
              <w:t>Director</w:t>
            </w:r>
          </w:p>
        </w:tc>
        <w:tc>
          <w:tcPr>
            <w:tcW w:w="680" w:type="dxa"/>
            <w:vAlign w:val="bottom"/>
          </w:tcPr>
          <w:p>
            <w:pPr>
              <w:spacing w:after="0"/>
              <w:rPr>
                <w:sz w:val="2"/>
                <w:szCs w:val="2"/>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700" w:type="dxa"/>
            <w:vAlign w:val="bottom"/>
            <w:gridSpan w:val="3"/>
            <w:vMerge w:val="restart"/>
          </w:tcPr>
          <w:p>
            <w:pPr>
              <w:ind w:left="4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40"/>
              <w:spacing w:after="0"/>
              <w:rPr>
                <w:sz w:val="20"/>
                <w:szCs w:val="20"/>
                <w:color w:val="auto"/>
              </w:rPr>
            </w:pPr>
            <w:r>
              <w:rPr>
                <w:rFonts w:ascii="Arial" w:cs="Arial" w:eastAsia="Arial" w:hAnsi="Arial"/>
                <w:sz w:val="14"/>
                <w:szCs w:val="14"/>
                <w:color w:val="auto"/>
              </w:rPr>
              <w:t>below)</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527 MADISON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4"/>
          </w:tcPr>
          <w:p>
            <w:pPr>
              <w:ind w:left="160"/>
              <w:spacing w:after="0"/>
              <w:rPr>
                <w:sz w:val="20"/>
                <w:szCs w:val="20"/>
                <w:color w:val="auto"/>
              </w:rPr>
            </w:pPr>
            <w:r>
              <w:rPr>
                <w:rFonts w:ascii="Arial" w:cs="Arial" w:eastAsia="Arial" w:hAnsi="Arial"/>
                <w:sz w:val="18"/>
                <w:szCs w:val="18"/>
                <w:color w:val="0000FF"/>
              </w:rPr>
              <w:t>09/13/2017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2600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1"/>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7"/>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460"/>
              <w:spacing w:after="0" w:line="136" w:lineRule="exact"/>
              <w:rPr>
                <w:sz w:val="20"/>
                <w:szCs w:val="20"/>
                <w:color w:val="auto"/>
              </w:rPr>
            </w:pPr>
            <w:r>
              <w:rPr>
                <w:rFonts w:ascii="Arial" w:cs="Arial" w:eastAsia="Arial" w:hAnsi="Arial"/>
                <w:sz w:val="14"/>
                <w:szCs w:val="14"/>
                <w:color w:val="auto"/>
              </w:rPr>
              <w:t>Person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6"/>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jc w:val="center"/>
              <w:ind w:left="5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60" w:type="dxa"/>
            <w:vAlign w:val="bottom"/>
            <w:gridSpan w:val="3"/>
            <w:vMerge w:val="restart"/>
          </w:tcPr>
          <w:p>
            <w:pPr>
              <w:ind w:left="440"/>
              <w:spacing w:after="0"/>
              <w:rPr>
                <w:sz w:val="20"/>
                <w:szCs w:val="20"/>
                <w:color w:val="auto"/>
              </w:rPr>
            </w:pPr>
            <w:r>
              <w:rPr>
                <w:rFonts w:ascii="Arial" w:cs="Arial" w:eastAsia="Arial" w:hAnsi="Arial"/>
                <w:sz w:val="18"/>
                <w:szCs w:val="18"/>
                <w:color w:val="0000FF"/>
                <w:w w:val="88"/>
              </w:rPr>
              <w:t>09/13/2017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56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35"/>
                <w:szCs w:val="35"/>
                <w:color w:val="0000FF"/>
                <w:vertAlign w:val="subscript"/>
              </w:rPr>
              <w:t>800</w:t>
            </w:r>
            <w:r>
              <w:rPr>
                <w:rFonts w:ascii="Arial" w:cs="Arial" w:eastAsia="Arial" w:hAnsi="Arial"/>
                <w:sz w:val="11"/>
                <w:szCs w:val="11"/>
                <w:color w:val="008000"/>
              </w:rPr>
              <w:t>(2)(3)</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1.35</w:t>
            </w:r>
            <w:r>
              <w:rPr>
                <w:rFonts w:ascii="Arial" w:cs="Arial" w:eastAsia="Arial" w:hAnsi="Arial"/>
                <w:sz w:val="22"/>
                <w:szCs w:val="22"/>
                <w:color w:val="008000"/>
                <w:w w:val="88"/>
                <w:vertAlign w:val="superscript"/>
              </w:rPr>
              <w:t>(1)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2,953,745</w:t>
            </w:r>
            <w:r>
              <w:rPr>
                <w:rFonts w:ascii="Arial" w:cs="Arial" w:eastAsia="Arial" w:hAnsi="Arial"/>
                <w:sz w:val="22"/>
                <w:szCs w:val="22"/>
                <w:color w:val="008000"/>
                <w:w w:val="89"/>
                <w:vertAlign w:val="superscript"/>
              </w:rPr>
              <w:t>(2)(3)</w:t>
            </w:r>
          </w:p>
        </w:tc>
        <w:tc>
          <w:tcPr>
            <w:tcW w:w="680" w:type="dxa"/>
            <w:vAlign w:val="bottom"/>
            <w:vMerge w:val="restart"/>
          </w:tcPr>
          <w:p>
            <w:pPr>
              <w:ind w:left="340"/>
              <w:spacing w:after="0"/>
              <w:rPr>
                <w:sz w:val="20"/>
                <w:szCs w:val="20"/>
                <w:color w:val="auto"/>
              </w:rPr>
            </w:pPr>
            <w:r>
              <w:rPr>
                <w:rFonts w:ascii="Arial" w:cs="Arial" w:eastAsia="Arial" w:hAnsi="Arial"/>
                <w:sz w:val="35"/>
                <w:szCs w:val="35"/>
                <w:color w:val="0000FF"/>
                <w:w w:val="95"/>
                <w:vertAlign w:val="subscript"/>
              </w:rPr>
              <w:t>I</w:t>
            </w:r>
            <w:r>
              <w:rPr>
                <w:rFonts w:ascii="Arial" w:cs="Arial" w:eastAsia="Arial" w:hAnsi="Arial"/>
                <w:sz w:val="11"/>
                <w:szCs w:val="11"/>
                <w:color w:val="008000"/>
                <w:w w:val="95"/>
              </w:rPr>
              <w:t>(2)(3)</w:t>
            </w:r>
          </w:p>
        </w:tc>
        <w:tc>
          <w:tcPr>
            <w:tcW w:w="28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87"/>
              </w:rPr>
              <w:t>Partnerships</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20" w:type="dxa"/>
            <w:vAlign w:val="bottom"/>
            <w:gridSpan w:val="17"/>
          </w:tcPr>
          <w:p>
            <w:pPr>
              <w:jc w:val="center"/>
              <w:ind w:right="4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is a weighted average price.</w:t>
      </w:r>
    </w:p>
    <w:p>
      <w:pPr>
        <w:spacing w:after="0" w:line="41" w:lineRule="exact"/>
        <w:rPr>
          <w:rFonts w:ascii="Arial" w:cs="Arial" w:eastAsia="Arial" w:hAnsi="Arial"/>
          <w:sz w:val="14"/>
          <w:szCs w:val="14"/>
          <w:color w:val="008000"/>
        </w:rPr>
      </w:pPr>
    </w:p>
    <w:p>
      <w:pPr>
        <w:jc w:val="both"/>
        <w:ind w:left="40" w:right="12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516,800 Shares of common stock of the Issuer (the Shares) held by CAYMAN, 1,550,400 Shares held by SSFQP and 886,545 Shares held by SSPE.</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Adam C. Stettner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09/14/2017</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2019-12-04T01:42:46Z</dcterms:created>
  <dcterms:modified xsi:type="dcterms:W3CDTF">2019-12-04T01:42:46Z</dcterms:modified>
</cp:coreProperties>
</file>