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ind w:left="4140" w:right="1600" w:hanging="4132"/>
        <w:spacing w:after="0" w:line="501"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(State or other jurisdiction of</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309-7549</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568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474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0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15, 2018, 26,634,475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gridSpan w:val="4"/>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80" w:type="dxa"/>
            <w:vAlign w:val="bottom"/>
            <w:tcBorders>
              <w:top w:val="single" w:sz="8" w:color="CCEEFF"/>
            </w:tcBorders>
            <w:gridSpan w:val="16"/>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PART I. FINANCIAL INFORMATION</w:t>
              </w:r>
            </w:hyperlink>
          </w:p>
        </w:tc>
        <w:tc>
          <w:tcPr>
            <w:tcW w:w="102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640" w:type="dxa"/>
            <w:vAlign w:val="bottom"/>
            <w:gridSpan w:val="2"/>
            <w:shd w:val="clear" w:color="auto" w:fill="CCEEFF"/>
          </w:tcPr>
          <w:p>
            <w:pPr>
              <w:spacing w:after="0"/>
              <w:rPr>
                <w:sz w:val="15"/>
                <w:szCs w:val="15"/>
                <w:color w:val="auto"/>
              </w:rPr>
            </w:pPr>
          </w:p>
        </w:tc>
        <w:tc>
          <w:tcPr>
            <w:tcW w:w="924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640" w:type="dxa"/>
            <w:vAlign w:val="bottom"/>
            <w:gridSpan w:val="2"/>
          </w:tcPr>
          <w:p>
            <w:pPr>
              <w:spacing w:after="0"/>
              <w:rPr>
                <w:sz w:val="15"/>
                <w:szCs w:val="15"/>
                <w:color w:val="auto"/>
              </w:rPr>
            </w:pPr>
          </w:p>
        </w:tc>
        <w:tc>
          <w:tcPr>
            <w:tcW w:w="9240" w:type="dxa"/>
            <w:vAlign w:val="bottom"/>
            <w:gridSpan w:val="13"/>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488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9240" w:type="dxa"/>
            <w:vAlign w:val="bottom"/>
            <w:gridSpan w:val="1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9240" w:type="dxa"/>
            <w:vAlign w:val="bottom"/>
            <w:gridSpan w:val="1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24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520" w:type="dxa"/>
            <w:vAlign w:val="bottom"/>
          </w:tcPr>
          <w:p>
            <w:pPr>
              <w:spacing w:after="0"/>
              <w:rPr>
                <w:sz w:val="15"/>
                <w:szCs w:val="15"/>
                <w:color w:val="auto"/>
              </w:rPr>
            </w:pPr>
          </w:p>
        </w:tc>
        <w:tc>
          <w:tcPr>
            <w:tcW w:w="9240" w:type="dxa"/>
            <w:vAlign w:val="bottom"/>
            <w:gridSpan w:val="1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3.</w:t>
              </w:r>
            </w:hyperlink>
          </w:p>
        </w:tc>
        <w:tc>
          <w:tcPr>
            <w:tcW w:w="640" w:type="dxa"/>
            <w:vAlign w:val="bottom"/>
            <w:gridSpan w:val="2"/>
            <w:shd w:val="clear" w:color="auto" w:fill="CCEEFF"/>
          </w:tcPr>
          <w:p>
            <w:pPr>
              <w:spacing w:after="0"/>
              <w:rPr>
                <w:sz w:val="17"/>
                <w:szCs w:val="17"/>
                <w:color w:val="auto"/>
              </w:rPr>
            </w:pPr>
          </w:p>
        </w:tc>
        <w:tc>
          <w:tcPr>
            <w:tcW w:w="924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64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6920" w:type="dxa"/>
            <w:vAlign w:val="bottom"/>
            <w:tcBorders>
              <w:top w:val="single" w:sz="8" w:color="CCEEFF"/>
            </w:tcBorders>
            <w:gridSpan w:val="5"/>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5.</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7920" w:type="dxa"/>
            <w:vAlign w:val="bottom"/>
            <w:tcBorders>
              <w:bottom w:val="single" w:sz="8" w:color="CCEEFF"/>
            </w:tcBorders>
            <w:gridSpan w:val="10"/>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0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6.</w:t>
              </w:r>
            </w:hyperlink>
          </w:p>
        </w:tc>
        <w:tc>
          <w:tcPr>
            <w:tcW w:w="640" w:type="dxa"/>
            <w:vAlign w:val="bottom"/>
            <w:gridSpan w:val="2"/>
          </w:tcPr>
          <w:p>
            <w:pPr>
              <w:spacing w:after="0"/>
              <w:rPr>
                <w:sz w:val="15"/>
                <w:szCs w:val="15"/>
                <w:color w:val="auto"/>
              </w:rPr>
            </w:pP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864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jc w:val="center"/>
              <w:ind w:left="163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tcPr>
          <w:p>
            <w:pPr>
              <w:jc w:val="center"/>
              <w:ind w:left="163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jc w:val="center"/>
              <w:ind w:left="16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Current assets</w:t>
            </w:r>
          </w:p>
        </w:tc>
        <w:tc>
          <w:tcPr>
            <w:tcW w:w="7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3,554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Restricted cash</w:t>
            </w:r>
          </w:p>
        </w:tc>
        <w:tc>
          <w:tcPr>
            <w:tcW w:w="7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Other assets</w:t>
            </w: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3,765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8,560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Debt</w:t>
            </w:r>
          </w:p>
        </w:tc>
        <w:tc>
          <w:tcPr>
            <w:tcW w:w="7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Total liabilities</w:t>
            </w:r>
          </w:p>
        </w:tc>
        <w:tc>
          <w:tcPr>
            <w:tcW w:w="7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5,000,000 shares authorized; 1,666,667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none outstanding</w:t>
            </w:r>
          </w:p>
        </w:tc>
        <w:tc>
          <w:tcPr>
            <w:tcW w:w="7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Series D Convertible Preferred Stock, $0.01 par value per share; 500,000 shares authorized; 475,208 shares issued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and 420,541 shares outstanding with a liquidation value of $20,186 as of March 31, 2018 and December 31, 2017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26,634,475 and 26,545,690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outstanding as of March 31, 2018 and December 31, 2017,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(273,641)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March 31,</w:t>
      </w:r>
    </w:p>
    <w:p>
      <w:pPr>
        <w:sectPr>
          <w:pgSz w:w="11900" w:h="16838" w:orient="portrait"/>
          <w:cols w:equalWidth="0" w:num="1">
            <w:col w:w="11420"/>
          </w:cols>
          <w:pgMar w:left="240" w:top="904" w:right="2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 and services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Occupancy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 and other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cost of sales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Goodwill impairment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operating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Loss from continuing operations before income taxes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net loss from continuing operations</w:t>
      </w:r>
    </w:p>
    <w:p>
      <w:pPr>
        <w:spacing w:after="0" w:line="31" w:lineRule="exact"/>
        <w:rPr>
          <w:sz w:val="20"/>
          <w:szCs w:val="20"/>
          <w:color w:val="auto"/>
        </w:rPr>
      </w:pPr>
    </w:p>
    <w:p>
      <w:pPr>
        <w:ind w:left="180" w:right="3540" w:hanging="161"/>
        <w:spacing w:after="0" w:line="261" w:lineRule="auto"/>
        <w:rPr>
          <w:sz w:val="20"/>
          <w:szCs w:val="20"/>
          <w:color w:val="auto"/>
        </w:rPr>
      </w:pPr>
      <w:r>
        <w:rPr>
          <w:rFonts w:ascii="Arial" w:cs="Arial" w:eastAsia="Arial" w:hAnsi="Arial"/>
          <w:sz w:val="18"/>
          <w:szCs w:val="18"/>
          <w:b w:val="1"/>
          <w:bCs w:val="1"/>
          <w:color w:val="auto"/>
        </w:rPr>
        <w:t xml:space="preserve">Loss from discontinued operations before income taxes* </w:t>
      </w: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Consolidated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loss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loss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loss from continuing operations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 comprehensive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from continuing operations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comprehensive loss from discontinued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5"/>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11,800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2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6,210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9,777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19,630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4,596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(23,056)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(4,569)</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(189)</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(23,329)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(4,644)</w:t>
            </w:r>
          </w:p>
        </w:tc>
        <w:tc>
          <w:tcPr>
            <w:tcW w:w="4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(227)</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(23,850)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(6,349)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(23,245)</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(4,871)</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Loss per share</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2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basic and diluted net loss per share</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Weighted-average number of shares outstanding during the period</w:t>
            </w: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26,592,781</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18,862,715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26,592,781</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18,862,715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w:t>
            </w:r>
          </w:p>
        </w:tc>
        <w:tc>
          <w:tcPr>
            <w:tcW w:w="1040" w:type="dxa"/>
            <w:vAlign w:val="bottom"/>
            <w:gridSpan w:val="3"/>
            <w:vMerge w:val="continue"/>
          </w:tcPr>
          <w:p>
            <w:pPr>
              <w:spacing w:after="0"/>
              <w:rPr>
                <w:sz w:val="12"/>
                <w:szCs w:val="12"/>
                <w:color w:val="auto"/>
              </w:rPr>
            </w:pPr>
          </w:p>
        </w:tc>
        <w:tc>
          <w:tcPr>
            <w:tcW w:w="12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290,396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(249,708)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Vesting of restricted stock units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(“RSUs”)</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(23,933)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(23,933)</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(23,850)</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20"/>
                <w:szCs w:val="20"/>
                <w:color w:val="auto"/>
              </w:rPr>
            </w:pPr>
            <w:r>
              <w:rPr>
                <w:rFonts w:ascii="Arial" w:cs="Arial" w:eastAsia="Arial" w:hAnsi="Arial"/>
                <w:sz w:val="14"/>
                <w:szCs w:val="14"/>
                <w:color w:val="auto"/>
              </w:rPr>
              <w:t>interests</w:t>
            </w:r>
          </w:p>
        </w:tc>
        <w:tc>
          <w:tcPr>
            <w:tcW w:w="7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March 31, 2018</w:t>
            </w:r>
          </w:p>
        </w:tc>
        <w:tc>
          <w:tcPr>
            <w:tcW w:w="780" w:type="dxa"/>
            <w:vAlign w:val="bottom"/>
            <w:tcBorders>
              <w:top w:val="single" w:sz="8" w:color="auto"/>
              <w:bottom w:val="single" w:sz="8" w:color="auto"/>
            </w:tcBorders>
            <w:shd w:val="clear" w:color="auto" w:fill="CCEEFF"/>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266</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290,707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(273,641</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(140</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17,196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22,015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w:t>
            </w:r>
          </w:p>
        </w:tc>
        <w:tc>
          <w:tcPr>
            <w:tcW w:w="1040" w:type="dxa"/>
            <w:vAlign w:val="bottom"/>
            <w:gridSpan w:val="3"/>
            <w:vMerge w:val="continue"/>
          </w:tcPr>
          <w:p>
            <w:pPr>
              <w:spacing w:after="0"/>
              <w:rPr>
                <w:sz w:val="12"/>
                <w:szCs w:val="12"/>
                <w:color w:val="auto"/>
              </w:rPr>
            </w:pPr>
          </w:p>
        </w:tc>
        <w:tc>
          <w:tcPr>
            <w:tcW w:w="12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2016</w:t>
            </w: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(220,868)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59,528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for services</w:t>
            </w:r>
          </w:p>
        </w:tc>
        <w:tc>
          <w:tcPr>
            <w:tcW w:w="7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Shares of common stock issued for the</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Excalibur</w:t>
            </w:r>
          </w:p>
        </w:tc>
        <w:tc>
          <w:tcPr>
            <w:tcW w:w="7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(6,425)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(6,349)</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78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March 31, 2017</w:t>
            </w:r>
          </w:p>
        </w:tc>
        <w:tc>
          <w:tcPr>
            <w:tcW w:w="780" w:type="dxa"/>
            <w:vAlign w:val="bottom"/>
            <w:tcBorders>
              <w:top w:val="single" w:sz="8" w:color="auto"/>
              <w:bottom w:val="single" w:sz="8" w:color="auto"/>
            </w:tcBorders>
            <w:shd w:val="clear" w:color="auto" w:fill="CCEEFF"/>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282,773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(227,293</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55,620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60,337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Consolidated 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(23,850)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(6,349)</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net loss from discontinued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10"/>
        </w:trPr>
        <w:tc>
          <w:tcPr>
            <w:tcW w:w="8460" w:type="dxa"/>
            <w:vAlign w:val="bottom"/>
          </w:tcPr>
          <w:p>
            <w:pPr>
              <w:ind w:left="180"/>
              <w:spacing w:after="0"/>
              <w:rPr>
                <w:sz w:val="20"/>
                <w:szCs w:val="20"/>
                <w:color w:val="auto"/>
              </w:rPr>
            </w:pPr>
            <w:r>
              <w:rPr>
                <w:rFonts w:ascii="Arial" w:cs="Arial" w:eastAsia="Arial" w:hAnsi="Arial"/>
                <w:sz w:val="18"/>
                <w:szCs w:val="18"/>
                <w:color w:val="auto"/>
              </w:rPr>
              <w:t>Consolidated net loss from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consolidated net loss from continuing operations to net cash used in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19,630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1,820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Contingent liability assumed from acquisition</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Gain on the sale of patents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 net of effects of acquisition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inventory</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Decrease (increase) in other current assets and other assets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accrued expenses and other current liabilities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Increase in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 continuing operations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 – discontinued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(3,078)</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Acquisition of software</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patents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Cash received from note receivable</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 –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 discontinued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0"/>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and foreign currency translation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(6,237)</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17,910</w:t>
            </w:r>
          </w:p>
        </w:tc>
      </w:tr>
      <w:tr>
        <w:trPr>
          <w:trHeight w:val="263"/>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5, 2018, FORM Holdings Corp. changed its name to XpresSpa Group, Inc. (“XpresSpa Group” or the “Company”). The Company’s common stock, par value $0.01 per share, which had previously been listed under the trading symbol “FH” on the Nasdaq Capital Market (“Nasdaq”), has been listed under the trading symbol “XSPA” since January 8, 2018. Rebranding to XpresSpa Group aligned the Company’s corporate strategy to build a pure-play health and wellness services company, which the Company commenced following its acquisition of XpresSpa Holdings, LLC (“XpresSpa”) on December 23, 2016.</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transition to a pure-play health and wellness services company, the Company currently has one operating segment that is also its sole reporting unit, which is comprised of XpresSpa, a leading airport retailer of spa services. XpresSpa is a well-recognized airport spa brand with 57 locations, consisting of 52 domestic and 5 international locations as of March 31, 2018. XpresSpa offers travelers premium spa services, including massage, nail and skin care, as well as spa and travel products.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Company completed the sale of FLI Charge, Inc. (“FLI Charge”) and, in March 2018, the Company completed the sale of Group Mobile Int’l LLC (“Group Mobile”). These two entities formerly comprised the Company’s technology operating segment, which was eliminated following the disposition of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March 31, 2018 and December 31, 2017.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certain patent portfolios, which it looks to monetize through sales and licensing agreements. During the three-month period ended March 31, 2018, the Company determined that its former intellectual property operating segment would no longer be an area of focus and, as such, will no longer operate as a separate operating segment, as it is not expected to generate any material revenues.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2018, the Company had cash and cash equivalents of $3,554. In addition, the Company’s current assets were $6,321 and current liabilities were $8,560 as of March 31, 2018.</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 entered into a securities purchase agreement (the “Agreement”) with certain institutional investors (the “Investors”), pursuant to which the Company agreed to sell up to (i) an aggregate principal amount of $4,438 in 5% Secured Convertible Notes due 2019, which includes $88 to be issued to Palladium Capital Advisors as Placement Agent (the “Convertible Notes”), convertible into shares of the Company’s common stock, par value $0.01 per share (the “Common Stock”) at a conversion price of $0.62 per share, (ii) Class A Warrants (the “Class A Warrants”) to purchase 7,157,259 shares of Common Stock at an exercise price of $0.62 per share and (iii) Class B Warrants (the “Class B Warrants,” and together with the Class A Warrants, the “Warrants”) to purchase 3,578,630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in November 2019. The Company expects to close the transaction as soon as possible following the filing of these financial statements.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believes that its current cash balance, the issuance of the Convertible Notes and Warrants, and cash provided by future operating activities will be sufficient to fund its planned operations and scheduled Convertible Notes principal repayments for at least the next twelve months following the date of the filing of these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interim condensed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2017. The condensed consolidated financial statements include the accounts of the Company, all entities that are wholly-owned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three-month period ended March 31, 2018 are not necessarily indicative of the results that may be expected for the entire fiscal year or for any other interim period. All significant intercompany balances and transactions have been eliminated in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25"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third-party financial institutions for credit and debit card transactions. These items typically settle in less than five days. As of March 31, 2018, the Company held significant portions of its cash balance in overseas accounts, totaling $2,661, which is not insured by the Federal Deposit Insurance Corporation (“FDIC”). If the Company were to distribute the amounts held overseas, the Company would need to follow an approval process as defined in its operating and partnership agreements, which may delay the availability of cash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related to the Company’s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 Investments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accounts for its investments in other entities using the cost method of accounting when the Company has no substantial influence and the investment is less than 20% of the investee entity. Under the cost method, the investment is recorded at cost, which approximates fair value, on the date of acquisition. The Company performs an assessment for impairment on at least an annual basis, or when there is an indication that cost exceeds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core principle of this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Adoption of this ASU did not have a material impact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amends various aspects of the recognition, measurement, presentation, and disclosure for financial instruments. With respect to the Company’s condensed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Adoption of this ASU did not have a material impact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U.S.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as of the beginning of the earliest period presented. The new standard is effective for the fiscal year beginning after December 15, 2018, with early adoption permitted. The Company is currently in the process of evaluating the impact of the adoption on its condensed consolidated financial statements, but the Company expects that it will result in a significant increase in its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The Company early adopted this standard effective January 1, 2018. Adoption of this ASU did not have a material impact on the Company’s condensed consolidated financial statements.</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guidance on the reclassification of certain tax effects from accumulated other comprehensive income to retained earnings in the period in which the effects of the change in the United States federal corporate income tax rate in the Tax Cuts and Jobs Act is recorded. The new standard is effective for the fiscal year beginning after December 15, 2018. The Company is currently in the process of evaluating the potential impact of the adoption of this standard on its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the presentation of discontinued operations and the consistent presentation of the allocation of cost of sales and general and administrative expenses between store locations and corporate in the condensed consolidated statements of operations and comprehensive loss.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Note 3. Net Loss per Share of Common Stock</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The table below presents the computation of basic and diluted net losses per share of common stock:</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(23,328)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26,592,781</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18,862,715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Basic loss per share of common stock from continuing operations</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net loss per share of common stock</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(23,328)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(605)</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the Company</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denominator:</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of common stock outstanding</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26,592,781</w:t>
            </w:r>
          </w:p>
        </w:tc>
        <w:tc>
          <w:tcPr>
            <w:tcW w:w="3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18,862,715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of common stock from continuing operations</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loss per share of common stock</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Borders>
              <w:top w:val="single" w:sz="8" w:color="CCEEFF"/>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 the following potentially</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6"/>
              </w:rPr>
              <w:t>Both vested and unvested options to purchase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3,579,585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to issue an equal number of shares of common stock of the Company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330,188</w:t>
            </w: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3,087,500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3,430,877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3,364,328</w:t>
            </w:r>
          </w:p>
        </w:tc>
        <w:tc>
          <w:tcPr>
            <w:tcW w:w="3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3,931,416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340" w:type="dxa"/>
            <w:vAlign w:val="bottom"/>
          </w:tcPr>
          <w:p>
            <w:pPr>
              <w:spacing w:after="0" w:line="178" w:lineRule="exact"/>
              <w:rPr>
                <w:sz w:val="20"/>
                <w:szCs w:val="20"/>
                <w:color w:val="auto"/>
              </w:rPr>
            </w:pPr>
            <w:r>
              <w:rPr>
                <w:rFonts w:ascii="Arial" w:cs="Arial" w:eastAsia="Arial" w:hAnsi="Arial"/>
                <w:sz w:val="18"/>
                <w:szCs w:val="18"/>
                <w:b w:val="1"/>
                <w:bCs w:val="1"/>
                <w:color w:val="auto"/>
                <w:w w:val="95"/>
              </w:rPr>
              <w:t>Total number of potentially dilutive instruments excluded from the calculation of net loss per share of</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34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10,361,601</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12,901,967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Goodwill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5, 2018, the Company changed its name to XpresSpa Group as part of a rebranding effort to align its corporate strategy to build a pure-play health and wellness services company, which the Company commenced following its acquisition of XpresSpa on December 23, 2016. Following the subsequent sale of Group Mobile on March 22, 2018, which was the only remaining component of the Company’s technology operating segment, the Company’s management made the decision that its intellectual property operating segment would no longer be an area of focus and would no longer operate as a separate operating segment as it is not expected to generate any material revenues. This completed the transition of the Company into a pure-play health and wellness company with only one operating segment, consisting of its XpresSpa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market capitalization is sensitive to the volatility of its stock price. On January 2, 2018, the first trading day of the fiscal year 2018, the Company’s stock price opened at $1.36 and closed at $1.45. The closing price of the Company’s stock on March 29, 2018, the last trading day of the first quarter of fiscal 2018, was $0.72. The average closing stock price of the Company from January 2, 2018 through March 29, 2018 was approximately $1.02, ranging from $0.71 to $1.80 during that period.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Subsequent to the first quarter of fiscal 2018, on April 19, 2018, the Company entered into a separation agreement with its Chief Executive Officer regarding his resignation as Chief Executive Officer and as a Director the Company. On that same date, the Company’s Senior Vice President and Chief Executive Officer of XpresSpa was appointed by the Board of Directors as the Chief Executive Officer and as a Director of the Company.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events were identified by the Company’s management as triggering events requiring that goodwill be tested for impairment as of March 31, 2018. In addition to the Company’s rebranding efforts to a pure-play health and wellness services company, its stock price continued to decline even after the announcement of the new Chief Executive Officer. The Company’s stock price has averaged $0.67 following March 31, 2018. As the stock price has not rebounded, the Company determined that the impairment relates to the three-month period ended March 31, 2018.</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performed a quantitative goodwill impairment test, in which the Company compared the carrying value of the reporting unit to its estimated fair value, which was calculated using an income approach. The key assumptions for this approach are projected future cash flows and a discount rate, which is based on a weighted average cost of capital adjusted for the relevant risk associated with the characteristics of the business and the projected future cash flows. As a result of the quantitative goodwill impairment test performed as of March 31, 2018, the Company determined that the fair value of the reporting unit did not exceed its carrying amount and, therefore, goodwill of the reporting unit was considered impaired.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estimated fair value of goodwill, the Company recorded an impairment charge of $19,630, to reduce the carrying value of goodwill to its fair value, which was determined to be zero. This impairment charge is included in goodwill impairment in the condensed consolidated statements of operations and comprehensive loss for the three-month period ended March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measurement of goodwill was classified within Level 3 of the fair value hierarchy because the income approach was used, which utilizes significant inputs that are unobservable in the market. The Company believes it made reasonable estimates and assumptions to calculate the fair value of the reporting unit as of the impairment test measurement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 the condensed consolidated balance sheets are comprised of the following as of March 31, 2018 and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Lease deposits</w:t>
            </w: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Company’s other assets included: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$1,625 cost method investment in Route1 Inc. (“Route1”), which the Company received from the disposition of Group Mobile in March 2018;</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$856 deposits made pursuant to various lease agreements, which will be returned to the Company at the end of the leases;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$787 cost method investment in InfoMedia Services Limited (“InfoMedia”), which the Company acquired in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$450 cost method investment in Marathon Patent Group, Inc. (“Marathon”), that the Company received in January 2018;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$47 cost method investment in FLI Charge, which the Company received from the disposition of FLI Charge in October 2017.</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Company’s transition to a pure-play health and wellness services company, it currently has one operating segment that is also its sole reporting unit, which is comprised of XpresSpa.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operates in two geographical segments: the United States and all other countries. The following table represents the geographical revenue and segment operating loss for the three-month periods ended March 31, 2018 and 2017, and total asset information as of March 31, 2018 and December 31, 2017. There were no concentrations of geographical revenue, segment operating loss or total assets related to any single foreign country that were material to the Company’s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11,259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2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(23,276)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expense, net</w:t>
            </w: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32,567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Assets held for disposal</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derivative warrant liabilities measured at fair value on a recurring basis as of March 31, 2018 and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Company measures its derivative warrant liabilities at fair value. The derivative warrant liabilities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March 31, 2018 and December 31, 2017, consisted of cash and cash equivalents, trade and loan receivables, inventory, accounts payable and other current liabilities.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three-month period ended March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5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2018</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March 31, 2018:</w:t>
            </w: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39.56%</w:t>
            </w: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0" w:type="dxa"/>
            <w:vAlign w:val="bottom"/>
            <w:gridSpan w:val="3"/>
          </w:tcPr>
          <w:p>
            <w:pPr>
              <w:ind w:left="120"/>
              <w:spacing w:after="0"/>
              <w:rPr>
                <w:sz w:val="20"/>
                <w:szCs w:val="20"/>
                <w:color w:val="auto"/>
              </w:rPr>
            </w:pPr>
            <w:r>
              <w:rPr>
                <w:rFonts w:ascii="Arial" w:cs="Arial" w:eastAsia="Arial" w:hAnsi="Arial"/>
                <w:sz w:val="18"/>
                <w:szCs w:val="18"/>
                <w:color w:val="auto"/>
              </w:rPr>
              <w:t>Risk free interest rate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r>
      <w:tr>
        <w:trPr>
          <w:trHeight w:val="230"/>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CFF"/>
            </w:tcBorders>
          </w:tcPr>
          <w:p>
            <w:pPr>
              <w:spacing w:after="0"/>
              <w:rPr>
                <w:sz w:val="24"/>
                <w:szCs w:val="24"/>
                <w:color w:val="auto"/>
              </w:rPr>
            </w:pPr>
          </w:p>
        </w:tc>
        <w:tc>
          <w:tcPr>
            <w:tcW w:w="31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C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CFF"/>
            </w:tcBorders>
          </w:tcPr>
          <w:p>
            <w:pPr>
              <w:spacing w:after="0"/>
              <w:rPr>
                <w:sz w:val="24"/>
                <w:szCs w:val="24"/>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CFF"/>
            </w:tcBorders>
          </w:tcPr>
          <w:p>
            <w:pPr>
              <w:spacing w:after="0"/>
              <w:rPr>
                <w:sz w:val="24"/>
                <w:szCs w:val="24"/>
                <w:color w:val="auto"/>
              </w:rPr>
            </w:pPr>
          </w:p>
        </w:tc>
      </w:tr>
      <w:tr>
        <w:trPr>
          <w:trHeight w:val="210"/>
        </w:trPr>
        <w:tc>
          <w:tcPr>
            <w:tcW w:w="3200" w:type="dxa"/>
            <w:vAlign w:val="bottom"/>
            <w:shd w:val="clear" w:color="auto" w:fill="CCECFF"/>
          </w:tcPr>
          <w:p>
            <w:pPr>
              <w:spacing w:after="0"/>
              <w:rPr>
                <w:sz w:val="20"/>
                <w:szCs w:val="20"/>
                <w:color w:val="auto"/>
              </w:rPr>
            </w:pPr>
            <w:r>
              <w:rPr>
                <w:rFonts w:ascii="Arial" w:cs="Arial" w:eastAsia="Arial" w:hAnsi="Arial"/>
                <w:sz w:val="18"/>
                <w:szCs w:val="18"/>
                <w:color w:val="auto"/>
              </w:rPr>
              <w:t>Derivative warrant liabilities</w:t>
            </w:r>
          </w:p>
        </w:tc>
        <w:tc>
          <w:tcPr>
            <w:tcW w:w="120" w:type="dxa"/>
            <w:vAlign w:val="bottom"/>
            <w:shd w:val="clear" w:color="auto" w:fill="CCECFF"/>
          </w:tcPr>
          <w:p>
            <w:pPr>
              <w:spacing w:after="0"/>
              <w:rPr>
                <w:sz w:val="18"/>
                <w:szCs w:val="18"/>
                <w:color w:val="auto"/>
              </w:rPr>
            </w:pPr>
          </w:p>
        </w:tc>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CFF"/>
          </w:tcPr>
          <w:p>
            <w:pPr>
              <w:spacing w:after="0"/>
              <w:rPr>
                <w:sz w:val="18"/>
                <w:szCs w:val="18"/>
                <w:color w:val="auto"/>
              </w:rPr>
            </w:pPr>
          </w:p>
        </w:tc>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CFF"/>
          </w:tcPr>
          <w:p>
            <w:pPr>
              <w:spacing w:after="0"/>
              <w:rPr>
                <w:sz w:val="18"/>
                <w:szCs w:val="18"/>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3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180" w:type="dxa"/>
            <w:vAlign w:val="bottom"/>
            <w:shd w:val="clear" w:color="auto" w:fill="CCECFF"/>
          </w:tcPr>
          <w:p>
            <w:pPr>
              <w:spacing w:after="0"/>
              <w:rPr>
                <w:sz w:val="18"/>
                <w:szCs w:val="18"/>
                <w:color w:val="auto"/>
              </w:rPr>
            </w:pPr>
          </w:p>
        </w:tc>
        <w:tc>
          <w:tcPr>
            <w:tcW w:w="3400" w:type="dxa"/>
            <w:vAlign w:val="bottom"/>
            <w:gridSpan w:val="3"/>
            <w:shd w:val="clear" w:color="auto" w:fill="CCECFF"/>
          </w:tcPr>
          <w:p>
            <w:pPr>
              <w:ind w:left="120"/>
              <w:spacing w:after="0"/>
              <w:rPr>
                <w:sz w:val="20"/>
                <w:szCs w:val="20"/>
                <w:color w:val="auto"/>
              </w:rPr>
            </w:pPr>
            <w:r>
              <w:rPr>
                <w:rFonts w:ascii="Arial" w:cs="Arial" w:eastAsia="Arial" w:hAnsi="Arial"/>
                <w:sz w:val="18"/>
                <w:szCs w:val="18"/>
                <w:color w:val="auto"/>
              </w:rPr>
              <w:t>Expected term, in years</w:t>
            </w:r>
          </w:p>
        </w:tc>
        <w:tc>
          <w:tcPr>
            <w:tcW w:w="15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Marathon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11, 2018 (the “Transaction Date”), the Company entered into a Patent Rights Purchase and Assignment Agreement (the “Agreement”) with Crypto Currency Patent Holding Company LLC (the “Buyer”) and its parent company, Marathon, pursuant to which the Buyer agreed to purchase certain of the Company’s patents. As consideration for the patents, the Buyer paid $250 and Marathon issued 250,000 shares of Marathon common stock (the “Marathon Common Stock”) to the Company. The Marathon Common Stock is subject to a lockup period commencing on the Transaction Date and ending on July 11, 2018 (the “Lockup Period”).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Marathon Common Stock is recognized as a cost method investment and, as such, must be measured at cost on the date of acquisition, which, as of the Transaction Date, approximates fair value. The following table presents the placement in the fair value hierarchy of the Marathon Common Stock measured at fair value on a nonrecurring basis as of the Transaction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5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5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96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Marathon Common Stock was estimated by multiplying the number of shares as they become tradeable by the price per share as of the Transaction Date, information that falls within Level 1 of the fair value hierarchy, quoted prices in active markets for identical assets; however, due to the fact that the Marathon Common Stock is restricted during the Lockup Period, the Company applied a discount on the lack of marketability to estimate the fair value at the measurement date, which is a significant other observable input resulting in placement in Level 2 of the fair value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also required to measure the fair value on a recurring basis of the contingent consideration it assumed following the acquisition of Excalibur Integrated Systems, Inc. (“Excalibur”) on February 2, 2017. The Company determined that there was no change in the fair value of the contingent consideration of $316 between December 31, 2017 and March 31, 2018. Although the Company disposed of Excalibur as part of the Group Mobile disposition, the contingent consideration remained due to the remnant of the earn-out provision due to the former stockholders of Excalibur, which is what first led to the recognition of a contingent consideration upon the acquisition of Excalibur. The contingent consideration is included in other liabilities in the condensed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was determined using the Monte-Carlo simulation and, as such, was classified 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2018, 2,796,386 shares of the Company’s common stock were available for future grants under the Company’s 2012 Employee, Director and Consultant Equity Incentive Plan. Total stock-based compensation expense for the periods ended March 31, 2018 and 2017 was $312 and $741, respectively, the latter of which included stock-based compensation expense of $194 included in discontinued operations.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RSUs granted to a consultant during the three-month period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market</w:t>
            </w:r>
          </w:p>
        </w:tc>
        <w:tc>
          <w:tcPr>
            <w:tcW w:w="4680" w:type="dxa"/>
            <w:vAlign w:val="bottom"/>
          </w:tcPr>
          <w:p>
            <w:pPr>
              <w:spacing w:after="0"/>
              <w:rPr>
                <w:sz w:val="18"/>
                <w:szCs w:val="18"/>
                <w:color w:val="auto"/>
              </w:rPr>
            </w:pPr>
          </w:p>
        </w:tc>
      </w:tr>
      <w:tr>
        <w:trPr>
          <w:trHeight w:val="23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 of RSUs</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value at grant date</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term</w:t>
            </w: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53,408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Vesting immediately upon grant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during the three-month period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RSUs and stock options during the three-month period ended March 31, 2018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RSUs</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34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grant date</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exercise</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33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fair value</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w:t>
            </w:r>
          </w:p>
        </w:tc>
        <w:tc>
          <w:tcPr>
            <w:tcW w:w="2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4,317,942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 – 41.00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(686,041)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 – 37.20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9.60 – 16.50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5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March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330,188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3,579,585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 – 41.00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21"/>
                <w:szCs w:val="21"/>
                <w:color w:val="auto"/>
              </w:rPr>
            </w:pPr>
          </w:p>
        </w:tc>
      </w:tr>
      <w:tr>
        <w:trPr>
          <w:trHeight w:val="197"/>
        </w:trPr>
        <w:tc>
          <w:tcPr>
            <w:tcW w:w="3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as of March 31, 2018</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2,505,417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1.10 – 41.00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22, 2015, XpresSpa entered into a credit agreement and secured promissory note (the “Debt”) with Rockmore Investment Master Fund Ltd. (“Rockmore”), which was amended on August 8, 2016. Rockmore is an investment entity controlled by the Company’s board member, Bruce T. Bernstein. The Debt had an outstanding balance of $6,500 as of March 31, 2018 and December 31, 2017, included in long-term liabilities in the condensed consolidated balance sheets. During the quarter ended March 31, 2018, XpresSpa paid $150 of interest and recorded $183 of interest expense related to the debt.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2018, the Company and Rockmore agreed to extend the maturity date of the Debt from May 1, 2019 to December 31, 2019. No other material terms of the Debt were modified.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Discontinued Operations and Assets and Liabilities Held for 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2017, the Company sold FLI Charge to a group of private investors and FLI Charge management, to own and operate FLI Charge. Post-closing, the Company does not provide any continued management or financing support to FLI Charge.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7, 2018 (the “Signing Date”), the Company entered into a membership purchase agreement (the “Purchase Agreement”) with Route1 Security Corporation, a Delaware corporation (the “Buyer”), and Route1 pursuant to which the Buyer agreed to acquire Group Mobile (the “Disposition”). The transaction closed on March 22, 2018 (the “Closing Date”), after which the Company no longer had any involvement with Group Mobile.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25,000,000 shares of Route1 common stock (the “Route1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to purchase 30,000,000 shares of Route1 Common Stock, which will feature an exercise price of CAD 5 cents per share of common stock and will be exercisable for a three-year period;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Purchase Agreement.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retained certain inventory with a value of $555 to be disposed of separately from the transaction with Route1 in the first half of 2018. Of this amount, $110 was sold as of March 31, 2018 resulting in $445 remaining in assets held for disposal in the condensed consolidated balance sheets as of that date. Assets held for disposal also includes $272 of accounts receivable associated with the sale of the inventory excluded from the transaction with Route1.</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Purchase Agreement also contains representations, warranties, and covenants customary for transactions of this type.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consideration of the Disposition is recognized as a cost method investment and, as such, must be measured at cost on the date of acquisition, which, as of the Closing Date, approximates fair value. The fair value of the total consideration as of the Closing Date was determined to be $1,625, which is less than the carrying value of the asset, and is included in other assets in the condensed consolidated balance sheet as of March 31, 2018. This resulted in a loss on disposal of $301, which is included in consolidated net loss from discontinued operations in the condensed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Route 1 Common Stock was determined to be $308, which was estimated by multiplying the number of shares as they become tradeable by the price per share as of the Closing 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warrants was determined to be $176, which was obtained using the Black-Scholes-Merton model.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earn-out provision was determined to be $1,141, which was estimated using a Monte-Carlo simulation analysis.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value of the Route1 Common Stock was classified within Level 2 of the fair value hierarchy because, although quoted prices in active markets for identical assets were used, which is a Level 1 attribute, the Company applied a discount on the lack of marketability to estimate the fair value due to the fact that the Route1 Common Stock will be restricted for different periods, which is a significant other observable input. The value of the warrants and earn-out provision were classified within Level 3 of the fair value hierarchy because they were valued using the Black-Scholes-Merton model and a Mote-Carlo simulation analysis, respectively, each of which utilizes significant inputs that are unobservable in the market.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fair value measurements are evaluated by management to ensure that they are consistent with expectations of management based upon the sensitivity and nature of the inputs.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Operating Results and Assets and Liabilities Held for 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components of the consolidated net loss from discontinued operations, as presented in the condensed consolidated statements of operations and comprehensive loss, for the three-month periods ended March 31, 2018 for Group Mobile and March 31, 2017 for Group Mobile and FLI Charge: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63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(2,960)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(1,868)</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Non-operating expense</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2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loss from discontinued operations</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following table presents the carrying amounts of Group Mobile’s major classes of assets and liabilities held for disposal as of March 31, 2018 and December 31, 2017, as presented in the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current assets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Deferred revenue</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quarter ended March 31, 2018 reflect an estimated global annual effective tax rate of approximately 0.57%. As of March 31, 2018,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 for the quarter ended March 31, 2018 of $84 was attributable primarily to the reduction to the valuation allowance as a result of the Tax Cuts and Jobs Act’s impact on the lives of net operating losses.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in the next year.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recorded $250, which is included in accounts payable, accrued expenses, and other current liabilities in the condensed consolidated balance sheet as of March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Atlanta determine monies potentially due to Cordial.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removed the lawsuit to the United States District Court for the Northern District of Georgia.</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68" w:lineRule="auto"/>
        <w:tabs>
          <w:tab w:leader="none" w:pos="194"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we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are in the process of preparing this submission for filing with the Court by the May 18, 2018 deadline.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the Company and its directors in the United States District Court for the Southern District of New York. The lawsuit alleges violations of various sections of the Exchange Act, material omissions and misrepresentations (negligent and fraudulent), fraudulent omission, expropriation, breach of fiduciary duties, aiding and abetting, and unjust enrichment in the defendants’ conduct related to the Company’s acquisition of XpresSpa, and seeks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On March 21, 2018, the plaintiffs filed an opposition to the motion to dismiss the amended complaint. On March 30, 2018, the defendants filed a reply in further support of the defendants’ motion to dismiss the amended complaint.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an action is brought against us or one of our subsidiaries, we will investigate the allegation and vigorously defend ourselves.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15, 2018, the Company entered into the Agreement with the Investors, pursuant to which the Company agreed to sell up to (i) an aggregate principal amount of $4,438 in the Convertible Notes, which includes $88 issued to Palladium Capital Advisors as Placement Agent, convertible into Common Stock at a conversion price of $0.62 per share, (ii) Class A Warrants to purchase 7,157,259 shares of Common Stock at an exercise price of $0.62 per share and (iii) Class B Warrants to purchase up to 3,578,630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in November 2019. The Company intends to use the proceeds of this financing primarily for working capital and new store openings. The Company expects to close the transaction as soon as possible following the filing of these financial statements.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$296, beginning in September 2018, and the Company may make such payments and related interest payments in cash or, subject to certain conditions, in registered shares of its common stock (or a combination thereof), at its election. If the Company chooses to repay the Convertible Notes in shares of its common stock, the shares will be issued at a 10% discount to the volume weighted average price of the Company’s common stock for the five (5) trading days commencing eight (8) days prior to the relevant repayment</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date and 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early repayment penalties of 15%.</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2017 filed on March 29, 2018, as subsequently amended on April 30, 2018 (the “2017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condensed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a well-recognized airport spa brand with 57 locations, consisting of 52 domestic and 5 international locations as of March 31, 2018. It offers travelers premium spa services, including massage, nail and skin care, as well as spa and travel products. For the three-month period ended March 31, 2018, approximately 86% of XpresSpa’s total revenue was generated by services, primarily massage and nailcare, and 14% was generated by retail products, primarily travel accessories.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March 31, 2018 and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own certain patent portfolios, which we now look to monetize through sales and licensing agreements.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Q1 2018 Adjusted EBITDA</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9"/>
              </w:rPr>
              <w:t>Three months ended</w:t>
            </w:r>
          </w:p>
        </w:tc>
        <w:tc>
          <w:tcPr>
            <w:tcW w:w="178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March 31, 2018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Products and services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Labor</w:t>
            </w: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(6,210,000)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(5,309,000)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Products and other operating costs</w:t>
            </w: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(1,443,000)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(1,755,000)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(606,000)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(592,000)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(4,596,000)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(4,993,000)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3000"/>
        <w:spacing w:after="0" w:line="261" w:lineRule="auto"/>
        <w:rPr>
          <w:sz w:val="20"/>
          <w:szCs w:val="20"/>
          <w:color w:val="auto"/>
        </w:rPr>
      </w:pPr>
      <w:r>
        <w:rPr>
          <w:rFonts w:ascii="Arial" w:cs="Arial" w:eastAsia="Arial" w:hAnsi="Arial"/>
          <w:sz w:val="18"/>
          <w:szCs w:val="18"/>
          <w:color w:val="auto"/>
        </w:rPr>
        <w:t>Merger and acquisition, integration, and one-time costs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17"/>
          <w:szCs w:val="17"/>
          <w:color w:val="auto"/>
        </w:rPr>
        <w:t>1,653,000</w:t>
      </w:r>
      <w:r>
        <w:rPr>
          <w:sz w:val="20"/>
          <w:szCs w:val="20"/>
          <w:color w:val="auto"/>
        </w:rPr>
        <w:tab/>
      </w:r>
      <w:r>
        <w:rPr>
          <w:rFonts w:ascii="Arial" w:cs="Arial" w:eastAsia="Arial" w:hAnsi="Arial"/>
          <w:sz w:val="17"/>
          <w:szCs w:val="17"/>
          <w:color w:val="auto"/>
        </w:rPr>
        <w:t>1,726,000</w:t>
      </w:r>
    </w:p>
    <w:p>
      <w:pPr>
        <w:spacing w:after="0" w:line="35" w:lineRule="exact"/>
        <w:rPr>
          <w:sz w:val="20"/>
          <w:szCs w:val="20"/>
          <w:color w:val="auto"/>
        </w:rPr>
      </w:pPr>
    </w:p>
    <w:p>
      <w:pPr>
        <w:ind w:left="760"/>
        <w:spacing w:after="0"/>
        <w:tabs>
          <w:tab w:leader="none" w:pos="3200" w:val="left"/>
        </w:tabs>
        <w:rPr>
          <w:sz w:val="20"/>
          <w:szCs w:val="20"/>
          <w:color w:val="auto"/>
        </w:rPr>
      </w:pPr>
      <w:r>
        <w:rPr>
          <w:rFonts w:ascii="Arial" w:cs="Arial" w:eastAsia="Arial" w:hAnsi="Arial"/>
          <w:sz w:val="18"/>
          <w:szCs w:val="18"/>
          <w:color w:val="auto"/>
        </w:rPr>
        <w:t>19,630,000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526,000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312,000</w:t>
      </w:r>
      <w:r>
        <w:rPr>
          <w:rFonts w:ascii="Arial" w:cs="Arial" w:eastAsia="Arial" w:hAnsi="Arial"/>
          <w:sz w:val="16"/>
          <w:szCs w:val="16"/>
          <w:color w:val="auto"/>
        </w:rPr>
        <w:t>547,000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160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(1,461,000)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(1,770,000)</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560"/>
          </w:cols>
          <w:pgMar w:left="240" w:top="904"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including Adjusted EBITDA, a non-GAAP measure, which we define as earnings before interest, tax, depreciation and amortization expense, excluding merger and acquisition, integration and one-time costs and stock-based compensation.</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Adjusted EBITDA is a supplemental measure of financial performance that is not required by, or presented in accordance with, GAAP. Reconciliations of operating loss for the three-month periods ended March 31, 2018 and March 31, 2017 to Adjusted EBITDA loss are presented in the tables above.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March 31, 2018 compared to the three-month period ended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6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12,600,000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11,084,000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three-month period ended March 31, 2018, we recorded total revenue of $12,600,000, which represents an increase of $1,516,000 (or 13.7%) compared to the three-month period ended March 31, 2017. The increase in revenue was a result of the opening of nine new XpresSpa locations and the closure of five underperforming locations during fiscal year 2017 and the opening of three new XpresSpa locations and the closure of two underperforming locations during the first quarter of fiscal year 2018. Additionally, we have experienced an increase in comparable store sales, which we define as current period sales from stores opened more than 12 months compared to those same stores’ sales in the prior year period.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during the three-month period ended March 31, 2018, we sold certain of our patents for $250,000 and shares of common stock in Marathon Patent Group, Inc. that were fair valued at $450,000. Additionally, in both three-month periods ended March 31, 2018 and March 31, 2017, we entered into an executed confidential patent license agreement with a third-party for which we received a one-time lump sum payment of $100,000.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6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three-month period ended March 31, 2018, we recorded total cost of sales of $9,777,000, which represents an increase of $843,000 (or 9.4%) compared to the three-month period ended March 31, 2017. This is consistent with the increase in revenues, as we have experienced an increase in cost of sales associated with labor and occupancy due to the opening of new stores during fiscal year 2017 and the first quarter of fiscal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three-month period ended March 31, 2018, depreciation and amortization expense totaled $1,653,000, which represents a decrease of $73,000 (or 4.2%), compared to the depreciation and amortization expense recorded during the three-month period ended March 31, 2017. The decrease was due to the disposal of certain property and equipment during fiscal year 2017 that reduced the amount of the quarterly depreciation expense.</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Goodwill impairment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6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19,630,000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2018, we recorded $19,630,000 of goodwill impairment expense. There was no goodwill impairment recorded during the three-month period ended March 31, 2017.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2018, we changed our name to XpresSpa Group as part of a rebranding effort to align our corporate strategy to build a pure-play health and wellness services company, which we commenced following our acquisition of XpresSpa on December 23, 2016. Following the subsequent sale of Group Mobile on March 22, 2018, which was the only remaining component of our technology operating segment, our management made the decision that our intellectual property operating segment would no longer be an area of focus and would no longer operate as a separate operating segment as it is not expected to generate any material revenues. This completed our transition into a pure-play health and wellness company with only one operating segment, consisting of our XpresSpa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as our Director.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events were identified by our management as triggering events requiring that goodwill be tested for impairment as of March 31, 2018. In addition to our rebranding efforts to a pure-play health and wellness services company, our stock price continued to decline even after the announcement of the new Chief Executive Officer. Our stock price has averaged $0.67 following March 31, 2018. As the stock price has not rebounded, we determined that the impairment relates to the three-month period ended March 31,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testing on the estimated fair value of goodwill and, as a result, we recorded an impairment charge of $19,630,000 to reduce the carrying value of goodwill to its fair value, which was determined to be zero.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to goodwill was a result of the structural changes to the Company, including completion of the transition from a holding company to a pure play health and wellness company and the change in Chief Executive Officer.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March 31, 2018, general and administrative expenses decreased by $397,000 (or 8.0%) compared to the three-month period ended March 31, 2017. This decrease is a result of streamlined processes at the corporate level to reduce administrative costs, as well as a reduction in stock-based compensation expense of $235,000 from $547,000 for the three-month period ended March 31, 2017 to $312,000 for the three-month period ended March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gain or loss on the revaluation of derivative warrant liabilities and other non-operating income and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three-month period ended March 31, 2018, we recorded net non-operating expense in the amount of $273,000 compared to net non-operating expense in the amount of $75,000 recorded during the three-month period ended March 31, 2017.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three-month period ended March 31, 2018, we recorded interest expense of $183,000 related to XpresSpa’s credit agreement and secured promissory note (the “Debt”) with Rockmore Investment Master Fund Ltd. (“Rockmore”) and other non-operating expenses of $123,000. These non-operating expenses were offset by a gain of $33,000 on the revaluation of the derivative warrant liabilities that is reported as non-operating income.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three-month period ended March 31, 2017, we recorded interest expense of $189,000 related to the Debt. This non-operating expense was offset by a gain of $26,000 on the revaluation of the derivative warrant liabilities and additional non-operating income of $88,000.</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liquidity and capital requirements are for new XpresSpa locations. As of March 31, 2018, we had cash and cash equivalents of $3,554,000. We hold significant portions of our cash balance in overseas accounts, which is not insured by the Federal Deposit Insurance Corporation (“FDIC”). If we were to distribute the amounts held overseas, we would need to follow an approval process as it is defined in our operating and partnership agreements, which may delay the availability of our cash to us.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three-month period ended March 31, 2018, we incurred $1,244,000 of capital expenditures, paid $150,000 of interest on the Debt, distributed $220,000 to noncontrolling interests and spent $2,184,000 on our operations. This was offset by the receipt of $250,000 from the sale of patents in January 2018 and the receipt of $800,000 from a note receivable that was paid in full in February 2018. We expect to utilize our cash and cash equivalents, along with cash flows from operations, to provide capital to support the growth of our business, primarily through opening new XpresSpa locations, maintaining our existing XpresSpa locations and maintaining corporate functions. As of March 31, 2018, we had approximately $2,050,000 inventory and prepaid expenses and $717,000 of assets held for disposal, which amount to total current assets of $6,321,000. Our total current liabilities which include accounts payables, accrued expenses and accrued reserves were $8,560,000.</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15, 2018, we entered into a securities purchase agreement (the “Agreement”) with certain institutional investors (the “Investors”), pursuant to which we agreed to sell up to (i) an aggregate principal amount of $4,438,000 in 5% Secured Convertible Notes due 2019, which includes $88,000 to be issued to Palladium Capital Advisors as Placement Agent (the “Convertible Notes”), convertible into shares of our common stock, par value $0.01 per share (the “Common Stock”) at a conversion price of $0.62 per share, (ii) Class A Warrants (the “Class A Warrants”) to purchase 7,157,259 shares of Common Stock at an exercise price of $0.62 per share and (iii) Class B Warrants (the “Class B Warrants,” and together with the Class A Warrants, the “Warrants”) to purchase 3,578,630 shares of Common Stock at an exercise price of $0.62 per share. The Convertible Notes bear interest at a rate of 5% per annum. The Convertible Notes are senior secured obligations of ours and are secured by certain of our personal property. Unless earlier converted or redeemed, the Convertible Notes will mature in November 2019.</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approximately $296,000, beginning in September 2018, and we may make such payments and related interest payments in cash or, subject to certain conditions, in registered shares of our common stock (or a combination thereof), at our election. If we choose to repay the Convertible Notes in shares of our common stock, the shares will be issued at a 10% discount to the volume weighted average price of our common stock for the five (5) trading days commencing eight (8) days prior to the relevant repayment date and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We may also repay the Convertible Notes in advance of the maturity schedule subject to early repayment penalties of 15%.</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believes that our current cash balance, the issuance of the Convertible Notes and Warrants, and cash provided by future operating activities will be sufficient to fund our planned operations and scheduled Convertible Notes principal repayments for at least the next twelve months following the date of the filing of these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filed with the SEC on March 29, 2018, as subsequently amended on April 30, 2018,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2018,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as of the end of the period covered by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and 15d-15(f) under the Exchange Act) that occurred during the quarter ended March 31, 2018 that has materially affected, or is reasonably likely to materially affect, our internal control over financial reporting.</w:t>
      </w:r>
    </w:p>
    <w:p>
      <w:pPr>
        <w:sectPr>
          <w:pgSz w:w="11900" w:h="16838" w:orient="portrait"/>
          <w:cols w:equalWidth="0" w:num="1">
            <w:col w:w="11420"/>
          </w:cols>
          <w:pgMar w:left="240" w:top="904" w:right="239" w:bottom="0" w:gutter="0" w:footer="0" w:header="0"/>
        </w:sectPr>
      </w:pPr>
    </w:p>
    <w:bookmarkStart w:id="24" w:name="page25"/>
    <w:bookmarkEnd w:id="24"/>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proceedings, see Note 12 “Commitments and Contingencies” in our notes to the condensed consolidated financial statements included in “Item 1. Financial Statements.”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2017.</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Offering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15, 2018, the Company entered into a securities purchase agreement (the “Purchase Agreement”) with certain accredited investors (the “Investors”), pursuant to which the Company agreed to sell (the “Offering”) up to (i) an aggregate principal amount of $4,438,000 in 5% Secured Convertible Notes due 2019, which includes $88,000 issued to Palladium Capital Advisors as Placement Agent (the “Convertible Notes”), convertible into shares of common stock of the Company, par value $0.01 per share (“Common Stock”) at a conversion price of $0.62 per share, (ii) Class A Warrants to purchase 7,157,259 shares of Common Stock at an exercise price of $0.62 per share (the “Class A Warrants”) and (iii) Class B Warrants to purchase 3,578,630 shares of Common Stock at an exercise price of $0.62 per share (the “Class B Warrants,” and together with the Class A Warrants, the “Warrants”). The Company expects to receive $4,350,000 in gross proceeds from the Offering. The Company expects to close the transaction as soon as possible following the filing of these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Purchase Agreement contains representations and warranties of the Company and the Investors which are typical for transactions of this type. In addition, the Purchase Agreement contains customary covenants on the Company’s part that are typical for transactions of this type, as well as the following additional covenants: (i) until no Investor holds less than 10% of the Convertible Notes originally issued to such Investor, the Company agreed not to enter into any variable rate transactions; (ii) the Company agreed to offer to the Investors, until one year after the Closing, the opportunity to participate in any subsequent securities offerings by the Company; (iv) the Company agreed to use its commercially reasonable efforts to hold a stockholder meeting within 120 days of the Closing Date at which the Company will solicit the stockholders’ affirmative vote for approval of its issuance of certain shares issuable upon conversion of the Convertible Notes and the exercise of the Warrants described in the transaction documents in accordance with the applicable law and rules and regulations of the Nasdaq Stock Market (“Nasdaq”).</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Agreement obligates the Company to indemnify the Investors and various related parties for certain losses including those resulting from (i) any misrepresentation or breach of any representation or warranty made by the Company, (ii) any breach of any obligation of the Company, and (iii) certain claims by third parties.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Convertible Notes and Warrants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Convertible Notes are senior secured obligations of the Company and are secured by certain personal property of the Company, pursuant to a Security Agreement (as defined below). Unless earlier converted or redeemed, the Convertible Notes will mature in November 2019. The Convertible Notes bear interest at a rate of 5% per annum, subject to increase in the event of default to the lesser of 18% per annum or the maximum rate permitted under applicable law. The Convertible Notes, including interest accrued thereon, are convertible at any time until a Convertible Note is no longer outstanding, in whole or in part, at the option of the holders into shares of Common Stock at a conversion price of $0.62 per share. The Convertible Notes have a beneficial ownership limitation such that none of the Investors have the right to convert any portion of their Convertible Notes if the Investor (together with its affiliates or any other persons acting together as a group with the Investor) would beneficially own in excess of 9.99% of the number of shares of Common Stock outstanding immediately after giving effect to the issuance of Common Stock issuable upon conversion of such Convertible Notes. In addition, the Convertible Notes provide for a conversion cap such that the Company may not issue any shares of Common Stock upon conversion of Convertible Notes which would exceed the aggregate number of shares of Common Stock the Company could issue upon conversion of the Convertible Notes without breaching its obligations, if any, under Nasdaq rules and regulations.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Interest on the Convertible Notes is payable in arrears beginning in September 2018, on the four-month anniversary of the issuance of the Convertible Notes, and is payable on each monthly anniversary thereafter, including at maturity when all amounts outstanding under the Convertible Notes become due and payable (each a “Payment Date”). The Company may elect to pay interest in cash, shares of Common Stock or a combination thereof. On each Payment Date, the Company must also make payments to the Investors in an amount equal to 6.67% of the initial principal amount of the outstanding Convertible Notes (the “Monthly Principal Amount”). The Company may elect to pay the Monthly Principal Amount in shares of Common Stock (or a combination of cash and shares of Common Stock) (a “Principal Share Payment”), subject to certain conditions. A Principal Share Payment will be determined by dividing the Monthly Principal Amount by ninety percent (90%) of the daily volume weighted average price, or VWAP, as defined and determined under the Convertible</w:t>
      </w:r>
    </w:p>
    <w:p>
      <w:pPr>
        <w:spacing w:after="0" w:line="3"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Notes, for the five (5) trading days beginning on the eighth (8</w:t>
      </w:r>
      <w:r>
        <w:rPr>
          <w:rFonts w:ascii="Arial" w:cs="Arial" w:eastAsia="Arial" w:hAnsi="Arial"/>
          <w:sz w:val="28"/>
          <w:szCs w:val="28"/>
          <w:color w:val="auto"/>
          <w:vertAlign w:val="superscript"/>
        </w:rPr>
        <w:t>th</w:t>
      </w:r>
      <w:r>
        <w:rPr>
          <w:rFonts w:ascii="Arial" w:cs="Arial" w:eastAsia="Arial" w:hAnsi="Arial"/>
          <w:sz w:val="17"/>
          <w:szCs w:val="17"/>
          <w:color w:val="auto"/>
        </w:rPr>
        <w:t>) trading day prior to the relevant Payment Date and ending on the fourth (4</w:t>
      </w:r>
      <w:r>
        <w:rPr>
          <w:rFonts w:ascii="Arial" w:cs="Arial" w:eastAsia="Arial" w:hAnsi="Arial"/>
          <w:sz w:val="28"/>
          <w:szCs w:val="28"/>
          <w:color w:val="auto"/>
          <w:vertAlign w:val="superscript"/>
        </w:rPr>
        <w:t>th</w:t>
      </w:r>
      <w:r>
        <w:rPr>
          <w:rFonts w:ascii="Arial" w:cs="Arial" w:eastAsia="Arial" w:hAnsi="Arial"/>
          <w:sz w:val="17"/>
          <w:szCs w:val="17"/>
          <w:color w:val="auto"/>
        </w:rPr>
        <w:t>) trading day preceding such Payment Date. Notwithstanding the foregoing, the Principal Share Repayment shall not be less than 20% of the conversion price of the Convertible Notes on the date of issuance unless the Company is not then subject to Nasdaq listing rule 5635(d) or if approved by Nasdaq.</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Company receives gross cash proceeds of $10,000,000 or more in connection with a closing of an offering of its securities, the Convertible Notes require the Company to make an offer to the Investors to repay an Investor’s pro rata portion of the net proceeds, if such a closing occurs, of up to 100% of the Investor’s principal amount of Convertible Notes and accrued but unpaid interest designated by the Investor. Beginning four months after issuance, the Company has the option to prepay the outstanding principal amount of Convertible Notes, in whole or in part, by paying to the Investor 115% of the principal amount to be redeemed, together with accrued but unpaid interest, if any, and any other sums due, accrued or payable to the Investor under the Convertible Notes.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Convertible Notes also contain certain negative covenants, including prohibitions on the incurrence of indebtedness, liens, amendments to the Company’s organizational documents, dividends, redemption, related party transactions and entry into any equity line of credit agreement or variable rate transactions. The Convertible Notes also contain standard and customary events of default including, but not limited to, failure to make payments when due, failure to observe or perform covenants or agreements contained in the Convertible Notes, existence of a default or event of default under any of the Transaction Documents (as defined in the Convertible Notes), the bankruptcy or insolvency of the Company or any of its subsidiaries and unsatisfied judgments against the Company.</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Class A Warrants and Class B Warrants entitle the holders to purchase 7,157,259 and 3,578,630 shares of Common Stock, respectively. The Class A Warrants are exercisable beginning six months from the date of issuance and have a term of five years. The Class B Warrants are exercisable beginning six months from the date of issuance and have a term of six months. The Class A Warrants and Class B Warrants each have an exercise price of $0.62 per share.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each of the Convertible Notes and the Warrants provide for anti-dilution protection for issuances of Common Stock at a price per share less than the price equal to the conversion price or exercise price, as applicable, subject to approval by the Company’s stockholders. In the event of a “fundamental transaction” (as defined in the Warrants), the Investors will have the right to receive the value of the Warrants as determined in accordance with the Black Scholes option pricing model.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Convertible Notes, Warrants and the shares of common stock issuable upon conversion and exercise of the Convertible Notes and Warrants (the “Underlying Shares”) have not been registered under the Securities Act of 1933, as amended (the “Securities Act”) and were issued and sold in reliance upon the exemption from registration contained in Section 4(a)(2) of the Securities Act and Rule 506(b) of Regulation D promulgated thereunder. Each Investor acquired the securities for investment and acknowledged that it is an accredited investor as defined by Rule 501 under the Securities Act. The Convertible Notes, Warrants and Underlying Shares may not be offered or sold in the absence of an effective registration statement or exemption from the registration requirements under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Purchase Agreement, the Company and the Investors entered into a Registration Rights Agreement (the “Registration Rights Agreement”), pursuant to which the Company has agreed to register the Underlying Shares on a registration statement on Form S-3 (the “Registration Statement”) to be filed with the United States Securities and Exchange Commission (the “SEC”) within forty-five (45) days after the date of the issuance of the Convertible Notes and Warrants and to cause the Registration Statement to be declared effective under the Securities Act of 1933, as amended (the “Securities Act”). If certain of the Company’s obligations under the Registration Rights Agreement are not met, the Company is required to pay partial liquidated damages to the Investors.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33"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Security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also entered into a Security Agreement (the “Security Agreement”) with Alpha Capital Anstalt, as collateral agent (the “Collateral Agent”), the Investors and such holders of the Convertible Notes as may be issued in the future (together with the Investors, the “Secured Parties”). Pursuant to the Security Agreement, the Secured Parties were granted a security interest in certain of the Company’s personal property to secure the payment and performance of all of the Company’s obligations under the Convertible Notes, Warrants, Purchase Agreement, Registration Rights Agreement and Security Agreement (together, the “Transaction Documents”). In addition, in connection the Security Agreement, certain of the Company’s subsidiaries executed a subsidiary guaranty (each a “Subsidiary Guarantor,” and together the “Subsidiary Guarantors”), pursuant to which the Subsidiary Guarantors agreed to guarantee and act as surety for the payment of the Convertible Notes and other of the Company’s obligations under the Transaction Documents. The Convertible Notes will be effectively subordinated to an existing secured promissory note, as amended (the “Senior Note”), and all of the Company’s obligations under the Senior Note (together the “Senior Debt”) held by Rockmore Investment Master Fund Ltd. (“Rockmore” or the “Senior Lender”) until the Senior Debt is paid in full.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Purchase Agreement, Registration Rights Agreement, Security Agreement, Convertible Notes and Warrants are incomplete, and are subject to, and qualified in their entirety by reference to the full text of thereof, copies of each of which are attached hereto as exhibits 10.8, 10.9, 10.10, 4.1, 4.2 and 4.3, respectively, each of which is incorporated herein in its entirely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under the Company’s Section 382 Rights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board of directors has previously adopted a Section 382 Rights Agreement, dated as of March 18, 2016, between the Company and American Stock Transfer &amp; Trust Company, LLC, as rights agent (the “Rights Agreement”) to protect stockholder value by deterring acquisitions of the Company’s common stock that would potentially limit the Company’s ability to use its net operating loss carryforwards (“NOLs”) and other tax benefits, which may be used to reduce potential future income tax obligations. In general, the rights issued under the Rights Agreement impose a significant penalty to any person, together with its Affiliates (as defined in the Rights Agreement), that acquires 4.99% or more of the Company’s common stock, unless such person is an “Exempt Person” or is otherwise excluded from the Rights Agreement.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Offering, the Company has granted an exemption to Alpha Capital Anstalt (“Alpha”) under the Rights Agreement, following the determination by the board of directors of the Company that Alpha is an “Exempt Person” pursuant to Section 29 of the Rights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Rockmore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14, 2018, the Company and Rockmore agreed to extend the maturity date of the credit agreement and secured promissory note (the “Debt”) from May 1, 2019 to December 31, 2019. No other material terms of the Debt were modified.</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9"/>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20" w:type="dxa"/>
            <w:vAlign w:val="bottom"/>
          </w:tcPr>
          <w:p>
            <w:pPr>
              <w:spacing w:after="0"/>
              <w:rPr>
                <w:sz w:val="24"/>
                <w:szCs w:val="2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9"/>
          </w:tcPr>
          <w:p>
            <w:pPr>
              <w:ind w:left="11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300" w:type="dxa"/>
            <w:vAlign w:val="bottom"/>
          </w:tcPr>
          <w:p>
            <w:pPr>
              <w:spacing w:after="0" w:line="170"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gridSpan w:val="18"/>
          </w:tcPr>
          <w:p>
            <w:pPr>
              <w:spacing w:after="0" w:line="170" w:lineRule="exact"/>
              <w:rPr>
                <w:rFonts w:ascii="Arial" w:cs="Arial" w:eastAsia="Arial" w:hAnsi="Arial"/>
                <w:sz w:val="18"/>
                <w:szCs w:val="18"/>
                <w:color w:val="0000EE"/>
              </w:rPr>
            </w:pPr>
            <w:hyperlink w:anchor="page31">
              <w:r>
                <w:rPr>
                  <w:rFonts w:ascii="Arial" w:cs="Arial" w:eastAsia="Arial" w:hAnsi="Arial"/>
                  <w:sz w:val="18"/>
                  <w:szCs w:val="18"/>
                  <w:color w:val="0000EE"/>
                </w:rPr>
                <w:t>Form of Convertible Note.</w:t>
              </w:r>
            </w:hyperlink>
          </w:p>
        </w:tc>
      </w:tr>
      <w:tr>
        <w:trPr>
          <w:trHeight w:val="412"/>
        </w:trPr>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4.</w:t>
              </w:r>
              <w:r>
                <w:rPr>
                  <w:rFonts w:ascii="Arial" w:cs="Arial" w:eastAsia="Arial" w:hAnsi="Arial"/>
                  <w:sz w:val="18"/>
                  <w:szCs w:val="18"/>
                  <w:u w:val="single" w:color="auto"/>
                  <w:color w:val="0000EE"/>
                  <w:w w:val="93"/>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Form of Class A Warrant.</w:t>
              </w:r>
            </w:hyperlink>
          </w:p>
        </w:tc>
        <w:tc>
          <w:tcPr>
            <w:tcW w:w="40" w:type="dxa"/>
            <w:vAlign w:val="bottom"/>
            <w:tcBorders>
              <w:top w:val="single" w:sz="8" w:color="0000EE"/>
            </w:tcBorders>
          </w:tcPr>
          <w:p>
            <w:pPr>
              <w:spacing w:after="0"/>
              <w:rPr>
                <w:sz w:val="24"/>
                <w:szCs w:val="24"/>
                <w:color w:val="auto"/>
              </w:rPr>
            </w:pPr>
          </w:p>
        </w:tc>
        <w:tc>
          <w:tcPr>
            <w:tcW w:w="8120" w:type="dxa"/>
            <w:vAlign w:val="bottom"/>
            <w:gridSpan w:val="14"/>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4.</w:t>
              </w:r>
              <w:r>
                <w:rPr>
                  <w:rFonts w:ascii="Arial" w:cs="Arial" w:eastAsia="Arial" w:hAnsi="Arial"/>
                  <w:sz w:val="18"/>
                  <w:szCs w:val="18"/>
                  <w:u w:val="single" w:color="auto"/>
                  <w:color w:val="0000EE"/>
                  <w:w w:val="93"/>
                </w:rPr>
                <w:t>3*</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Form of Class B Warrant.</w:t>
              </w:r>
            </w:hyperlink>
          </w:p>
        </w:tc>
        <w:tc>
          <w:tcPr>
            <w:tcW w:w="8180" w:type="dxa"/>
            <w:vAlign w:val="bottom"/>
            <w:gridSpan w:val="16"/>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Credit agreement dated as of April 22, 2015, by and between XpresSpa Holdings, LLC and Rockmore Investment Master Fund Ltd.</w:t>
              </w:r>
            </w:hyperlink>
          </w:p>
        </w:tc>
        <w:tc>
          <w:tcPr>
            <w:tcW w:w="520" w:type="dxa"/>
            <w:vAlign w:val="bottom"/>
            <w:gridSpan w:val="4"/>
          </w:tcPr>
          <w:p>
            <w:pPr>
              <w:spacing w:after="0"/>
              <w:rPr>
                <w:sz w:val="24"/>
                <w:szCs w:val="24"/>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First Amendment to Credit Agreement and Conditional Waiver dated as of August 8, 2016, by and between XpresSpa Holdings, LLC and</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Rockmore Investment Master Fund Ltd.</w:t>
              </w:r>
            </w:hyperlink>
          </w:p>
        </w:tc>
        <w:tc>
          <w:tcPr>
            <w:tcW w:w="71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3*</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50">
              <w:r>
                <w:rPr>
                  <w:rFonts w:ascii="Arial" w:cs="Arial" w:eastAsia="Arial" w:hAnsi="Arial"/>
                  <w:sz w:val="18"/>
                  <w:szCs w:val="18"/>
                  <w:color w:val="0000EE"/>
                  <w:w w:val="91"/>
                </w:rPr>
                <w:t>Second Amendment to Credit Agreement dated as of May 10, 2017, by and between XpresSpa Holdings, LLC and B3D, LLC.</w:t>
              </w:r>
            </w:hyperlink>
          </w:p>
        </w:tc>
        <w:tc>
          <w:tcPr>
            <w:tcW w:w="900" w:type="dxa"/>
            <w:vAlign w:val="bottom"/>
            <w:gridSpan w:val="5"/>
          </w:tcPr>
          <w:p>
            <w:pPr>
              <w:spacing w:after="0"/>
              <w:rPr>
                <w:sz w:val="24"/>
                <w:szCs w:val="24"/>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15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4*</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Third Amendment to Credit Agreement dated as of May 14, 2018, by and between XpresSpa Holdings, LLC and B3D, LLC.</w:t>
              </w:r>
            </w:hyperlink>
          </w:p>
        </w:tc>
      </w:tr>
      <w:tr>
        <w:trPr>
          <w:trHeight w:val="20"/>
        </w:trPr>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5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5*</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Security Agreement dated as of April 22, 2015, by and between XpresSpa Holdings, LLC and Rockmore Investment Master Fund Ltd.</w:t>
              </w:r>
            </w:hyperlink>
          </w:p>
        </w:tc>
        <w:tc>
          <w:tcPr>
            <w:tcW w:w="320" w:type="dxa"/>
            <w:vAlign w:val="bottom"/>
            <w:gridSpan w:val="3"/>
          </w:tcPr>
          <w:p>
            <w:pPr>
              <w:spacing w:after="0"/>
              <w:rPr>
                <w:sz w:val="24"/>
                <w:szCs w:val="24"/>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18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6*</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Supplement No. 1 to Security Agreement dated as of May 18, 2015, by and between XpresSpa Holdings, LLC and Rockmore Investment</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Master Fund Ltd.</w:t>
              </w:r>
            </w:hyperlink>
          </w:p>
        </w:tc>
      </w:tr>
      <w:tr>
        <w:trPr>
          <w:trHeight w:val="20"/>
        </w:trPr>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18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7*</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5"/>
              </w:rPr>
            </w:pPr>
            <w:hyperlink w:anchor="page185">
              <w:r>
                <w:rPr>
                  <w:rFonts w:ascii="Arial" w:cs="Arial" w:eastAsia="Arial" w:hAnsi="Arial"/>
                  <w:sz w:val="18"/>
                  <w:szCs w:val="18"/>
                  <w:color w:val="0000EE"/>
                  <w:w w:val="95"/>
                </w:rPr>
                <w:t>Supplement No. 2 to Security Agreement dated as of December 20, 2017, by and between XpresSpa Holdings, LLC and Rockmore</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Investment Master Fund Ltd.</w:t>
              </w:r>
            </w:hyperlink>
          </w:p>
        </w:tc>
      </w:tr>
      <w:tr>
        <w:trPr>
          <w:trHeight w:val="20"/>
        </w:trPr>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8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8*</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Form of Securities Purchase Agreement, dated May 15, 2018, by and among the Company and the Investors.</w:t>
              </w:r>
            </w:hyperlink>
          </w:p>
        </w:tc>
        <w:tc>
          <w:tcPr>
            <w:tcW w:w="2180" w:type="dxa"/>
            <w:vAlign w:val="bottom"/>
            <w:gridSpan w:val="7"/>
          </w:tcPr>
          <w:p>
            <w:pPr>
              <w:spacing w:after="0"/>
              <w:rPr>
                <w:sz w:val="24"/>
                <w:szCs w:val="24"/>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24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9*</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244">
              <w:r>
                <w:rPr>
                  <w:rFonts w:ascii="Arial" w:cs="Arial" w:eastAsia="Arial" w:hAnsi="Arial"/>
                  <w:sz w:val="18"/>
                  <w:szCs w:val="18"/>
                  <w:color w:val="0000EE"/>
                </w:rPr>
                <w:t>Form of Registration Rights Agreement, dated May 15, 2018, by and among the Company and the Investors.</w:t>
              </w:r>
            </w:hyperlink>
          </w:p>
        </w:tc>
      </w:tr>
      <w:tr>
        <w:trPr>
          <w:trHeight w:val="20"/>
        </w:trPr>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271">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2"/>
              </w:rPr>
            </w:pPr>
            <w:hyperlink w:anchor="page271">
              <w:r>
                <w:rPr>
                  <w:rFonts w:ascii="Arial" w:cs="Arial" w:eastAsia="Arial" w:hAnsi="Arial"/>
                  <w:sz w:val="18"/>
                  <w:szCs w:val="18"/>
                  <w:color w:val="0000EE"/>
                  <w:w w:val="92"/>
                </w:rPr>
                <w:t>Form of Security Agreement, dated May 15, 2018, by and among the Company, the Subsidiaries, the Collateral Agent and the Investors.</w:t>
              </w:r>
            </w:hyperlink>
          </w:p>
        </w:tc>
      </w:tr>
      <w:tr>
        <w:trPr>
          <w:trHeight w:val="20"/>
        </w:trPr>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36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31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2"/>
              </w:rPr>
            </w:pPr>
            <w:hyperlink w:anchor="page313">
              <w:r>
                <w:rPr>
                  <w:rFonts w:ascii="Arial" w:cs="Arial" w:eastAsia="Arial" w:hAnsi="Arial"/>
                  <w:sz w:val="18"/>
                  <w:szCs w:val="18"/>
                  <w:color w:val="0000EE"/>
                  <w:w w:val="92"/>
                </w:rPr>
                <w:t>Certification of Principal Executive Officer pursuant to Exchange Act, Rules 13a - 14(a) and 15d - 14(a), as adopted pursuant to Section</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13">
              <w:r>
                <w:rPr>
                  <w:rFonts w:ascii="Arial" w:cs="Arial" w:eastAsia="Arial" w:hAnsi="Arial"/>
                  <w:sz w:val="18"/>
                  <w:szCs w:val="18"/>
                  <w:color w:val="0000EE"/>
                  <w:w w:val="90"/>
                </w:rPr>
                <w:t>302 of the Sarbanes-Oxley Act of 2002.</w:t>
              </w:r>
            </w:hyperlink>
          </w:p>
        </w:tc>
        <w:tc>
          <w:tcPr>
            <w:tcW w:w="7160" w:type="dxa"/>
            <w:vAlign w:val="bottom"/>
            <w:tcBorders>
              <w:top w:val="single" w:sz="8" w:color="0000EE"/>
            </w:tcBorders>
            <w:gridSpan w:val="11"/>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314">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0"/>
              </w:rPr>
            </w:pPr>
            <w:hyperlink w:anchor="page314">
              <w:r>
                <w:rPr>
                  <w:rFonts w:ascii="Arial" w:cs="Arial" w:eastAsia="Arial" w:hAnsi="Arial"/>
                  <w:sz w:val="18"/>
                  <w:szCs w:val="18"/>
                  <w:color w:val="0000EE"/>
                  <w:w w:val="90"/>
                </w:rPr>
                <w:t>Certification of Principal Financial Officer pursuant to Exchange Act Rules 13a - 14(a) and 15d - 14(a), as adopted pursuant to Section 302</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of the Sarbanes-Oxley Act of 2002.</w:t>
              </w:r>
            </w:hyperlink>
          </w:p>
        </w:tc>
      </w:tr>
      <w:tr>
        <w:trPr>
          <w:trHeight w:val="20"/>
        </w:trPr>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32**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w w:val="93"/>
              </w:rPr>
            </w:pPr>
            <w:hyperlink w:anchor="page315">
              <w:r>
                <w:rPr>
                  <w:rFonts w:ascii="Arial" w:cs="Arial" w:eastAsia="Arial" w:hAnsi="Arial"/>
                  <w:sz w:val="18"/>
                  <w:szCs w:val="18"/>
                  <w:color w:val="0000EE"/>
                  <w:w w:val="93"/>
                </w:rPr>
                <w:t>Certifications of Principal Executive Officer and Principal Financial Officer Pursuant to 18 U.S.C. Section 1350, as adopted pursuant to</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Section 906 of the Sarbanes-Oxley Act of 2002.</w:t>
              </w:r>
            </w:hyperlink>
          </w:p>
        </w:tc>
        <w:tc>
          <w:tcPr>
            <w:tcW w:w="20" w:type="dxa"/>
            <w:vAlign w:val="bottom"/>
          </w:tcPr>
          <w:p>
            <w:pPr>
              <w:spacing w:after="0"/>
              <w:rPr>
                <w:sz w:val="17"/>
                <w:szCs w:val="17"/>
                <w:color w:val="auto"/>
              </w:rPr>
            </w:pPr>
          </w:p>
        </w:tc>
      </w:tr>
      <w:tr>
        <w:trPr>
          <w:trHeight w:val="453"/>
        </w:trPr>
        <w:tc>
          <w:tcPr>
            <w:tcW w:w="11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34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6580" w:type="dxa"/>
            <w:vAlign w:val="bottom"/>
            <w:gridSpan w:val="9"/>
          </w:tcPr>
          <w:p>
            <w:pPr>
              <w:spacing w:after="0"/>
              <w:rPr>
                <w:sz w:val="24"/>
                <w:szCs w:val="24"/>
                <w:color w:val="auto"/>
              </w:rPr>
            </w:pPr>
          </w:p>
        </w:tc>
      </w:tr>
      <w:tr>
        <w:trPr>
          <w:trHeight w:val="432"/>
        </w:trPr>
        <w:tc>
          <w:tcPr>
            <w:tcW w:w="11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04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04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04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04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04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8"/>
          </w:tcPr>
          <w:p>
            <w:pPr>
              <w:spacing w:after="0"/>
              <w:rPr>
                <w:sz w:val="20"/>
                <w:szCs w:val="20"/>
                <w:color w:val="auto"/>
              </w:rPr>
            </w:pPr>
            <w:r>
              <w:rPr>
                <w:rFonts w:ascii="Arial" w:cs="Arial" w:eastAsia="Arial" w:hAnsi="Arial"/>
                <w:sz w:val="18"/>
                <w:szCs w:val="18"/>
                <w:color w:val="auto"/>
              </w:rPr>
              <w:t>Filed herewith.</w:t>
            </w:r>
          </w:p>
        </w:tc>
      </w:tr>
    </w:tbl>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15th day of May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8300" w:type="dxa"/>
            <w:vAlign w:val="bottom"/>
          </w:tcPr>
          <w:p>
            <w:pPr>
              <w:spacing w:after="0"/>
              <w:rPr>
                <w:sz w:val="20"/>
                <w:szCs w:val="20"/>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By:</w:t>
            </w:r>
          </w:p>
        </w:tc>
        <w:tc>
          <w:tcPr>
            <w:tcW w:w="8300" w:type="dxa"/>
            <w:vAlign w:val="bottom"/>
          </w:tcPr>
          <w:p>
            <w:pPr>
              <w:jc w:val="center"/>
              <w:ind w:right="1866"/>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116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8300" w:type="dxa"/>
            <w:vAlign w:val="bottom"/>
            <w:tcBorders>
              <w:top w:val="single" w:sz="8" w:color="auto"/>
            </w:tcBorders>
          </w:tcPr>
          <w:p>
            <w:pPr>
              <w:jc w:val="center"/>
              <w:ind w:right="1866"/>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jc w:val="center"/>
              <w:ind w:right="1866"/>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jc w:val="center"/>
              <w:ind w:right="1866"/>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75"/>
        </w:trPr>
        <w:tc>
          <w:tcPr>
            <w:tcW w:w="1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jc w:val="right"/>
              <w:ind w:right="5526"/>
              <w:spacing w:after="0"/>
              <w:rPr>
                <w:sz w:val="20"/>
                <w:szCs w:val="20"/>
                <w:color w:val="auto"/>
              </w:rPr>
            </w:pPr>
            <w:r>
              <w:rPr>
                <w:rFonts w:ascii="Arial" w:cs="Arial" w:eastAsia="Arial" w:hAnsi="Arial"/>
                <w:sz w:val="22"/>
                <w:szCs w:val="22"/>
                <w:color w:val="auto"/>
              </w:rPr>
              <w:t>29</w:t>
            </w:r>
          </w:p>
        </w:tc>
      </w:tr>
    </w:tbl>
    <w:p>
      <w:pPr>
        <w:sectPr>
          <w:pgSz w:w="11900" w:h="16838" w:orient="portrait"/>
          <w:cols w:equalWidth="0" w:num="1">
            <w:col w:w="11420"/>
          </w:cols>
          <w:pgMar w:left="240" w:top="904" w:right="239" w:bottom="1440" w:gutter="0" w:footer="0" w:header="0"/>
        </w:sectPr>
      </w:pPr>
    </w:p>
    <w:bookmarkStart w:id="30" w:name="page31"/>
    <w:bookmarkEnd w:id="30"/>
    <w:p>
      <w:pPr>
        <w:ind w:left="10620"/>
        <w:spacing w:after="0"/>
        <w:rPr>
          <w:sz w:val="20"/>
          <w:szCs w:val="20"/>
          <w:color w:val="auto"/>
        </w:rPr>
      </w:pPr>
      <w:r>
        <w:rPr>
          <w:rFonts w:ascii="Arial" w:cs="Arial" w:eastAsia="Arial" w:hAnsi="Arial"/>
          <w:sz w:val="17"/>
          <w:szCs w:val="17"/>
          <w:color w:val="auto"/>
        </w:rPr>
        <w:t>Exhibit 4.1</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NEITHER THIS SECURITY NOR THE SECURITIES INTO WHICH THIS SECURITY IS CONVERTIBLE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BORROWER.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Original Issue Date: </w:t>
      </w:r>
      <w:r>
        <w:rPr>
          <w:rFonts w:ascii="Arial" w:cs="Arial" w:eastAsia="Arial" w:hAnsi="Arial"/>
          <w:sz w:val="18"/>
          <w:szCs w:val="18"/>
          <w:b w:val="1"/>
          <w:bCs w:val="1"/>
          <w:color w:val="auto"/>
        </w:rPr>
        <w:t>May 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NOVEMBER __, 2019</w:t>
      </w:r>
    </w:p>
    <w:p>
      <w:pPr>
        <w:spacing w:after="0" w:line="20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 xml:space="preserve">THIS CONVERTIBLE NOTE is one of a series of duly authorized and validly issued Notes of </w:t>
      </w:r>
      <w:r>
        <w:rPr>
          <w:rFonts w:ascii="Arial" w:cs="Arial" w:eastAsia="Arial" w:hAnsi="Arial"/>
          <w:sz w:val="18"/>
          <w:szCs w:val="18"/>
          <w:b w:val="1"/>
          <w:bCs w:val="1"/>
          <w:color w:val="auto"/>
        </w:rPr>
        <w:t>XPRESSPA GROUP,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having its principal place of business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due </w:t>
      </w:r>
      <w:r>
        <w:rPr>
          <w:rFonts w:ascii="Arial" w:cs="Arial" w:eastAsia="Arial" w:hAnsi="Arial"/>
          <w:sz w:val="18"/>
          <w:szCs w:val="18"/>
          <w:b w:val="1"/>
          <w:bCs w:val="1"/>
          <w:color w:val="auto"/>
        </w:rPr>
        <w:t>November__, 2019</w:t>
      </w:r>
      <w:r>
        <w:rPr>
          <w:rFonts w:ascii="Arial" w:cs="Arial" w:eastAsia="Arial" w:hAnsi="Arial"/>
          <w:sz w:val="18"/>
          <w:szCs w:val="18"/>
          <w:color w:val="auto"/>
        </w:rPr>
        <w:t xml:space="preserve"> (this note, the “</w:t>
      </w:r>
      <w:r>
        <w:rPr>
          <w:rFonts w:ascii="Arial" w:cs="Arial" w:eastAsia="Arial" w:hAnsi="Arial"/>
          <w:sz w:val="18"/>
          <w:szCs w:val="18"/>
          <w:u w:val="single" w:color="auto"/>
          <w:color w:val="auto"/>
        </w:rPr>
        <w:t>Note</w:t>
      </w:r>
      <w:r>
        <w:rPr>
          <w:rFonts w:ascii="Arial" w:cs="Arial" w:eastAsia="Arial" w:hAnsi="Arial"/>
          <w:sz w:val="18"/>
          <w:szCs w:val="18"/>
          <w:color w:val="auto"/>
        </w:rPr>
        <w:t>” and, collectively with the other notes of such series,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ind w:left="660"/>
              <w:spacing w:after="0"/>
              <w:rPr>
                <w:sz w:val="20"/>
                <w:szCs w:val="20"/>
                <w:color w:val="auto"/>
              </w:rPr>
            </w:pPr>
            <w:r>
              <w:rPr>
                <w:rFonts w:ascii="Arial" w:cs="Arial" w:eastAsia="Arial" w:hAnsi="Arial"/>
                <w:sz w:val="18"/>
                <w:szCs w:val="18"/>
                <w:color w:val="auto"/>
                <w:w w:val="99"/>
              </w:rPr>
              <w:t>FOR VALUE RECEIVED, Borrower promises to pay to [</w:t>
            </w:r>
          </w:p>
        </w:tc>
        <w:tc>
          <w:tcPr>
            <w:tcW w:w="4660" w:type="dxa"/>
            <w:vAlign w:val="bottom"/>
            <w:gridSpan w:val="5"/>
          </w:tcPr>
          <w:p>
            <w:pPr>
              <w:ind w:left="20"/>
              <w:spacing w:after="0"/>
              <w:rPr>
                <w:sz w:val="20"/>
                <w:szCs w:val="20"/>
                <w:color w:val="auto"/>
              </w:rPr>
            </w:pPr>
            <w:r>
              <w:rPr>
                <w:rFonts w:ascii="Arial" w:cs="Arial" w:eastAsia="Arial" w:hAnsi="Arial"/>
                <w:sz w:val="18"/>
                <w:szCs w:val="18"/>
                <w:color w:val="auto"/>
                <w:w w:val="95"/>
              </w:rPr>
              <w:t>] or its registered assigns (the “Holder”), with an address at: [</w:t>
            </w:r>
          </w:p>
        </w:tc>
        <w:tc>
          <w:tcPr>
            <w:tcW w:w="1640" w:type="dxa"/>
            <w:vAlign w:val="bottom"/>
          </w:tcPr>
          <w:p>
            <w:pPr>
              <w:jc w:val="right"/>
              <w:spacing w:after="0"/>
              <w:rPr>
                <w:sz w:val="20"/>
                <w:szCs w:val="20"/>
                <w:color w:val="auto"/>
              </w:rPr>
            </w:pPr>
            <w:r>
              <w:rPr>
                <w:rFonts w:ascii="Arial" w:cs="Arial" w:eastAsia="Arial" w:hAnsi="Arial"/>
                <w:sz w:val="18"/>
                <w:szCs w:val="18"/>
                <w:color w:val="auto"/>
              </w:rPr>
              <w:t>], or shall have paid</w:t>
            </w:r>
          </w:p>
        </w:tc>
      </w:tr>
      <w:tr>
        <w:trPr>
          <w:trHeight w:val="20"/>
        </w:trPr>
        <w:tc>
          <w:tcPr>
            <w:tcW w:w="5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Arial" w:cs="Arial" w:eastAsia="Arial" w:hAnsi="Arial"/>
                <w:sz w:val="18"/>
                <w:szCs w:val="18"/>
                <w:color w:val="auto"/>
                <w:w w:val="93"/>
              </w:rPr>
              <w:t xml:space="preserve">pursuant to the terms hereunder, the principal sum of [   ] </w:t>
            </w:r>
            <w:r>
              <w:rPr>
                <w:rFonts w:ascii="Arial" w:cs="Arial" w:eastAsia="Arial" w:hAnsi="Arial"/>
                <w:sz w:val="18"/>
                <w:szCs w:val="18"/>
                <w:b w:val="1"/>
                <w:bCs w:val="1"/>
                <w:color w:val="auto"/>
                <w:w w:val="93"/>
              </w:rPr>
              <w:t>Dollars</w:t>
            </w: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w:t>
            </w:r>
          </w:p>
        </w:tc>
        <w:tc>
          <w:tcPr>
            <w:tcW w:w="630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on</w:t>
            </w:r>
            <w:r>
              <w:rPr>
                <w:rFonts w:ascii="Arial" w:cs="Arial" w:eastAsia="Arial" w:hAnsi="Arial"/>
                <w:sz w:val="18"/>
                <w:szCs w:val="18"/>
                <w:b w:val="1"/>
                <w:bCs w:val="1"/>
                <w:color w:val="auto"/>
                <w:w w:val="96"/>
              </w:rPr>
              <w:t xml:space="preserve"> November __, 2019 </w:t>
            </w:r>
            <w:r>
              <w:rPr>
                <w:rFonts w:ascii="Arial" w:cs="Arial" w:eastAsia="Arial" w:hAnsi="Arial"/>
                <w:sz w:val="18"/>
                <w:szCs w:val="18"/>
                <w:color w:val="auto"/>
                <w:w w:val="96"/>
              </w:rPr>
              <w:t>(the “Maturity Date”) or such earlier date as this Note is</w:t>
            </w:r>
          </w:p>
        </w:tc>
      </w:tr>
      <w:tr>
        <w:trPr>
          <w:trHeight w:val="20"/>
        </w:trPr>
        <w:tc>
          <w:tcPr>
            <w:tcW w:w="5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required or permitted to be repaid as provided hereunder, and to pay interest, if any, to the Holder on the aggregate unconverted and then outstanding principal amount of this Note in accordance with the provisions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of this Note has been granted a security interest in assets of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is subject to the following additional provisions: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purposes hereof, in addition to the terms defined elsewhere in this Note, (a) capitalized terms not otherwise defined herein shall have the meanings set forth in the Purchase Agreement and (b) the following terms shall have the following meanings: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Consideration</w:t>
      </w:r>
      <w:r>
        <w:rPr>
          <w:rFonts w:ascii="Arial" w:cs="Arial" w:eastAsia="Arial" w:hAnsi="Arial"/>
          <w:sz w:val="18"/>
          <w:szCs w:val="18"/>
          <w:color w:val="auto"/>
        </w:rPr>
        <w:t>” shall have the meaning set forth in Section 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any of the following events: (a) Borrower or any Subsidiary thereof commences a case or other proceeding under any bankruptcy, reorganization, arrangement, adjustment of debt, relief of debtors, dissolution, insolvency or liquidation or similar law of any jurisdiction relating to Borrower or any Subsidiary thereof, (b) there is commenced against Borrower or any Subsidiary thereof any such case or proceeding that is not dismissed within 60 days after commencement, (c) Borrower or any Subsidiary thereof is adjudicated insolvent or bankrupt or any order of relief or other order approving any such case or proceeding is entered, (d) Borrower or any Subsidiary thereof suffers any appointment of any custodian or the like for it or any substantial part of its property that is not discharged or stayed within 60 calendar days after such appointment, (e) Borrower or any Subsidiary thereof makes a general assignment for the benefit of creditors, (f) Borrower or any Subsidiary thereof calls a meeting of its creditors with a view to arranging a composition, adjustment or restructuring of its debts or (g) Borrower or any Subsidiary thereof, by any act or failure to act, expressly indicates its consent to, approval of or acquiescence in any of the foregoing or takes any corporate or other action for the purpose of effecting any of the foregoing.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Limitation</w:t>
      </w:r>
      <w:r>
        <w:rPr>
          <w:rFonts w:ascii="Arial" w:cs="Arial" w:eastAsia="Arial" w:hAnsi="Arial"/>
          <w:sz w:val="18"/>
          <w:szCs w:val="18"/>
          <w:color w:val="auto"/>
        </w:rPr>
        <w:t>” shall have the meaning set forth in Section 4(d).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required by law or other governmental action to close.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shall have the meaning set forth in Section 4(c)(v).</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other than by means of conversion or exercise of the Notes and the Securities issued together with the Notes,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Borrower, by contract or otherwise) of in excess of 50% of the voting securities of Borrower, (b) Borrower merges into or consolidates with any other Person, or any Person merges into or consolidates with Borrower and, after giving effect to such transaction, the stockholders of Borrower immediately prior to such transaction own less than 50% of the aggregate voting power of Borrower or the successor entity of such transaction, (c) Borrower sells or transfers all or substantially all of its assets to another Person and the stockholders of Borrower immediately prior to such transaction own less than 50% of the aggregate voting power of the acquiring entity immediately after the transaction, (d) a replacement at one time or within a three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Borrower of an agreement to which Borrower is a party or by which it is bound, providing for any of the events set forth in clauses (a) through (d) above.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on any particular date (a) the last reported closing bid price per share of Common Stock on such date on the Trading Market (as reported by Bloomberg L.P. at 4:15 p.m. (New York City time)), or (b) if there is no such price on such date, then the closing bid price on the Trading Market on the date nearest preceding such date (as reported by Bloomberg L.P. at 4:15 p.m. (New York City time)), or (c) if the Common Stock is not then listed or quoted on a Trading Market and if prices for the Common Stock are then reported in the “pink sheets” published by OTC Pink Marketplace (or a similar organization or agency succeeding to its functions of reporting prices), the most recent bid price per share of the Common Stock so reported, or (d) if the shares of Common Stock are not then publicly traded, the fair market value of a share of Common Stock as determined by an independent appraiser selected in good faith by the Holder and reasonably acceptable to Borrower, the fees and expenses of which shall be paid by Borrower.</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shall have the meaning ascribed to such term in Section 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set forth in Section 4(b).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Shares</w:t>
      </w:r>
      <w:r>
        <w:rPr>
          <w:rFonts w:ascii="Arial" w:cs="Arial" w:eastAsia="Arial" w:hAnsi="Arial"/>
          <w:sz w:val="16"/>
          <w:szCs w:val="16"/>
          <w:color w:val="auto"/>
        </w:rPr>
        <w:t>” means, collectively, the shares of Common Stock issuable upon conversion of this Note in accordance with the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Dilutive Issuance</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Conditions</w:t>
      </w:r>
      <w:r>
        <w:rPr>
          <w:rFonts w:ascii="Arial" w:cs="Arial" w:eastAsia="Arial" w:hAnsi="Arial"/>
          <w:sz w:val="17"/>
          <w:szCs w:val="17"/>
          <w:color w:val="auto"/>
        </w:rPr>
        <w:t>” means, during the period in question, (a) Borrower shall have duly honored all conversions scheduled to occur or occurring by virtue of one or more Notices of Conversion of the applicable Holder on or prior to the dates so requested or required, if any, (b) Borrower shall have paid all liquidated damages and other amounts owing to the applicable Holder in respect of this Note and the other Transaction Documents, (c) (i) there is an effective registration statement pursuant to which the Holders are permitted to utilize the prospectus thereunder to resell all of the Underlying Shares (and Borrower believes, in good faith, that such effectiveness will continue uninterrupted for the foreseeable future), or (ii) all of the Underlying Shares (and shares issuable in lieu of cash payments of interest) may be resold pursuant to Rule 144 without volume or manner-of-sale restrictions or current public information requirements as confirmed by counsel to Borrower in a written opinion letter to such effect, addressed and acceptable to the Borrower’s Transfer Agent and the affected Holders, (d) the Common Stock is trading on the Nasdaq Capital Market and all of the shares issuable pursuant to the Transaction Documents are listed or quoted for trading on such Trading Market (and Borrower believes, in good faith, that trading of the Common Stock on a Trading Market will continue uninterrupted for the foreseeable future), (e) there is a sufficient number of authorized, but unissued and otherwise unreserved, shares of Common Stock for the issuance of all of the shares then issuable pursuant to the Transaction Documents, (f) an Event of Default has not occurred, whether or not such Event of Default has been cured (other than an Event of Default set forth in clause (xv) of the definition of Event of Default which has been cured), (g) there is no existing event which, with the passage of time or the giving of notice, would constitute an Event of Default, (h) the issuance of the shares in question to the applicable Holder would not exceed the Beneficial Ownership Limitation, (i) there has been no public announcement of a pending or proposed Fundamental Transaction or Change of Control Transaction that has not been consummated, (j) the applicable Holder is not in possession of any information provided by Borrower that constitutes, or may constitute, material non-public information, (k) Shareholder Approval has been obtained, and (l) a Public Information Failure is not pending.</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Section 8(a).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shall have the meaning set forth in Section 5(d).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shall have the meaning set forth in Section 2(1).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Default Amount</w:t>
      </w:r>
      <w:r>
        <w:rPr>
          <w:rFonts w:ascii="Arial" w:cs="Arial" w:eastAsia="Arial" w:hAnsi="Arial"/>
          <w:sz w:val="18"/>
          <w:szCs w:val="18"/>
          <w:color w:val="auto"/>
        </w:rPr>
        <w:t>” means the sum of (a) the greater of (i) the outstanding principal amount of this Note divided by the Conversion Price on the date the Mandatory Default Amount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this Note and (b) all other amounts, costs, expenses and liquidated damages due in respect of this Note.</w:t>
      </w:r>
    </w:p>
    <w:p>
      <w:pPr>
        <w:spacing w:after="0" w:line="200" w:lineRule="exact"/>
        <w:rPr>
          <w:sz w:val="20"/>
          <w:szCs w:val="20"/>
          <w:color w:val="auto"/>
        </w:rPr>
      </w:pPr>
    </w:p>
    <w:p>
      <w:pPr>
        <w:spacing w:after="0" w:line="20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3" w:name="page34"/>
    <w:bookmarkEnd w:id="3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Courts</w:t>
      </w:r>
      <w:r>
        <w:rPr>
          <w:rFonts w:ascii="Arial" w:cs="Arial" w:eastAsia="Arial" w:hAnsi="Arial"/>
          <w:sz w:val="18"/>
          <w:szCs w:val="18"/>
          <w:color w:val="auto"/>
        </w:rPr>
        <w:t>” shall have the meaning set forth in Section 10(d).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Register</w:t>
      </w:r>
      <w:r>
        <w:rPr>
          <w:rFonts w:ascii="Arial" w:cs="Arial" w:eastAsia="Arial" w:hAnsi="Arial"/>
          <w:sz w:val="18"/>
          <w:szCs w:val="18"/>
          <w:color w:val="auto"/>
        </w:rPr>
        <w:t>” shall have the meaning set forth in Section 2(c).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of the first issuance of the Notes, regardless of any transfers of any Note and regardless of the number of instruments which may be issued to evidence such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Holders</w:t>
      </w:r>
      <w:r>
        <w:rPr>
          <w:rFonts w:ascii="Arial" w:cs="Arial" w:eastAsia="Arial" w:hAnsi="Arial"/>
          <w:sz w:val="18"/>
          <w:szCs w:val="18"/>
          <w:color w:val="auto"/>
        </w:rPr>
        <w:t>” means holders of Other Notes.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Notes</w:t>
      </w:r>
      <w:r>
        <w:rPr>
          <w:rFonts w:ascii="Arial" w:cs="Arial" w:eastAsia="Arial" w:hAnsi="Arial"/>
          <w:sz w:val="18"/>
          <w:szCs w:val="18"/>
          <w:color w:val="auto"/>
        </w:rPr>
        <w:t>” means Notes nearly identical to this Note issued to other Holders pursuant to the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Indebtedness</w:t>
      </w:r>
      <w:r>
        <w:rPr>
          <w:rFonts w:ascii="Arial" w:cs="Arial" w:eastAsia="Arial" w:hAnsi="Arial"/>
          <w:sz w:val="17"/>
          <w:szCs w:val="17"/>
          <w:color w:val="auto"/>
        </w:rPr>
        <w:t>” means (a) any unsecured liabilities for borrowed money or amounts owed not in excess of $1,000,000 in the aggregate (other than trade accounts payable incurred in the ordinary course of business), (b) all guaranties, endorsements and other contingent obligations in respect of indebtedness of others, whether or not the same are or should be reflected in the Borrower’s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the Rockmore Indebtedness;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and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Borrower or any other Subsidiary of the Borrower.</w:t>
      </w:r>
    </w:p>
    <w:p>
      <w:pPr>
        <w:spacing w:after="0" w:line="39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4" w:name="page35"/>
    <w:bookmarkEnd w:id="34"/>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Borrower) have been established in accordance with GAAP, (b) Liens imposed by law which were incurred in the ordinary course of the Borrower’s business, such as carriers’, warehousemen’s and mechanics’ Liens, statutory landlords’ Liens, and other similar Liens arising in the ordinary course of the Borrower’s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Liens, and (c) Liens in connection with Permitted Indebtedness under clause (b) and clause (e) thereunder, (d) Liens incurred in connection with Permitted Indebtedness under clause (c) thereunder provided that such Liens are not secured by assets of the Borrower or its Subsidiaries other than the assets so acquired or leased, (e) Liens incurred in connection with Permitted Indebtedness under clause (f) of the definition of “Permitted Indebtedness,” provided that such Liens are not secured by assets of the Borrower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(g) Liens to the extent arising solely from the filing of protective Uniform Commercial Code financing statements in respect of equipment leased to the Borrower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 (g) of the definition of “Permitted Indebtedness,” provided that such Liens are not secured by assets of the Borrower or its Subsidiaries other than the assets of the Subsidiary which owns such location and only in the assets of such location.</w:t>
      </w:r>
    </w:p>
    <w:p>
      <w:pPr>
        <w:spacing w:after="0" w:line="3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the Securities Purchase Agreement, dated as of May 15, 2018 among Borrower and the original Holders, as amended, modified or supplemented from time to time in accordance with its terms.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Delivery Date</w:t>
      </w:r>
      <w:r>
        <w:rPr>
          <w:rFonts w:ascii="Arial" w:cs="Arial" w:eastAsia="Arial" w:hAnsi="Arial"/>
          <w:sz w:val="18"/>
          <w:szCs w:val="18"/>
          <w:color w:val="auto"/>
        </w:rPr>
        <w:t>” shall have the meaning set forth in Section 4(c)(ii).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Financing</w:t>
      </w:r>
      <w:r>
        <w:rPr>
          <w:rFonts w:ascii="Arial" w:cs="Arial" w:eastAsia="Arial" w:hAnsi="Arial"/>
          <w:sz w:val="18"/>
          <w:szCs w:val="18"/>
          <w:color w:val="auto"/>
        </w:rPr>
        <w:t>” means the closing of an offering of the Borrower’s Common Stock, preferred stock, other equity or debt, in one or more tranches upon which the Borrower receives gross cash proceeds of ten million dollars or more.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Entity</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w:t>
      </w:r>
    </w:p>
    <w:p>
      <w:pPr>
        <w:spacing w:after="0" w:line="39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5" w:name="page36"/>
    <w:bookmarkEnd w:id="35"/>
    <w:p>
      <w:pPr>
        <w:jc w:val="both"/>
        <w:ind w:left="6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Purchasers of a majority in interest of the Securities then outstanding and reasonably acceptable to Borrower, the fees and expenses of which shall be paid by Borrower.</w:t>
      </w:r>
    </w:p>
    <w:p>
      <w:pPr>
        <w:spacing w:after="0" w:line="18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Interest, Payment and General Provisions</w:t>
      </w:r>
      <w:r>
        <w:rPr>
          <w:rFonts w:ascii="Arial" w:cs="Arial" w:eastAsia="Arial" w:hAnsi="Arial"/>
          <w:sz w:val="16"/>
          <w:szCs w:val="16"/>
          <w:color w:val="auto"/>
        </w:rPr>
        <w:t>.</w:t>
      </w:r>
    </w:p>
    <w:p>
      <w:pPr>
        <w:spacing w:after="0" w:line="225" w:lineRule="exact"/>
        <w:rPr>
          <w:sz w:val="20"/>
          <w:szCs w:val="20"/>
          <w:color w:val="auto"/>
        </w:rPr>
      </w:pPr>
    </w:p>
    <w:p>
      <w:pPr>
        <w:jc w:val="both"/>
        <w:ind w:left="-20" w:firstLine="1240"/>
        <w:spacing w:after="0" w:line="286" w:lineRule="auto"/>
        <w:tabs>
          <w:tab w:leader="none" w:pos="202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Interest in Cash or in Kind</w:t>
      </w:r>
      <w:r>
        <w:rPr>
          <w:rFonts w:ascii="Arial" w:cs="Arial" w:eastAsia="Arial" w:hAnsi="Arial"/>
          <w:sz w:val="16"/>
          <w:szCs w:val="16"/>
          <w:color w:val="auto"/>
        </w:rPr>
        <w:t>. Holder shall be entitled to receive, and Borrower shall pay, cumulative interest on the outstanding principal amount of this Note compounded daily at the annual rate of five percent (5%) (as subject to increase as set forth in this Note) from the Original Issue Date through the Maturity Date. Interest shall be payable in arrears on the four month anniversary of the Original Issue Date, each monthly anniversary thereafter and on the Maturity Date when all amounts outstanding in connection with this Note shall be due and payable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in cash, or at the election of the Borrower, such interest may be paid in duly authorized, validly issued, fully paid and non-assessable shares of Common Stock, or a combination thereof (the amount to be paid in shares of Common Stock, the “</w:t>
      </w:r>
      <w:r>
        <w:rPr>
          <w:rFonts w:ascii="Arial" w:cs="Arial" w:eastAsia="Arial" w:hAnsi="Arial"/>
          <w:sz w:val="16"/>
          <w:szCs w:val="16"/>
          <w:u w:val="single" w:color="auto"/>
          <w:color w:val="auto"/>
        </w:rPr>
        <w:t>Interest Share Amount</w:t>
      </w:r>
      <w:r>
        <w:rPr>
          <w:rFonts w:ascii="Arial" w:cs="Arial" w:eastAsia="Arial" w:hAnsi="Arial"/>
          <w:sz w:val="16"/>
          <w:szCs w:val="16"/>
          <w:color w:val="auto"/>
        </w:rPr>
        <w:t>”). If any Interest Payment Date is not a Trading Day, the applicable payment shall be due on the next succeeding Trading Day. The Interest Share Amount will be determined by dividing the amount of interest on the subject Interest Payment Date by the then applicable Conversion Price. The Holder shall have the same rights and remedies with respect to the delivery of any such Interest Share Amount as if such shares were being issued pursuant to a voluntary conversion pursuant to Section 4(a). Borrower must give Holder not less than five (5) Trading Days’ notice prior to an Interest Payment Date of Borrower’s intention to pay interest as an Interest Share Amount in lieu of cash. Borrower may not pay interest by delivery of an Interest Share Amount without the consent of the Holder in the event that the Equity Conditions are not in effect on each day commencing ten (10) Trading Days prior to the relevant Interest Payment Date through the date the Interest Share Amount is delivered to the Holder or if a Public Information Failure has occurred during such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6" w:name="page37"/>
    <w:bookmarkEnd w:id="36"/>
    <w:p>
      <w:pPr>
        <w:jc w:val="both"/>
        <w:ind w:firstLine="1240"/>
        <w:spacing w:after="0" w:line="283" w:lineRule="auto"/>
        <w:tabs>
          <w:tab w:leader="none" w:pos="188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Minimum Monthly Principal Payments</w:t>
      </w:r>
      <w:r>
        <w:rPr>
          <w:rFonts w:ascii="Arial" w:cs="Arial" w:eastAsia="Arial" w:hAnsi="Arial"/>
          <w:sz w:val="16"/>
          <w:szCs w:val="16"/>
          <w:color w:val="auto"/>
        </w:rPr>
        <w:t>. Amortizing payments of the outstanding principal amount of this Note shall commence on the fourth monthly anniversary of the Original Issue Date and on the same day of each month thereafter (each a “</w:t>
      </w:r>
      <w:r>
        <w:rPr>
          <w:rFonts w:ascii="Arial" w:cs="Arial" w:eastAsia="Arial" w:hAnsi="Arial"/>
          <w:sz w:val="16"/>
          <w:szCs w:val="16"/>
          <w:u w:val="single" w:color="auto"/>
          <w:color w:val="auto"/>
        </w:rPr>
        <w:t>Principal Repayment Date</w:t>
      </w:r>
      <w:r>
        <w:rPr>
          <w:rFonts w:ascii="Arial" w:cs="Arial" w:eastAsia="Arial" w:hAnsi="Arial"/>
          <w:sz w:val="16"/>
          <w:szCs w:val="16"/>
          <w:color w:val="auto"/>
        </w:rPr>
        <w:t xml:space="preserve">”) until the principal amount has been repaid in full, whether by the payment of cash or by the conversion of such principal amount into Common Stock pursuant to the terms hereof. On each Repayment Date, the Borrower shall make payments to the Holder in an amount equal to 6.67% of the initial principal amount,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w:t>
      </w:r>
      <w:r>
        <w:rPr>
          <w:rFonts w:ascii="Arial" w:cs="Arial" w:eastAsia="Arial" w:hAnsi="Arial"/>
          <w:sz w:val="16"/>
          <w:szCs w:val="16"/>
          <w:u w:val="single" w:color="auto"/>
          <w:color w:val="222222"/>
        </w:rPr>
        <w:t>Monthly Principal Amount</w:t>
      </w:r>
      <w:r>
        <w:rPr>
          <w:rFonts w:ascii="Arial" w:cs="Arial" w:eastAsia="Arial" w:hAnsi="Arial"/>
          <w:sz w:val="16"/>
          <w:szCs w:val="16"/>
          <w:color w:val="222222"/>
        </w:rPr>
        <w:t>”). Amounts of conversions of principal amount made by the Holder or Borrower pursuant to Section 4 and amounts paid pursuant to Section 6 of this Note shall be applied first against outstanding fees and damages, then against outstanding already payable accrued interest and then to principal amounts of not yet due Monthly Principal Amounts commencing with the last Monthly Principal Amount next payable and thereafter to Monthly Principal Amounts in reverse chronological order. Any principal amount, interest and any other sum arising under this Note and the Transaction Documents that remains outstanding on the Maturity Date shall be due and payable on the Maturity Date. Borrower may elect to pay the Monthly Principal Amount with shares of Common Stock or a combination of cash and shares of Common Stock (the amount to be paid in shares of Common Stock, “</w:t>
      </w:r>
      <w:r>
        <w:rPr>
          <w:rFonts w:ascii="Arial" w:cs="Arial" w:eastAsia="Arial" w:hAnsi="Arial"/>
          <w:sz w:val="16"/>
          <w:szCs w:val="16"/>
          <w:u w:val="single" w:color="auto"/>
          <w:color w:val="222222"/>
        </w:rPr>
        <w:t>Principal</w:t>
      </w:r>
      <w:r>
        <w:rPr>
          <w:rFonts w:ascii="Arial" w:cs="Arial" w:eastAsia="Arial" w:hAnsi="Arial"/>
          <w:sz w:val="16"/>
          <w:szCs w:val="16"/>
          <w:color w:val="222222"/>
        </w:rPr>
        <w:t xml:space="preserve"> </w:t>
      </w:r>
      <w:r>
        <w:rPr>
          <w:rFonts w:ascii="Arial" w:cs="Arial" w:eastAsia="Arial" w:hAnsi="Arial"/>
          <w:sz w:val="16"/>
          <w:szCs w:val="16"/>
          <w:u w:val="single" w:color="auto"/>
          <w:color w:val="222222"/>
        </w:rPr>
        <w:t>Share Amount</w:t>
      </w:r>
      <w:r>
        <w:rPr>
          <w:rFonts w:ascii="Arial" w:cs="Arial" w:eastAsia="Arial" w:hAnsi="Arial"/>
          <w:sz w:val="16"/>
          <w:szCs w:val="16"/>
          <w:color w:val="222222"/>
        </w:rPr>
        <w:t>”) subject to the following conditions. The Principal Share Amount will be determined by dividing (i) the monthly principal amount by (ii) ninety percent (90%) of the VWAP of the Common Stock for the five (5) Trading Days commencing eight (8) days prior to the relevant Repayment Date and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222222"/>
        </w:rPr>
        <w:t>ending on the fourth (4</w:t>
      </w:r>
      <w:r>
        <w:rPr>
          <w:rFonts w:ascii="Arial" w:cs="Arial" w:eastAsia="Arial" w:hAnsi="Arial"/>
          <w:sz w:val="28"/>
          <w:szCs w:val="28"/>
          <w:color w:val="222222"/>
          <w:vertAlign w:val="superscript"/>
        </w:rPr>
        <w:t>th</w:t>
      </w:r>
      <w:r>
        <w:rPr>
          <w:rFonts w:ascii="Arial" w:cs="Arial" w:eastAsia="Arial" w:hAnsi="Arial"/>
          <w:sz w:val="17"/>
          <w:szCs w:val="17"/>
          <w:color w:val="222222"/>
        </w:rPr>
        <w:t xml:space="preserve">) Trading Day preceding such Repayment Date; </w:t>
      </w:r>
      <w:r>
        <w:rPr>
          <w:rFonts w:ascii="Arial" w:cs="Arial" w:eastAsia="Arial" w:hAnsi="Arial"/>
          <w:sz w:val="17"/>
          <w:szCs w:val="17"/>
          <w:u w:val="single" w:color="auto"/>
          <w:color w:val="222222"/>
        </w:rPr>
        <w:t>provided</w:t>
      </w:r>
      <w:r>
        <w:rPr>
          <w:rFonts w:ascii="Arial" w:cs="Arial" w:eastAsia="Arial" w:hAnsi="Arial"/>
          <w:sz w:val="17"/>
          <w:szCs w:val="17"/>
          <w:color w:val="222222"/>
        </w:rPr>
        <w:t xml:space="preserve">, </w:t>
      </w:r>
      <w:r>
        <w:rPr>
          <w:rFonts w:ascii="Arial" w:cs="Arial" w:eastAsia="Arial" w:hAnsi="Arial"/>
          <w:sz w:val="17"/>
          <w:szCs w:val="17"/>
          <w:u w:val="single" w:color="auto"/>
          <w:color w:val="222222"/>
        </w:rPr>
        <w:t>however</w:t>
      </w:r>
      <w:r>
        <w:rPr>
          <w:rFonts w:ascii="Arial" w:cs="Arial" w:eastAsia="Arial" w:hAnsi="Arial"/>
          <w:sz w:val="17"/>
          <w:szCs w:val="17"/>
          <w:color w:val="222222"/>
        </w:rPr>
        <w:t>, that notwithstanding the foregoing, the result of the calculation pursuant to this clause (ii) shall not be less than twenty percent (20%) of the Conversion Price on the Original Issue Date (subject to appropriate adjustments for stock splits, stock dividends, recapitalizations, reclassifications, combinations or other similar transactions after the Issuance Date) (the “Conversion Price Floor”); provided, further, however, that the result of the calculation pursuant to this clause (ii) can be reduced below the Conversion Price Floor if the Borrower is not then subject to Nasdaq Listing Rule 5635(d) or if approved by the Trading Market. Borrower further agrees that the proxy statement with respect to the Shareholder Approval will be drafted such that such Shareholder Approval will extend to such a reduction below the Conversion Price Floor. The Principal Share Amount must be paid on the Principal Repayment Date. The Holder shall have the same rights and remedies with respect to the delivery of any such Principal Share Amount as if such shares were being issued in connection with a voluntary conversion of principal amount pursuant to Section 4. Borrower may not pay any principal amount by delivery of a Principal Share Amount without the consent of the Holder in the event that the Equity Conditions are not in effect on each day commencing twenty (20) Trading Days prior to the relevant Principal Repayment Date through the date the Principal Share Amount is delivered to the Holder.</w:t>
      </w:r>
    </w:p>
    <w:p>
      <w:pPr>
        <w:spacing w:after="0" w:line="191" w:lineRule="exact"/>
        <w:rPr>
          <w:sz w:val="20"/>
          <w:szCs w:val="20"/>
          <w:color w:val="auto"/>
        </w:rPr>
      </w:pPr>
    </w:p>
    <w:p>
      <w:pPr>
        <w:ind w:left="1880" w:hanging="640"/>
        <w:spacing w:after="0"/>
        <w:tabs>
          <w:tab w:leader="none" w:pos="188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Payment Grace Period</w:t>
      </w:r>
      <w:r>
        <w:rPr>
          <w:rFonts w:ascii="Arial" w:cs="Arial" w:eastAsia="Arial" w:hAnsi="Arial"/>
          <w:sz w:val="17"/>
          <w:szCs w:val="17"/>
          <w:color w:val="auto"/>
        </w:rPr>
        <w:t>. The Borrower shall not have any grace period to pay any monetary amounts due under this Note.</w:t>
      </w:r>
    </w:p>
    <w:p>
      <w:pPr>
        <w:spacing w:after="0" w:line="236" w:lineRule="exact"/>
        <w:rPr>
          <w:rFonts w:ascii="Arial" w:cs="Arial" w:eastAsia="Arial" w:hAnsi="Arial"/>
          <w:sz w:val="17"/>
          <w:szCs w:val="17"/>
          <w:color w:val="auto"/>
        </w:rPr>
      </w:pPr>
    </w:p>
    <w:p>
      <w:pPr>
        <w:jc w:val="both"/>
        <w:ind w:firstLine="1240"/>
        <w:spacing w:after="0" w:line="264" w:lineRule="auto"/>
        <w:tabs>
          <w:tab w:leader="none" w:pos="187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Conversion Privileges</w:t>
      </w:r>
      <w:r>
        <w:rPr>
          <w:rFonts w:ascii="Arial" w:cs="Arial" w:eastAsia="Arial" w:hAnsi="Arial"/>
          <w:sz w:val="18"/>
          <w:szCs w:val="18"/>
          <w:color w:val="auto"/>
        </w:rPr>
        <w:t>. The Conversion Rights set forth in Section 4 shall remain in full force and effect immediately from the date hereof and until the Note is paid in full regardless of the occurrence of an Event of Default. This Note shall be payable in full on the Maturity Date, unless previously converted into Common Stock in accordance with Section 4 hereof.</w:t>
      </w:r>
    </w:p>
    <w:p>
      <w:pPr>
        <w:spacing w:after="0" w:line="181" w:lineRule="exact"/>
        <w:rPr>
          <w:rFonts w:ascii="Arial" w:cs="Arial" w:eastAsia="Arial" w:hAnsi="Arial"/>
          <w:sz w:val="18"/>
          <w:szCs w:val="18"/>
          <w:color w:val="auto"/>
        </w:rPr>
      </w:pPr>
    </w:p>
    <w:p>
      <w:pPr>
        <w:jc w:val="both"/>
        <w:ind w:firstLine="1240"/>
        <w:spacing w:after="0" w:line="264" w:lineRule="auto"/>
        <w:tabs>
          <w:tab w:leader="none" w:pos="200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Interest on this Note shall be calculated on the basis of a 360-day year and the actual number of days elapsed. Payments made in connection with this Note shall be applied first to amounts due hereunder other than principal and interest, thereafter to interest and finally to principal.</w:t>
      </w:r>
    </w:p>
    <w:p>
      <w:pPr>
        <w:spacing w:after="0" w:line="181" w:lineRule="exact"/>
        <w:rPr>
          <w:rFonts w:ascii="Arial" w:cs="Arial" w:eastAsia="Arial" w:hAnsi="Arial"/>
          <w:sz w:val="18"/>
          <w:szCs w:val="18"/>
          <w:color w:val="auto"/>
        </w:rPr>
      </w:pPr>
    </w:p>
    <w:p>
      <w:pPr>
        <w:jc w:val="both"/>
        <w:ind w:firstLine="1240"/>
        <w:spacing w:after="0" w:line="257" w:lineRule="auto"/>
        <w:tabs>
          <w:tab w:leader="none" w:pos="194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Except as otherwise set forth herein, all payments made on this Note and the Other Notes and all actions taken by the Borrower with respect to this Note and the Other Notes, including but not limited to, actions taken pursuant to Section 6, shall be made and taken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respect to this Note and the Other Notes. Notwithstanding anything to the contrary contained herein or in the Transaction Documents, it shall not be considered non-pari passu for a Holder or Other Holder to elect to receive interest paid in Common Stock or for the Borrower to pay interest in Common Stock to a Holder or Other Holder pursuant to Section 2(a).</w:t>
      </w:r>
    </w:p>
    <w:p>
      <w:pPr>
        <w:spacing w:after="0" w:line="188" w:lineRule="exact"/>
        <w:rPr>
          <w:sz w:val="20"/>
          <w:szCs w:val="20"/>
          <w:color w:val="auto"/>
        </w:rPr>
      </w:pPr>
    </w:p>
    <w:p>
      <w:pPr>
        <w:jc w:val="both"/>
        <w:ind w:firstLine="1240"/>
        <w:spacing w:after="0" w:line="302" w:lineRule="auto"/>
        <w:tabs>
          <w:tab w:leader="none" w:pos="187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Manner and Place of Payment</w:t>
      </w:r>
      <w:r>
        <w:rPr>
          <w:rFonts w:ascii="Arial" w:cs="Arial" w:eastAsia="Arial" w:hAnsi="Arial"/>
          <w:sz w:val="16"/>
          <w:szCs w:val="16"/>
          <w:color w:val="auto"/>
        </w:rPr>
        <w:t>. Principal and interest on this Note and other payments in connection with this Note shall be payable at the Holder’s offices as designated above in lawful money of the United States of America in immediately available funds without set-off, deduction or counterclaim. Upon assignment of the interest of Holder in this Note, Borrower shall instead make its payment pursuant to the assignee’s instructions upon receipt of written notice thereof. Except as set forth herein, this Note may not be prepaid or mandatorily converted without the consent of the Holder.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640"/>
        <w:spacing w:after="0"/>
        <w:tabs>
          <w:tab w:leader="none" w:pos="184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225" w:lineRule="exact"/>
        <w:rPr>
          <w:sz w:val="20"/>
          <w:szCs w:val="20"/>
          <w:color w:val="auto"/>
        </w:rPr>
      </w:pPr>
    </w:p>
    <w:p>
      <w:pPr>
        <w:ind w:left="-20" w:firstLine="1240"/>
        <w:spacing w:after="0" w:line="308" w:lineRule="auto"/>
        <w:tabs>
          <w:tab w:leader="none" w:pos="200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Different Denominations</w:t>
      </w:r>
      <w:r>
        <w:rPr>
          <w:rFonts w:ascii="Arial" w:cs="Arial" w:eastAsia="Arial" w:hAnsi="Arial"/>
          <w:sz w:val="17"/>
          <w:szCs w:val="17"/>
          <w:color w:val="auto"/>
        </w:rPr>
        <w:t>. This Note is exchangeable for an equal aggregate principal amount of Notes of different authorized denominations, as requested by the Holder surrendering the same. No service charge will be payable for such registration of transfer or exchange.</w:t>
      </w:r>
    </w:p>
    <w:p>
      <w:pPr>
        <w:spacing w:after="0" w:line="146" w:lineRule="exact"/>
        <w:rPr>
          <w:rFonts w:ascii="Arial" w:cs="Arial" w:eastAsia="Arial" w:hAnsi="Arial"/>
          <w:sz w:val="17"/>
          <w:szCs w:val="17"/>
          <w:color w:val="auto"/>
        </w:rPr>
      </w:pPr>
    </w:p>
    <w:p>
      <w:pPr>
        <w:jc w:val="both"/>
        <w:ind w:left="-20" w:firstLine="1240"/>
        <w:spacing w:after="0" w:line="264" w:lineRule="auto"/>
        <w:tabs>
          <w:tab w:leader="none" w:pos="18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181" w:lineRule="exact"/>
        <w:rPr>
          <w:rFonts w:ascii="Arial" w:cs="Arial" w:eastAsia="Arial" w:hAnsi="Arial"/>
          <w:sz w:val="18"/>
          <w:szCs w:val="18"/>
          <w:color w:val="auto"/>
        </w:rPr>
      </w:pPr>
    </w:p>
    <w:p>
      <w:pPr>
        <w:jc w:val="both"/>
        <w:ind w:left="-20" w:firstLine="1240"/>
        <w:spacing w:after="0" w:line="312" w:lineRule="auto"/>
        <w:tabs>
          <w:tab w:leader="none" w:pos="184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Reliance on Note Register</w:t>
      </w:r>
      <w:r>
        <w:rPr>
          <w:rFonts w:ascii="Arial" w:cs="Arial" w:eastAsia="Arial" w:hAnsi="Arial"/>
          <w:sz w:val="16"/>
          <w:szCs w:val="16"/>
          <w:color w:val="auto"/>
        </w:rPr>
        <w:t>. Prior to due presentment for transfer to Borrower of this Note, Borrower and any agent of Borrower may treat the Person in whose name this Note is duly registered on the Note Register as the owner hereof for the purpose of receiving payment as herein provided and for all other purposes, whether or not this Note is overdue, and neither Borrower nor any such agent shall be affected by notice to the contrary.</w:t>
      </w:r>
    </w:p>
    <w:p>
      <w:pPr>
        <w:spacing w:after="0" w:line="147"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5" w:lineRule="exact"/>
        <w:rPr>
          <w:sz w:val="20"/>
          <w:szCs w:val="20"/>
          <w:color w:val="auto"/>
        </w:rPr>
      </w:pPr>
    </w:p>
    <w:p>
      <w:pPr>
        <w:jc w:val="both"/>
        <w:ind w:left="-20" w:firstLine="1240"/>
        <w:spacing w:after="0" w:line="286" w:lineRule="auto"/>
        <w:tabs>
          <w:tab w:leader="none" w:pos="181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xml:space="preserve">. At any time after the Original Issue Date until this Note is no longer outstanding, this Note, including interest accrued hereon, shall be convertible, in whole or in part, into shares of Common Stock at the option of the Holder, at any time and from time to time (subject to the conversion limitations set forth in Section 4(d) hereof). The Holder shall effect conversions by delivering to Borrower a Notice of Conversion, the form of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specifying therein the principal amount of this Note and accrued interest, if any, to be converted and the date on which such conversion shall be effected (such date,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If no Conversion Date is specified in a Notice of Conversion, the Conversion Date shall be the date that such Notice of Conversion is deemed delivered hereunder. To effect conversions hereunder, the Holder shall not be required to physically surrender this Note to Borrower unless the entire principal amount of this Note has been so converted. Conversions hereunder shall have the effect of lowering the outstanding principal amount of this Note in an amount equal to the applicable conversion. The Holder and Borrower shall maintain records showing the principal amount(s) converted and the date of such conversion(s). Borrower may deliver an objection to any Notice of Conversion within one (1) Business Day of delivery of such Notice of Conversion. In the event of any dispute or discrepancy, the records of the Holder shall be controlling and determinative in the absence of manifest error. </w:t>
      </w:r>
      <w:r>
        <w:rPr>
          <w:rFonts w:ascii="Arial" w:cs="Arial" w:eastAsia="Arial" w:hAnsi="Arial"/>
          <w:sz w:val="16"/>
          <w:szCs w:val="16"/>
          <w:b w:val="1"/>
          <w:bCs w:val="1"/>
          <w:color w:val="auto"/>
        </w:rPr>
        <w:t>The Holder, and any assignee by acceptance of this Note, acknowledges</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agrees that, by reason of the provisions of this paragraph, following conversion of a portion of this Note, the unpaid and unconverted principal amount of this Note may be less than the amount stated on the face hereof.</w:t>
      </w:r>
    </w:p>
    <w:p>
      <w:pPr>
        <w:spacing w:after="0" w:line="174" w:lineRule="exact"/>
        <w:rPr>
          <w:rFonts w:ascii="Arial" w:cs="Arial" w:eastAsia="Arial" w:hAnsi="Arial"/>
          <w:sz w:val="16"/>
          <w:szCs w:val="16"/>
          <w:color w:val="auto"/>
        </w:rPr>
      </w:pPr>
    </w:p>
    <w:p>
      <w:pPr>
        <w:ind w:left="-20" w:firstLine="1240"/>
        <w:spacing w:after="0" w:line="277" w:lineRule="auto"/>
        <w:tabs>
          <w:tab w:leader="none" w:pos="182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The conversion price for the principal and interest, if any, in connection with voluntary conversions by the Holder shall be </w:t>
      </w:r>
      <w:r>
        <w:rPr>
          <w:rFonts w:ascii="Arial" w:cs="Arial" w:eastAsia="Arial" w:hAnsi="Arial"/>
          <w:sz w:val="18"/>
          <w:szCs w:val="18"/>
          <w:b w:val="1"/>
          <w:bCs w:val="1"/>
          <w:color w:val="auto"/>
        </w:rPr>
        <w:t>$0.62</w:t>
      </w:r>
      <w:r>
        <w:rPr>
          <w:rFonts w:ascii="Arial" w:cs="Arial" w:eastAsia="Arial" w:hAnsi="Arial"/>
          <w:sz w:val="18"/>
          <w:szCs w:val="18"/>
          <w:color w:val="auto"/>
        </w:rPr>
        <w:t xml:space="preserve"> per share of Common Stock,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00" w:hanging="5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firstLine="523"/>
        <w:spacing w:after="0" w:line="264" w:lineRule="auto"/>
        <w:tabs>
          <w:tab w:leader="none" w:pos="253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Conversion Shares Issuable Upon Conversion of Principal Amount</w:t>
      </w:r>
      <w:r>
        <w:rPr>
          <w:rFonts w:ascii="Arial" w:cs="Arial" w:eastAsia="Arial" w:hAnsi="Arial"/>
          <w:sz w:val="18"/>
          <w:szCs w:val="18"/>
          <w:color w:val="auto"/>
        </w:rPr>
        <w:t>. The number of Conversion Shares issuable upon a conversion hereunder shall be determined by the quotient obtained by dividing (x) the outstanding principal amount of this Note to be converted plus interest, if any, elected by the Holder to be converted by (y) the Conversion Price.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8" w:name="page39"/>
    <w:bookmarkEnd w:id="38"/>
    <w:p>
      <w:pPr>
        <w:jc w:val="both"/>
        <w:ind w:left="100" w:firstLine="523"/>
        <w:spacing w:after="0" w:line="272" w:lineRule="auto"/>
        <w:tabs>
          <w:tab w:leader="none" w:pos="1434"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Delivery of Certificate Upon Conversion</w:t>
      </w:r>
      <w:r>
        <w:rPr>
          <w:rFonts w:ascii="Arial" w:cs="Arial" w:eastAsia="Arial" w:hAnsi="Arial"/>
          <w:sz w:val="17"/>
          <w:szCs w:val="17"/>
          <w:color w:val="auto"/>
        </w:rPr>
        <w:t>. Not later than two (2) Trading Days after each Conversion Date (the “</w:t>
      </w:r>
      <w:r>
        <w:rPr>
          <w:rFonts w:ascii="Arial" w:cs="Arial" w:eastAsia="Arial" w:hAnsi="Arial"/>
          <w:sz w:val="17"/>
          <w:szCs w:val="17"/>
          <w:u w:val="single" w:color="auto"/>
          <w:color w:val="auto"/>
        </w:rPr>
        <w:t>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Delivery Date</w:t>
      </w:r>
      <w:r>
        <w:rPr>
          <w:rFonts w:ascii="Arial" w:cs="Arial" w:eastAsia="Arial" w:hAnsi="Arial"/>
          <w:sz w:val="17"/>
          <w:szCs w:val="17"/>
          <w:color w:val="auto"/>
        </w:rPr>
        <w:t>”), Borrower shall deliver, or cause to be delivered, to the Holder a certificate or certificates representing the Conversion Shares which, on or after the earlier of (i) the six month anniversary of the Original Issue Date or (ii) the Effective Date, shall be free of restrictive legends and trading restrictions (other than those which may then be required by the Purchase Agreement) representing the number of Conversion Shares being acquired upon the conversion of this Note. Borrower shall use its best efforts to deliver any certificate or certificates required to be delivered by Borrower under this Section 4(c) electronically through the Depository Trust Company or another established clearing corporation performing similar functions.</w:t>
      </w:r>
    </w:p>
    <w:p>
      <w:pPr>
        <w:spacing w:after="0" w:line="177" w:lineRule="exact"/>
        <w:rPr>
          <w:rFonts w:ascii="Arial" w:cs="Arial" w:eastAsia="Arial" w:hAnsi="Arial"/>
          <w:sz w:val="17"/>
          <w:szCs w:val="17"/>
          <w:color w:val="auto"/>
        </w:rPr>
      </w:pPr>
    </w:p>
    <w:p>
      <w:pPr>
        <w:jc w:val="both"/>
        <w:ind w:left="100" w:firstLine="523"/>
        <w:spacing w:after="0" w:line="257" w:lineRule="auto"/>
        <w:tabs>
          <w:tab w:leader="none" w:pos="131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Failure to Deliver Certificates</w:t>
      </w:r>
      <w:r>
        <w:rPr>
          <w:rFonts w:ascii="Arial" w:cs="Arial" w:eastAsia="Arial" w:hAnsi="Arial"/>
          <w:sz w:val="18"/>
          <w:szCs w:val="18"/>
          <w:color w:val="auto"/>
        </w:rPr>
        <w:t>. If, in the case of any Notice of Conversion, such certificate or certificates are not delivered to or as directed by the applicable Holder by the Share Delivery Date, the Holder shall be entitled to elect by written notice to Borrower at any time on or before its receipt of such certificate or certificates, to rescind such Conversion, in which event Borrower shall promptly return to the Holder any original Note delivered to Borrower and the Holder shall promptly return to Borrower the Common Stock certificates issued to such Holder pursuant to the rescinded Conversion Notice.</w:t>
      </w:r>
    </w:p>
    <w:p>
      <w:pPr>
        <w:spacing w:after="0" w:line="188" w:lineRule="exact"/>
        <w:rPr>
          <w:rFonts w:ascii="Arial" w:cs="Arial" w:eastAsia="Arial" w:hAnsi="Arial"/>
          <w:sz w:val="18"/>
          <w:szCs w:val="18"/>
          <w:color w:val="auto"/>
        </w:rPr>
      </w:pPr>
    </w:p>
    <w:p>
      <w:pPr>
        <w:jc w:val="both"/>
        <w:ind w:left="100" w:firstLine="523"/>
        <w:spacing w:after="0" w:line="283" w:lineRule="auto"/>
        <w:tabs>
          <w:tab w:leader="none" w:pos="129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Borrower’s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 or any breach or alleged breach by the Holder or any other Person of any obligation to Borrower or any violation or alleged violation of law by the Holder or any other Person, and irrespective of any other circumstance which might otherwise limit such obligation of Borrower to the Holder in connection with the issuance of such Conversion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delivery shall not operate as a waiver by Borrower of any such action Borrower may have against the Holder. In the event the Holder of this Note shall elect to convert any or all of the outstanding principal amount hereof, Borrower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Borrower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Borrower shall issue Conversion Shares or, if applicable, cash, upon a properly noticed conversion. If Borrower fails for any reason to deliver to the Holder such certificate or certificates pursuant to Section 4(c)(ii) by the Share Delivery Date, Borrower shall pay to the Holder, in cash, as liquidated damages and not as a penalty, for each</w:t>
      </w:r>
    </w:p>
    <w:p>
      <w:pPr>
        <w:jc w:val="both"/>
        <w:ind w:left="100"/>
        <w:spacing w:after="0" w:line="234" w:lineRule="auto"/>
        <w:rPr>
          <w:sz w:val="20"/>
          <w:szCs w:val="20"/>
          <w:color w:val="auto"/>
        </w:rPr>
      </w:pPr>
      <w:r>
        <w:rPr>
          <w:rFonts w:ascii="Arial" w:cs="Arial" w:eastAsia="Arial" w:hAnsi="Arial"/>
          <w:sz w:val="18"/>
          <w:szCs w:val="18"/>
          <w:color w:val="auto"/>
        </w:rPr>
        <w:t>$1,000 of principal amount being converted, $10 per Trading Day (increasing to $20 per Trading Day on the fifth (5</w:t>
      </w:r>
      <w:r>
        <w:rPr>
          <w:rFonts w:ascii="Arial" w:cs="Arial" w:eastAsia="Arial" w:hAnsi="Arial"/>
          <w:sz w:val="30"/>
          <w:szCs w:val="30"/>
          <w:color w:val="auto"/>
          <w:vertAlign w:val="superscript"/>
        </w:rPr>
        <w:t>th</w:t>
      </w:r>
      <w:r>
        <w:rPr>
          <w:rFonts w:ascii="Arial" w:cs="Arial" w:eastAsia="Arial" w:hAnsi="Arial"/>
          <w:sz w:val="18"/>
          <w:szCs w:val="18"/>
          <w:color w:val="auto"/>
        </w:rPr>
        <w:t>) Trading Day after such liquidated damages being to accrue) for each Trading Day after such Share Delivery Date until such certificates are delivered or Holder rescinds such conversion. Nothing herein shall limit a Holder’s right to pursue actual damages or declare an Event of Default pursuant to Section 8 hereof for Borrower’s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spacing w:after="0" w:line="200" w:lineRule="exact"/>
        <w:rPr>
          <w:sz w:val="20"/>
          <w:szCs w:val="20"/>
          <w:color w:val="auto"/>
        </w:rPr>
      </w:pPr>
    </w:p>
    <w:p>
      <w:pPr>
        <w:spacing w:after="0" w:line="2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9" w:name="page40"/>
    <w:bookmarkEnd w:id="39"/>
    <w:p>
      <w:pPr>
        <w:jc w:val="both"/>
        <w:ind w:left="100" w:firstLine="523"/>
        <w:spacing w:after="0" w:line="285" w:lineRule="auto"/>
        <w:tabs>
          <w:tab w:leader="none" w:pos="146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Conversion</w:t>
      </w:r>
      <w:r>
        <w:rPr>
          <w:rFonts w:ascii="Arial" w:cs="Arial" w:eastAsia="Arial" w:hAnsi="Arial"/>
          <w:sz w:val="16"/>
          <w:szCs w:val="16"/>
          <w:color w:val="auto"/>
        </w:rPr>
        <w:t>. In addition to any other rights available to the Holder, if Borrower fails for any reason to deliver to the Holder such certificate or certificates by the Share Delivery Date pursuant to Section 4(c)(ii), and if after such Share Delivery Date the Holder is required by its brokerage firm to purchase (in an open market transaction or otherwise), or the Holder or Holder’s brokerage firm otherwise purchases, shares of Common Stock to deliver in satisfaction of a sale by the Holder of the Conversion Shares which the Holder was entitled to receive upon the conversion relating to such Share Delivery Date (a “</w:t>
      </w:r>
      <w:r>
        <w:rPr>
          <w:rFonts w:ascii="Arial" w:cs="Arial" w:eastAsia="Arial" w:hAnsi="Arial"/>
          <w:sz w:val="16"/>
          <w:szCs w:val="16"/>
          <w:u w:val="single" w:color="auto"/>
          <w:color w:val="auto"/>
        </w:rPr>
        <w:t>Buy-In</w:t>
      </w:r>
      <w:r>
        <w:rPr>
          <w:rFonts w:ascii="Arial" w:cs="Arial" w:eastAsia="Arial" w:hAnsi="Arial"/>
          <w:sz w:val="16"/>
          <w:szCs w:val="16"/>
          <w:color w:val="auto"/>
        </w:rPr>
        <w:t>”), then Borrower shall (A) pay in cash to the Holder (in addition to any other remedies available to or elected by the Holder) the amount, if any, by which (x) the Holder’s total purchase price (including any brokerage commissions) for the Common Stock so purchased exceeds (y) the product of (1) the aggregate number of shares of Common Stock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of the attempted conversion (in which case such conversion shall be deemed rescinded) or deliver to the Holder the number of shares of Common Stock that would have been issued if Borrower had timely complied with its delivery requirements under Section 4(c)(ii). For example, if the Holder purchases Common Stock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Borrower shall be required to pay the Holder $1,000. The Holder shall provide Borrower written notice indicating the amounts payable to the Holder in respect of the Buy-In and, upon request of Borrower, evidence of the amount of such loss. Nothing herein shall limit a Holder’s right to pursue any other remedies available to it hereunder, at law or in equity including, without limitation, a decree of specific performance and/or injunctive relief with respect to Borrower’s failure to timely deliver certificates representing shares of Common Stock upon conversion of this Note as required pursuant to the terms hereof.</w:t>
      </w:r>
    </w:p>
    <w:p>
      <w:pPr>
        <w:spacing w:after="0" w:line="168" w:lineRule="exact"/>
        <w:rPr>
          <w:rFonts w:ascii="Arial" w:cs="Arial" w:eastAsia="Arial" w:hAnsi="Arial"/>
          <w:sz w:val="16"/>
          <w:szCs w:val="16"/>
          <w:color w:val="auto"/>
        </w:rPr>
      </w:pPr>
    </w:p>
    <w:p>
      <w:pPr>
        <w:jc w:val="both"/>
        <w:ind w:left="100" w:firstLine="523"/>
        <w:spacing w:after="0" w:line="290" w:lineRule="auto"/>
        <w:tabs>
          <w:tab w:leader="none" w:pos="126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Reservation of Shares Issuable Upon Conversion</w:t>
      </w:r>
      <w:r>
        <w:rPr>
          <w:rFonts w:ascii="Arial" w:cs="Arial" w:eastAsia="Arial" w:hAnsi="Arial"/>
          <w:sz w:val="16"/>
          <w:szCs w:val="16"/>
          <w:color w:val="auto"/>
        </w:rPr>
        <w:t>. Borrower covenants that it will at all times reserve and keep available out of its authorized and unissued shares of Common Stock for the sole purpose of issuance upon conversion of this Note as herein provided, free from preemptive rights or any other actual contingent purchase rights of Persons other than the Holder (and the other holders of the Notes), not less than 125% of the aggregate number of shares of the Common Stock as shall (subject to the terms and conditions set forth in the Purchase Agreement) be issuable (taking into account the adjustments and restrictions of Section 5) upon the conversion of the then outstanding principal amount of this Note and interest which has accrued and would accrue on such principal amount assuming such principal amount was not converted through the third anniversary of the Original Issue Date. Borrower covenants that all shares of Common Stock that shall be so issuable shall, upon issue, be duly authorized, validly issued, fully paid and nonassessable.</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0" w:name="page41"/>
    <w:bookmarkEnd w:id="40"/>
    <w:p>
      <w:pPr>
        <w:jc w:val="both"/>
        <w:ind w:left="1300" w:firstLine="523"/>
        <w:spacing w:after="0" w:line="259" w:lineRule="auto"/>
        <w:tabs>
          <w:tab w:leader="none" w:pos="2553"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fractional shares shall be issued upon the conversion of this Note. As to any fraction of a share which the Holder would otherwise be entitled to purchase upon such conversion, Borrower shall at its election, either pay a cash adjustment in respect of such final fraction in an amount equal to such fraction multiplied by the Conversion Price or round up to the next whole share.</w:t>
      </w:r>
    </w:p>
    <w:p>
      <w:pPr>
        <w:spacing w:after="0" w:line="186" w:lineRule="exact"/>
        <w:rPr>
          <w:rFonts w:ascii="Arial" w:cs="Arial" w:eastAsia="Arial" w:hAnsi="Arial"/>
          <w:sz w:val="18"/>
          <w:szCs w:val="18"/>
          <w:color w:val="auto"/>
        </w:rPr>
      </w:pPr>
    </w:p>
    <w:p>
      <w:pPr>
        <w:jc w:val="both"/>
        <w:ind w:left="1300" w:firstLine="523"/>
        <w:spacing w:after="0" w:line="291" w:lineRule="auto"/>
        <w:tabs>
          <w:tab w:leader="none" w:pos="252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Transfer Taxes and Expenses</w:t>
      </w:r>
      <w:r>
        <w:rPr>
          <w:rFonts w:ascii="Arial" w:cs="Arial" w:eastAsia="Arial" w:hAnsi="Arial"/>
          <w:sz w:val="16"/>
          <w:szCs w:val="16"/>
          <w:color w:val="auto"/>
        </w:rPr>
        <w:t>. The issuance of certificates for shares of the Common Stock on conversion of this Note shall be made without charge to the Holder hereof for any documentary stamp or similar taxes that may be payable in respect of the issue or delivery of such certificates, provided that, Borrower shall not be required to pay any tax that may be payable in respect of any transfer involved in the issuance and delivery of any such certificate upon conversion in a name other than that of the Holder of this Note so converted and Borrower shall not be required to issue or deliver such certificates unless or until the Person or Persons requesting the issuance thereof shall have paid to Borrower the amount of such tax or shall have established to the satisfaction of Borrower that such tax has been paid. Borrower shall pay all Transfer Agent fees required for same-day processing of any Notice of Conversion.</w:t>
      </w:r>
    </w:p>
    <w:p>
      <w:pPr>
        <w:spacing w:after="0" w:line="167" w:lineRule="exact"/>
        <w:rPr>
          <w:rFonts w:ascii="Arial" w:cs="Arial" w:eastAsia="Arial" w:hAnsi="Arial"/>
          <w:sz w:val="16"/>
          <w:szCs w:val="16"/>
          <w:color w:val="auto"/>
        </w:rPr>
      </w:pPr>
    </w:p>
    <w:p>
      <w:pPr>
        <w:jc w:val="both"/>
        <w:ind w:firstLine="1240"/>
        <w:spacing w:after="0" w:line="282" w:lineRule="auto"/>
        <w:tabs>
          <w:tab w:leader="none" w:pos="195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Holder’s Conversion Limitations</w:t>
      </w:r>
      <w:r>
        <w:rPr>
          <w:rFonts w:ascii="Arial" w:cs="Arial" w:eastAsia="Arial" w:hAnsi="Arial"/>
          <w:sz w:val="16"/>
          <w:szCs w:val="16"/>
          <w:color w:val="auto"/>
        </w:rPr>
        <w:t>. Borrower shall not effect any conversion of this Note, and a Holder shall not have the right to convert any portion of this Note, to the extent that after giving effect to the conversion set forth on the applicable Notice of Conversion, the Holder (together with the Holder’s Affiliates, and any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conversion of this Note with respect to which such determination is being made, but shall exclude the number of shares of Common Stock which are issuable upon (i) conversion of the remaining, unconverted principal amount of this Note beneficially owned by the Holder or any of its Affiliates and (ii) exercise or conversion of the unexercised or unconverted portion of any other securities of Borrower subject to a limitation on conversion or exercise analogous to the limitation contained herein (including, without limitation, any other Notes or the Warrants) beneficially owned by the Holder or any of its Affiliates.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Note is convertible (in relation to other securities owned by the Holder together with any Affiliates) and of which principal amount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and which principal amount of this Note is convertible, in each case subject to the Beneficial Ownership Limitation. To ensure compliance with this restriction, the Holder will be deemed to represent to Borrower each time it delivers a Notice of Conversion that such Notice of Conversion has not violated the restrictions set forth in this paragraph and Borrower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shares of Common Stock, the Holder may rely on the number of outstanding shares of Common Stock as stated in the most recent of the following: (i) Borrower’s most recent periodic or annual report filed with the Commission, as the case may be, (ii) a more recent public announcement by Borrower, or (iii) a more recent written notice by Borrower or Borrower’s transfer agent setting forth the number of shares of Common Stock outstanding. Upon the written or oral request of a Holder, Borrower shall within two Trading Days confirm orally and in writing to the Holder the number of shares of Common Stock then outstanding. In any case, the number of outstanding shares of Common Stock shall be determined after giving effect to the conversion or exercise of securities of Borrower, including this Note, by the Holder or its Affiliates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9.99% of the number of shares of the Common Stock outstanding immediately after giving effect to the issuance of shares of Common Stock issuable upon conversion of this Note held by the Holder. The Holder may decrease the Beneficial Ownership Limitation at any time and the Holder, upon not less than 61 days’ prior notice to Borrower, and may increase the Beneficial Ownership Limitation provided that the Beneficial Ownership Limitation in no event exceeds 9.99% of the number of shares of the Common Stock outstanding immediately after giving effect to the issuance of shares of Common Stock upon conversion of this Note held by the Holder and the Beneficial</w:t>
      </w:r>
    </w:p>
    <w:p>
      <w:pPr>
        <w:spacing w:after="0" w:line="1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Ownership Limitation provisions of this Section 4(d) shall continue to apply. Any such increase will not be effective until the 61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such notice is delivered to Borrower. The Beneficial Ownership Limitation provisions of this paragraph shall be construed and implemented in a manner otherwise than in strict conformity with the terms of this Section 4(d)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left="-20" w:firstLine="1240"/>
        <w:spacing w:after="0" w:line="285" w:lineRule="auto"/>
        <w:tabs>
          <w:tab w:leader="none" w:pos="186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Conversion Cap</w:t>
      </w:r>
      <w:r>
        <w:rPr>
          <w:rFonts w:ascii="Arial" w:cs="Arial" w:eastAsia="Arial" w:hAnsi="Arial"/>
          <w:sz w:val="16"/>
          <w:szCs w:val="16"/>
          <w:color w:val="auto"/>
        </w:rPr>
        <w:t>. Borrower shall not issue any shares of Common Stock upon conversion of this Note or otherwise pursuant to the terms of this Note if the issuance of such shares of Common Stock would exceed the aggregate number of shares of Common Stock which the Borrower may issue upon conversion of the Notes without breaching the Borrower’s obligations, if any, under the rules or regulations of the Trading Market (the number of shares which may be issued without violating such rules and regulations, including rules related to the aggregate of offerings under Nasdaq Listing Rule 5635(d), as applicable, the “</w:t>
      </w:r>
      <w:r>
        <w:rPr>
          <w:rFonts w:ascii="Arial" w:cs="Arial" w:eastAsia="Arial" w:hAnsi="Arial"/>
          <w:sz w:val="16"/>
          <w:szCs w:val="16"/>
          <w:u w:val="single" w:color="auto"/>
          <w:color w:val="auto"/>
        </w:rPr>
        <w:t>Conversion Cap</w:t>
      </w:r>
      <w:r>
        <w:rPr>
          <w:rFonts w:ascii="Arial" w:cs="Arial" w:eastAsia="Arial" w:hAnsi="Arial"/>
          <w:sz w:val="16"/>
          <w:szCs w:val="16"/>
          <w:color w:val="auto"/>
        </w:rPr>
        <w:t>”), except that such limitation shall not apply in the event that the Borrower obtains the approval of its stockholders as required by the applicable rules of the Trading Market for issuances of shares of Common Stock upon conversion of the Notes in excess of such amount. Until such approval is obtained, no Holder shall be issued in the aggregate, upon conversion of any Notes, shares of Common Stock in an amount greater than the product of (i) the Conversion Cap multiplied by (ii) the quotient of (A) the Holder’s Subscription Amount (as defined in the Securities Purchase Agreement) divided by (B) the aggregate principal amount of Notes issued to all Holders (with respect to each Holder, the “</w:t>
      </w: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 Allocation</w:t>
      </w:r>
      <w:r>
        <w:rPr>
          <w:rFonts w:ascii="Arial" w:cs="Arial" w:eastAsia="Arial" w:hAnsi="Arial"/>
          <w:sz w:val="16"/>
          <w:szCs w:val="16"/>
          <w:color w:val="auto"/>
        </w:rPr>
        <w:t>”). The Conversion Cap Allocation will be further allocated as to each Holder among its Notes. In the event that any Holder shall sell or otherwise transfer any of such Holder’s Notes, the transferee shall be allocated a pro rata portion of such Holder’s Conversion Cap Allocation with respect to such portion of such Notes so transferred, and the restrictions of the prior sentence shall apply to such transferee with respect to the portion of the Conversion Cap Allocation so allocated to such transferee. Upon conversion in full of a Holder’s Notes, the difference (if any) between such Holder’s Conversion Cap Allocation and the number of shares of Common Stock actually issued to such Holder upon such Holder’s conversion in full of such Holder’s Notes shall be allocated to the respective Conversion Cap Allocations of the remaining Holders of Notes on a pro rata basis in proportion to the shares of Common Stock underlying the Notes then held by each such Holder. As of the Initial Issue Date, the Conversion Cap is not less than 5,300,260 shares of Common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2" w:name="page43"/>
    <w:bookmarkEnd w:id="42"/>
    <w:p>
      <w:pPr>
        <w:ind w:left="640"/>
        <w:spacing w:after="0"/>
        <w:tabs>
          <w:tab w:leader="none" w:pos="18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left="-20" w:firstLine="1240"/>
        <w:spacing w:after="0" w:line="253" w:lineRule="auto"/>
        <w:tabs>
          <w:tab w:leader="none" w:pos="190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 Dividends and Stock Splits</w:t>
      </w:r>
      <w:r>
        <w:rPr>
          <w:rFonts w:ascii="Arial" w:cs="Arial" w:eastAsia="Arial" w:hAnsi="Arial"/>
          <w:sz w:val="18"/>
          <w:szCs w:val="18"/>
          <w:color w:val="auto"/>
        </w:rPr>
        <w:t>. If Borrower, at any time while this Note is outstanding: (i) pays a stock dividend or otherwise makes a distribution or distributions payable in shares of Common Stock on shares of Common Stock or any Common Stock Equivalents (which, for avoidance of doubt, shall not include any shares of Common Stock issued by Borrower upon conversion of the Notes),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Borrower, then the Conversion Price shall be multiplied by a fraction of which the numerator shall be the number of shares of Common Stock (excluding any treasury shares of Borrower) outstanding immediately before such event, and of which the denominator shall be the number of shares of Common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4" w:lineRule="exact"/>
        <w:rPr>
          <w:rFonts w:ascii="Arial" w:cs="Arial" w:eastAsia="Arial" w:hAnsi="Arial"/>
          <w:sz w:val="18"/>
          <w:szCs w:val="18"/>
          <w:color w:val="auto"/>
        </w:rPr>
      </w:pPr>
    </w:p>
    <w:p>
      <w:pPr>
        <w:jc w:val="both"/>
        <w:ind w:left="-20" w:firstLine="1240"/>
        <w:spacing w:after="0" w:line="284" w:lineRule="auto"/>
        <w:tabs>
          <w:tab w:leader="none" w:pos="187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Subsequent Equity Sales</w:t>
      </w:r>
      <w:r>
        <w:rPr>
          <w:rFonts w:ascii="Arial" w:cs="Arial" w:eastAsia="Arial" w:hAnsi="Arial"/>
          <w:sz w:val="16"/>
          <w:szCs w:val="16"/>
          <w:color w:val="auto"/>
        </w:rPr>
        <w:t>. In addition to the reductions of the Conversion Price described in Section 4(b), if, at any time while this Note is outstanding, the Borrower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then Conversion Price (such lower price,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Conversion Price, such issuance shall be deemed to have occurred for less than the Conversion Price on such date of the Dilutive Issuance), then the Conversion Price shall be reduced to equal the Base Conversion Price, subject to adjustment for reverse and forward stock splits and the like. Such adjustment shall be made whenever such Common Stock or Common Stock Equivalents are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w:t>
      </w:r>
      <w:r>
        <w:rPr>
          <w:rFonts w:ascii="Arial" w:cs="Arial" w:eastAsia="Arial" w:hAnsi="Arial"/>
          <w:sz w:val="16"/>
          <w:szCs w:val="16"/>
          <w:color w:val="222222"/>
        </w:rPr>
        <w:t>otwithstanding the</w:t>
      </w:r>
      <w:r>
        <w:rPr>
          <w:rFonts w:ascii="Arial" w:cs="Arial" w:eastAsia="Arial" w:hAnsi="Arial"/>
          <w:sz w:val="16"/>
          <w:szCs w:val="16"/>
          <w:color w:val="auto"/>
        </w:rPr>
        <w:t xml:space="preserve"> </w:t>
      </w:r>
      <w:r>
        <w:rPr>
          <w:rFonts w:ascii="Arial" w:cs="Arial" w:eastAsia="Arial" w:hAnsi="Arial"/>
          <w:sz w:val="16"/>
          <w:szCs w:val="16"/>
          <w:color w:val="222222"/>
        </w:rPr>
        <w:t xml:space="preserve">foregoing, the Conversion Price shall not be adjusted to be less than the Conversion Price Floor; </w:t>
      </w:r>
      <w:r>
        <w:rPr>
          <w:rFonts w:ascii="Arial" w:cs="Arial" w:eastAsia="Arial" w:hAnsi="Arial"/>
          <w:sz w:val="16"/>
          <w:szCs w:val="16"/>
          <w:u w:val="single" w:color="auto"/>
          <w:color w:val="222222"/>
        </w:rPr>
        <w:t>provided</w:t>
      </w:r>
      <w:r>
        <w:rPr>
          <w:rFonts w:ascii="Arial" w:cs="Arial" w:eastAsia="Arial" w:hAnsi="Arial"/>
          <w:sz w:val="16"/>
          <w:szCs w:val="16"/>
          <w:color w:val="222222"/>
        </w:rPr>
        <w:t xml:space="preserve">, </w:t>
      </w:r>
      <w:r>
        <w:rPr>
          <w:rFonts w:ascii="Arial" w:cs="Arial" w:eastAsia="Arial" w:hAnsi="Arial"/>
          <w:sz w:val="16"/>
          <w:szCs w:val="16"/>
          <w:u w:val="single" w:color="auto"/>
          <w:color w:val="222222"/>
        </w:rPr>
        <w:t>further</w:t>
      </w:r>
      <w:r>
        <w:rPr>
          <w:rFonts w:ascii="Arial" w:cs="Arial" w:eastAsia="Arial" w:hAnsi="Arial"/>
          <w:sz w:val="16"/>
          <w:szCs w:val="16"/>
          <w:color w:val="222222"/>
        </w:rPr>
        <w:t xml:space="preserve">, </w:t>
      </w:r>
      <w:r>
        <w:rPr>
          <w:rFonts w:ascii="Arial" w:cs="Arial" w:eastAsia="Arial" w:hAnsi="Arial"/>
          <w:sz w:val="16"/>
          <w:szCs w:val="16"/>
          <w:u w:val="single" w:color="auto"/>
          <w:color w:val="222222"/>
        </w:rPr>
        <w:t>however</w:t>
      </w:r>
      <w:r>
        <w:rPr>
          <w:rFonts w:ascii="Arial" w:cs="Arial" w:eastAsia="Arial" w:hAnsi="Arial"/>
          <w:sz w:val="16"/>
          <w:szCs w:val="16"/>
          <w:color w:val="222222"/>
        </w:rPr>
        <w:t xml:space="preserve">, that the Conversion Price can be reduced below the Conversion Price Floor if the Borrower is not then subject to Nasdaq Listing Rule 5635(d) or if approved by the Trading Market. </w:t>
      </w:r>
      <w:r>
        <w:rPr>
          <w:rFonts w:ascii="Arial" w:cs="Arial" w:eastAsia="Arial" w:hAnsi="Arial"/>
          <w:sz w:val="16"/>
          <w:szCs w:val="16"/>
          <w:color w:val="000000"/>
        </w:rPr>
        <w:t xml:space="preserve">Notwithstanding the foregoing, no adjustment will be made under this Section 5(b) in respect of an Exempt Issuance. If the Borrower enters into a Variable Rate Transaction, despite the prohibition set forth in the Purchase Agreement, the Borrower shall be deemed to have issued Common Stock or Common Stock Equivalents at the lowest possible conversion price at which such securities may be converted or exercised. Notwithstanding anything herein to the contrary, this Section 5(b) shall not apply until receipt of the Shareholder Approval pursuant to Nasdaq Listing Rule 5635(d) unless </w:t>
      </w:r>
      <w:r>
        <w:rPr>
          <w:rFonts w:ascii="Arial" w:cs="Arial" w:eastAsia="Arial" w:hAnsi="Arial"/>
          <w:sz w:val="16"/>
          <w:szCs w:val="16"/>
          <w:color w:val="222222"/>
        </w:rPr>
        <w:t>the Borrower is not then subject to</w:t>
      </w:r>
      <w:r>
        <w:rPr>
          <w:rFonts w:ascii="Arial" w:cs="Arial" w:eastAsia="Arial" w:hAnsi="Arial"/>
          <w:sz w:val="16"/>
          <w:szCs w:val="16"/>
          <w:color w:val="000000"/>
        </w:rPr>
        <w:t xml:space="preserve"> </w:t>
      </w:r>
      <w:r>
        <w:rPr>
          <w:rFonts w:ascii="Arial" w:cs="Arial" w:eastAsia="Arial" w:hAnsi="Arial"/>
          <w:sz w:val="16"/>
          <w:szCs w:val="16"/>
          <w:color w:val="222222"/>
        </w:rPr>
        <w:t>Nasdaq Listing Rule 5635(d)</w:t>
      </w:r>
      <w:r>
        <w:rPr>
          <w:rFonts w:ascii="Arial" w:cs="Arial" w:eastAsia="Arial" w:hAnsi="Arial"/>
          <w:sz w:val="16"/>
          <w:szCs w:val="16"/>
          <w:color w:val="000000"/>
        </w:rPr>
        <w:t>. The Borrower shall notify the Holder in writing, no later than the Trading Day following the issuance of any Common Stock or</w:t>
      </w:r>
      <w:r>
        <w:rPr>
          <w:rFonts w:ascii="Arial" w:cs="Arial" w:eastAsia="Arial" w:hAnsi="Arial"/>
          <w:sz w:val="16"/>
          <w:szCs w:val="16"/>
          <w:color w:val="222222"/>
        </w:rPr>
        <w:t xml:space="preserve"> </w:t>
      </w:r>
      <w:r>
        <w:rPr>
          <w:rFonts w:ascii="Arial" w:cs="Arial" w:eastAsia="Arial" w:hAnsi="Arial"/>
          <w:sz w:val="16"/>
          <w:szCs w:val="16"/>
          <w:color w:val="000000"/>
        </w:rPr>
        <w:t>Common Stock Equivalents subject to this Section 5(b), indicating therein the applicable issuance price, or applicable reset price, exchange price, conversion price and other pricing terms (such notice, the “</w:t>
      </w:r>
      <w:r>
        <w:rPr>
          <w:rFonts w:ascii="Arial" w:cs="Arial" w:eastAsia="Arial" w:hAnsi="Arial"/>
          <w:sz w:val="16"/>
          <w:szCs w:val="16"/>
          <w:u w:val="single" w:color="auto"/>
          <w:color w:val="000000"/>
        </w:rPr>
        <w:t>Dilutive Issuance Notice</w:t>
      </w:r>
      <w:r>
        <w:rPr>
          <w:rFonts w:ascii="Arial" w:cs="Arial" w:eastAsia="Arial" w:hAnsi="Arial"/>
          <w:sz w:val="16"/>
          <w:szCs w:val="16"/>
          <w:color w:val="000000"/>
        </w:rPr>
        <w:t>”). For purposes of clarification, whether or not the Borrower provides a Dilutive Issuance Notice pursuant to this Section 5(b), upon the occurrence of any Dilutive Issuance, the Holder is entitled to receive a number of Conversion Shares based upon the Base Conversion Price on or after the date of such Dilutive Issuance, regardless of whether the Holder accurately refers to the Base Conversion Price in the Notice of Conversion.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3" w:name="page44"/>
    <w:bookmarkEnd w:id="43"/>
    <w:p>
      <w:pPr>
        <w:jc w:val="both"/>
        <w:ind w:left="-20" w:firstLine="1240"/>
        <w:spacing w:after="0" w:line="269" w:lineRule="auto"/>
        <w:tabs>
          <w:tab w:leader="none" w:pos="181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Sections 5(a) and (b) above, if at any time Borrower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2" w:lineRule="exact"/>
        <w:rPr>
          <w:rFonts w:ascii="Arial" w:cs="Arial" w:eastAsia="Arial" w:hAnsi="Arial"/>
          <w:sz w:val="17"/>
          <w:szCs w:val="17"/>
          <w:color w:val="auto"/>
        </w:rPr>
      </w:pPr>
    </w:p>
    <w:p>
      <w:pPr>
        <w:jc w:val="both"/>
        <w:ind w:left="-20" w:firstLine="1240"/>
        <w:spacing w:after="0" w:line="269" w:lineRule="auto"/>
        <w:tabs>
          <w:tab w:leader="none" w:pos="183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Note is outstanding, if Borrower shall declare or make any dividend whether or not permitted, or 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Note, then, in each such case, the Holder shall be entitled to participate in such Distribution to the same extent that the Holder would have participated therein if the Holder had held the number of shares of Common Stock acquirable upon complete exercise of this Note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4" w:name="page45"/>
    <w:bookmarkEnd w:id="44"/>
    <w:p>
      <w:pPr>
        <w:jc w:val="both"/>
        <w:ind w:left="-20" w:firstLine="1240"/>
        <w:spacing w:after="0" w:line="283" w:lineRule="auto"/>
        <w:tabs>
          <w:tab w:leader="none" w:pos="188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Note is outstanding, (i) Borrower, directly or indirectly, in one or more related transactions effects any merger or consolidation of Borrower with or into another Person, (ii) Borrower, directly or indirectly, effects any sale, lease, license, assignment, transfer, conveyance or other disposition of all or substantially all of its assets in one or a series of related transactions, (iii) any, direct or indirect, purchase offer, tender offer or exchange offer (whether by Borrower or another Person) is completed pursuant to which holders of Common Stock are permitted to sell, tender or exchange their shares for other securities, cash or property and has been accepted by the holders of 50% or more of the outstanding Common Stock, (iv) Borrower,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Borrower,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Holder shall have the right to receive, for each Conversion Share that would have been issuable upon such conversion immediately prior to the occurrence of such Fundamental Transaction (without regard to any limitation in Section 4(d) on the conversion of this Note), the number of shares of Common Stock of the successor or acquiring corporation or of Borrower,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Note is convertible immediately prior to such Fundamental Transaction (without regard to any limitation in Section 4(d) on the conversion of this Note).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Borrower shall cause any successor entity in a Fundamental Transaction in which Borrower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Borrower under this Note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Note,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and receivable upon conversion of this Note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Note and the other Transaction Documents referring to the “Borrower” shall refer instead to the Successor Entity), and may exercise every right and power of Borrower and shall assume all of the obligations of Borrower under this Note and the other Transaction Documents with the same effect as if such Successor Entity had been named as Borrower herein.</w:t>
      </w:r>
    </w:p>
    <w:p>
      <w:pPr>
        <w:spacing w:after="0" w:line="184" w:lineRule="exact"/>
        <w:rPr>
          <w:rFonts w:ascii="Arial" w:cs="Arial" w:eastAsia="Arial" w:hAnsi="Arial"/>
          <w:sz w:val="16"/>
          <w:szCs w:val="16"/>
          <w:color w:val="auto"/>
        </w:rPr>
      </w:pPr>
    </w:p>
    <w:p>
      <w:pPr>
        <w:jc w:val="both"/>
        <w:ind w:left="-20" w:firstLine="1240"/>
        <w:spacing w:after="0" w:line="264" w:lineRule="auto"/>
        <w:tabs>
          <w:tab w:leader="none" w:pos="182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Borrower) issued and outstanding.</w:t>
      </w:r>
    </w:p>
    <w:p>
      <w:pPr>
        <w:spacing w:after="0" w:line="181" w:lineRule="exact"/>
        <w:rPr>
          <w:rFonts w:ascii="Arial" w:cs="Arial" w:eastAsia="Arial" w:hAnsi="Arial"/>
          <w:sz w:val="18"/>
          <w:szCs w:val="18"/>
          <w:color w:val="auto"/>
        </w:rPr>
      </w:pPr>
    </w:p>
    <w:p>
      <w:pPr>
        <w:ind w:left="1820" w:hanging="600"/>
        <w:spacing w:after="0"/>
        <w:tabs>
          <w:tab w:leader="none" w:pos="18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 to the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right="20" w:firstLine="523"/>
        <w:spacing w:after="0" w:line="264" w:lineRule="auto"/>
        <w:tabs>
          <w:tab w:leader="none" w:pos="255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5, Borrower shall promptly deliver to each Holder a notice setting forth the Conversion Price after such adjustment and setting forth a brief statement of the facts requiring such adjustment.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 w:name="page46"/>
    <w:bookmarkEnd w:id="45"/>
    <w:p>
      <w:pPr>
        <w:jc w:val="both"/>
        <w:ind w:left="1300" w:firstLine="523"/>
        <w:spacing w:after="0" w:line="291" w:lineRule="auto"/>
        <w:tabs>
          <w:tab w:leader="none" w:pos="2607"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Holder</w:t>
      </w:r>
      <w:r>
        <w:rPr>
          <w:rFonts w:ascii="Arial" w:cs="Arial" w:eastAsia="Arial" w:hAnsi="Arial"/>
          <w:sz w:val="16"/>
          <w:szCs w:val="16"/>
          <w:color w:val="auto"/>
        </w:rPr>
        <w:t>. If (A) Borrower shall declare a dividend (or any other distribution in whatever form) on the Common Stock, (B) Borrower shall declare a special nonrecurring cash dividend on or a redemption of the Common Stock,</w:t>
      </w:r>
    </w:p>
    <w:p>
      <w:pPr>
        <w:jc w:val="both"/>
        <w:ind w:left="1300" w:firstLine="5"/>
        <w:spacing w:after="0" w:line="284" w:lineRule="auto"/>
        <w:tabs>
          <w:tab w:leader="none" w:pos="1592" w:val="left"/>
        </w:tabs>
        <w:numPr>
          <w:ilvl w:val="1"/>
          <w:numId w:val="25"/>
        </w:numPr>
        <w:rPr>
          <w:rFonts w:ascii="Arial" w:cs="Arial" w:eastAsia="Arial" w:hAnsi="Arial"/>
          <w:sz w:val="16"/>
          <w:szCs w:val="16"/>
          <w:color w:val="auto"/>
        </w:rPr>
      </w:pPr>
      <w:r>
        <w:rPr>
          <w:rFonts w:ascii="Arial" w:cs="Arial" w:eastAsia="Arial" w:hAnsi="Arial"/>
          <w:sz w:val="16"/>
          <w:szCs w:val="16"/>
          <w:color w:val="auto"/>
        </w:rPr>
        <w:t>Borrower shall authorize the granting to all holders of the Common Stock of rights or warrants to subscribe for or purchase any shares of capital stock of any class or of any rights, (D) the approval of any stockholders of Borrower shall be required in connection with any reclassification of the Common Stock, any consolidation or merger to which Borrower is a party, any sale or transfer of all or substantially all of the assets of Borrower, or any compulsory share exchange whereby the Common Stock is converted into other securities, cash or property or (E) Borrower shall authorize the voluntary or involuntary dissolution, liquidation or winding up of the affairs of Borrower, then, in each case, Borrower shall cause to be filed at each office or agency maintained for the purpose of conversion of this Note, and shall cause to be delivered to the Holder at its last address as it shall appear upon the Note Register, at least ten (10) Trading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Borrower or any of the Subsidiaries, Borrower shall simultaneously file such notice with the Commission pursuant to a Current Report on Form 8-K. The Holder shall remain entitled to convert this Note during the 20-day period commencing on the date of such notice through the effective date of the event triggering such notice except as may otherwise be expressly set forth herein.</w:t>
      </w:r>
    </w:p>
    <w:p>
      <w:pPr>
        <w:spacing w:after="0" w:line="172" w:lineRule="exact"/>
        <w:rPr>
          <w:rFonts w:ascii="Arial" w:cs="Arial" w:eastAsia="Arial" w:hAnsi="Arial"/>
          <w:sz w:val="16"/>
          <w:szCs w:val="16"/>
          <w:color w:val="auto"/>
        </w:rPr>
      </w:pPr>
    </w:p>
    <w:p>
      <w:pPr>
        <w:jc w:val="both"/>
        <w:ind w:firstLine="1240"/>
        <w:spacing w:after="0" w:line="259" w:lineRule="auto"/>
        <w:tabs>
          <w:tab w:leader="none" w:pos="18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Nasdaq Approval</w:t>
      </w:r>
      <w:r>
        <w:rPr>
          <w:rFonts w:ascii="Arial" w:cs="Arial" w:eastAsia="Arial" w:hAnsi="Arial"/>
          <w:sz w:val="18"/>
          <w:szCs w:val="18"/>
          <w:color w:val="auto"/>
        </w:rPr>
        <w:t>. Until the Borrower receives the approval of its shareholders for the issuance of the Conversion Shares pursuant to Nasdaq Listing Rule 5635(d) and for so long as such requirement is applicable to the Borrower, the Borrower may not issue any Interest Share Amount in violation of such Listing Rule nor additional Conversion Shares resulting from a Dilutive Issuance in excess of the amount of Conversion Shares issuable prior to the reduction of the Conversion Price due to the Dilutive Issuance adjustment.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Prepayment and Redemption</w:t>
      </w:r>
      <w:r>
        <w:rPr>
          <w:rFonts w:ascii="Arial" w:cs="Arial" w:eastAsia="Arial" w:hAnsi="Arial"/>
          <w:sz w:val="18"/>
          <w:szCs w:val="18"/>
          <w:color w:val="auto"/>
        </w:rPr>
        <w:t>. This Note may not be prepaid, redeemed or mandatorily converted without the consent of the Holder except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1240"/>
        <w:spacing w:after="0" w:line="270" w:lineRule="auto"/>
        <w:tabs>
          <w:tab w:leader="none" w:pos="2096"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Mandatory Repayment</w:t>
      </w:r>
      <w:r>
        <w:rPr>
          <w:rFonts w:ascii="Arial" w:cs="Arial" w:eastAsia="Arial" w:hAnsi="Arial"/>
          <w:sz w:val="17"/>
          <w:szCs w:val="17"/>
          <w:color w:val="auto"/>
        </w:rPr>
        <w:t>. In connection with a Subsequent Financing conducted pursuant to a Form S-3 registration statement, Borrower shall, on a Trading Day, at least two (2) hours prior to Borrower’s receipt of the proceeds of such Subsequent Financing, offer in writing (the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to the Holder the right to receive Holder’s Pro Rata Portion of the net proceeds of such Subsequent Financing to be applied in satisfaction of up to 100% of such Holder’s Principal Amount and accrued but unpaid interest designated by Holder. In connection with a Subsequent Financing not involving a Form S-3 registration statement, Borrower shall provide the Offer Notice not later than five (5) Trading Days before the closing of the Subsequent Financing. Holder must notify the Borrower within four (4) Trading Days of receipt of the Offer Notice if such Holder elects to exercise the right to receive its Pro Rata Portion of the Subsequent Financing gross proceeds. If Holder’s notice to elect to receive payment is received at least one (1) Trading Day prior to the closing of the Subsequent Financing, the amount required to be paid to Holder must be paid to Holder not later than the closing of the Subsequent Financing. If Holder’s notice to receive payment is not given to Borrower at least one (1) Trading Day prior to the closing of the Subsequent Financing, then payment must be made to the Holder not later than five (5) Trading Days after the closing of the Subsequent Financing.</w:t>
      </w:r>
    </w:p>
    <w:p>
      <w:pPr>
        <w:spacing w:after="0" w:line="177" w:lineRule="exact"/>
        <w:rPr>
          <w:rFonts w:ascii="Arial" w:cs="Arial" w:eastAsia="Arial" w:hAnsi="Arial"/>
          <w:sz w:val="17"/>
          <w:szCs w:val="17"/>
          <w:color w:val="auto"/>
        </w:rPr>
      </w:pPr>
    </w:p>
    <w:p>
      <w:pPr>
        <w:jc w:val="both"/>
        <w:ind w:firstLine="1240"/>
        <w:spacing w:after="0" w:line="284" w:lineRule="auto"/>
        <w:tabs>
          <w:tab w:leader="none" w:pos="187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Optional Prepayment</w:t>
      </w:r>
      <w:r>
        <w:rPr>
          <w:rFonts w:ascii="Arial" w:cs="Arial" w:eastAsia="Arial" w:hAnsi="Arial"/>
          <w:sz w:val="16"/>
          <w:szCs w:val="16"/>
          <w:color w:val="auto"/>
        </w:rPr>
        <w:t>. Commencing upon the fourth monthly anniversary of the Original Issue Date, Borrower will have the option of prepaying the outstanding Principal Amount of this Note (“</w:t>
      </w:r>
      <w:r>
        <w:rPr>
          <w:rFonts w:ascii="Arial" w:cs="Arial" w:eastAsia="Arial" w:hAnsi="Arial"/>
          <w:sz w:val="16"/>
          <w:szCs w:val="16"/>
          <w:u w:val="single" w:color="auto"/>
          <w:color w:val="auto"/>
        </w:rPr>
        <w:t>Optional Redemption</w:t>
      </w:r>
      <w:r>
        <w:rPr>
          <w:rFonts w:ascii="Arial" w:cs="Arial" w:eastAsia="Arial" w:hAnsi="Arial"/>
          <w:sz w:val="16"/>
          <w:szCs w:val="16"/>
          <w:color w:val="auto"/>
        </w:rPr>
        <w:t>”), in whole or in part, by paying to the Holder a sum of money in cash equal to one hundred and fifteen percent (115%) of the Principal Amount to be redeemed, together with accrued but unpaid interest thereon, if any, and any and all other sums due, accrued or payable to the Holder arising under this Note through the Redemption Payment Date, as defined below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The Borrower’s election to exercise its right to prepay this Note must be by notice in writing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The Notice of Redemption shall specify the date for such Optional Redemption (the “</w:t>
      </w:r>
      <w:r>
        <w:rPr>
          <w:rFonts w:ascii="Arial" w:cs="Arial" w:eastAsia="Arial" w:hAnsi="Arial"/>
          <w:sz w:val="16"/>
          <w:szCs w:val="16"/>
          <w:u w:val="single" w:color="auto"/>
          <w:color w:val="auto"/>
        </w:rPr>
        <w:t>Redemption Payment Date</w:t>
      </w:r>
      <w:r>
        <w:rPr>
          <w:rFonts w:ascii="Arial" w:cs="Arial" w:eastAsia="Arial" w:hAnsi="Arial"/>
          <w:sz w:val="16"/>
          <w:szCs w:val="16"/>
          <w:color w:val="auto"/>
        </w:rPr>
        <w:t>”), which date shall be a date certain not sooner than (i) ten</w:t>
      </w:r>
    </w:p>
    <w:p>
      <w:pPr>
        <w:spacing w:after="0" w:line="4" w:lineRule="exact"/>
        <w:rPr>
          <w:rFonts w:ascii="Arial" w:cs="Arial" w:eastAsia="Arial" w:hAnsi="Arial"/>
          <w:sz w:val="16"/>
          <w:szCs w:val="16"/>
          <w:color w:val="auto"/>
        </w:rPr>
      </w:pPr>
    </w:p>
    <w:p>
      <w:pPr>
        <w:jc w:val="both"/>
        <w:ind w:firstLine="8"/>
        <w:spacing w:after="0" w:line="285" w:lineRule="auto"/>
        <w:tabs>
          <w:tab w:leader="none" w:pos="3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Trading Days if the Notice of Redemption is given after the Effective Date (as defined in the Purchase Agreement), or (ii) five (5) Trading Days if such Notice of Redemption is given prior to the Effective Date, in each case, after Holder receives the Notice of Redemption (the “</w:t>
      </w:r>
      <w:r>
        <w:rPr>
          <w:rFonts w:ascii="Arial" w:cs="Arial" w:eastAsia="Arial" w:hAnsi="Arial"/>
          <w:sz w:val="16"/>
          <w:szCs w:val="16"/>
          <w:u w:val="single" w:color="auto"/>
          <w:color w:val="auto"/>
        </w:rPr>
        <w:t>Redemption Period</w:t>
      </w:r>
      <w:r>
        <w:rPr>
          <w:rFonts w:ascii="Arial" w:cs="Arial" w:eastAsia="Arial" w:hAnsi="Arial"/>
          <w:sz w:val="16"/>
          <w:szCs w:val="16"/>
          <w:color w:val="auto"/>
        </w:rPr>
        <w:t>”). A Notice of Redemption, if given, must be given within two Trading Days following thirty (30) consecutive Trading Days during which all of the Equity Conditions have been satisfied each day (other than the Equity Conditions set forth in clause (c) thereunder). A Notice of Redemption shall not be effective with respect to any portion of the Principal Amount for which the Holder has previously delivered an election to convert, nor for conversions initiated or made by the Holder during the Redemption Period. A Notice of Redemption may be given only in connection with an amount of Conversion Shares that would not exceed the Beneficial Ownership Limitation. On the Redemption Payment Date, the Redemption Amount, less any cash portion of the Redemption Amount against which the Holder has permissibly exercised its conversion rights, shall be paid to the Holder in immediately available funds. In the event the Borrower fails to pay the Redemption Amount on the Redemption Payment Date as set forth herein, then (i) such Notice of Redemption will, at the election of the Holder, be null and void, (ii) the Borrower will not have the right to deliver another Notice of Redemption, and (iii) Borrower’s failure may be deemed by Holder to be a non-curable Event of Default. In the event the Equity Conditions cease to be satisfied prior to the payment of the Redemption Amount, the Holder may, upon written notice to the Borrower at any time prior to the payment of the Redemption Amount, cancel the Notice of Redemption.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Negative Covenants</w:t>
      </w:r>
      <w:r>
        <w:rPr>
          <w:rFonts w:ascii="Arial" w:cs="Arial" w:eastAsia="Arial" w:hAnsi="Arial"/>
          <w:sz w:val="18"/>
          <w:szCs w:val="18"/>
          <w:color w:val="auto"/>
        </w:rPr>
        <w:t>. As long as any portion of this Note remains outstanding, unless the holders of at least 51% in principal amount of the then outstanding Notes shall have otherwise given prior written consent, Borrower shall not, and shall not permit any of the Subsidiaries to, directly or indirectly:</w:t>
      </w:r>
    </w:p>
    <w:p>
      <w:pPr>
        <w:spacing w:after="0" w:line="181" w:lineRule="exact"/>
        <w:rPr>
          <w:sz w:val="20"/>
          <w:szCs w:val="20"/>
          <w:color w:val="auto"/>
        </w:rPr>
      </w:pPr>
    </w:p>
    <w:p>
      <w:pPr>
        <w:jc w:val="both"/>
        <w:ind w:firstLine="1240"/>
        <w:spacing w:after="0" w:line="264"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than Permitted Indebtedness, enter into, create, incur, assume, guarantee or suffer to exist any indebtedness for borrowed money of any kind, including, but not limited to, a guarantee, on or with respect to any of its property or assets now owned or hereafter acquired or any interest therein or any income or profits therefrom;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20" w:right="20" w:firstLine="1240"/>
        <w:spacing w:after="0" w:line="277" w:lineRule="auto"/>
        <w:tabs>
          <w:tab w:leader="none" w:pos="18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70" w:lineRule="exact"/>
        <w:rPr>
          <w:rFonts w:ascii="Arial" w:cs="Arial" w:eastAsia="Arial" w:hAnsi="Arial"/>
          <w:sz w:val="18"/>
          <w:szCs w:val="18"/>
          <w:color w:val="auto"/>
        </w:rPr>
      </w:pPr>
    </w:p>
    <w:p>
      <w:pPr>
        <w:ind w:left="-20" w:firstLine="1240"/>
        <w:spacing w:after="0" w:line="308" w:lineRule="auto"/>
        <w:tabs>
          <w:tab w:leader="none" w:pos="2138"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than in connection with a reverse stock split approved by the Borrower’s stockholders, amend its charter documents, including, without limitation, its certificate of incorporation and bylaws, in any manner that materially and adversely affects any rights of the Holder;</w:t>
      </w:r>
    </w:p>
    <w:p>
      <w:pPr>
        <w:spacing w:after="0" w:line="146" w:lineRule="exact"/>
        <w:rPr>
          <w:rFonts w:ascii="Arial" w:cs="Arial" w:eastAsia="Arial" w:hAnsi="Arial"/>
          <w:sz w:val="17"/>
          <w:szCs w:val="17"/>
          <w:color w:val="auto"/>
        </w:rPr>
      </w:pPr>
    </w:p>
    <w:p>
      <w:pPr>
        <w:ind w:left="-20" w:right="20" w:firstLine="1240"/>
        <w:spacing w:after="0" w:line="342" w:lineRule="auto"/>
        <w:tabs>
          <w:tab w:leader="none" w:pos="18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repay, repurchase or offer to repay, repurchase or otherwise acquire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number of shares of its Common Stock or Common Stock Equivalents other than at a de minimis price or as to the Conversion Shares as permitted or required under the Transaction Documents;</w:t>
      </w:r>
    </w:p>
    <w:p>
      <w:pPr>
        <w:spacing w:after="0" w:line="123" w:lineRule="exact"/>
        <w:rPr>
          <w:rFonts w:ascii="Arial" w:cs="Arial" w:eastAsia="Arial" w:hAnsi="Arial"/>
          <w:sz w:val="16"/>
          <w:szCs w:val="16"/>
          <w:color w:val="auto"/>
        </w:rPr>
      </w:pPr>
    </w:p>
    <w:p>
      <w:pPr>
        <w:jc w:val="both"/>
        <w:ind w:left="-20" w:firstLine="1240"/>
        <w:spacing w:after="0" w:line="255" w:lineRule="auto"/>
        <w:tabs>
          <w:tab w:leader="none" w:pos="19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may have been or will have been agreed to by a Majority in Interest, redeem, defease, repurchase, repay or make any payments in respect of, by the payment of cash or cash equivalents (in whole or in part, whether by way of open market purchases, tender offers, private transactions or otherwise), all or any portion of any Indebtedness (other than the Notes and with respect to the Rockmore Indebtedness only with funds derived from clause (f) of the definition of Permitted Indebtedness or with proceeds received from the sale of equity), whether by way of payment in respect of principal of (or premium, if any) or interest on, such Indebtedness, the foregoing restriction shall also apply to Permitted Indebtedness from and after the occurrence of an Event of Default;</w:t>
      </w:r>
    </w:p>
    <w:p>
      <w:pPr>
        <w:spacing w:after="0" w:line="193" w:lineRule="exact"/>
        <w:rPr>
          <w:rFonts w:ascii="Arial" w:cs="Arial" w:eastAsia="Arial" w:hAnsi="Arial"/>
          <w:sz w:val="18"/>
          <w:szCs w:val="18"/>
          <w:color w:val="auto"/>
        </w:rPr>
      </w:pPr>
    </w:p>
    <w:p>
      <w:pPr>
        <w:jc w:val="both"/>
        <w:ind w:left="-20" w:firstLine="1240"/>
        <w:spacing w:after="0" w:line="259" w:lineRule="auto"/>
        <w:tabs>
          <w:tab w:leader="none" w:pos="18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liquidation, distribution, preferential payments in connection with any securities or debt issuances, corporate rearrangement, scheme of arrangement or other similar transaction;</w:t>
      </w:r>
    </w:p>
    <w:p>
      <w:pPr>
        <w:spacing w:after="0" w:line="186" w:lineRule="exact"/>
        <w:rPr>
          <w:rFonts w:ascii="Arial" w:cs="Arial" w:eastAsia="Arial" w:hAnsi="Arial"/>
          <w:sz w:val="18"/>
          <w:szCs w:val="18"/>
          <w:color w:val="auto"/>
        </w:rPr>
      </w:pPr>
    </w:p>
    <w:p>
      <w:pPr>
        <w:ind w:left="1820" w:hanging="600"/>
        <w:spacing w:after="0"/>
        <w:tabs>
          <w:tab w:leader="none" w:pos="1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any Common Stock or Common Stock Equivalents prohibited by Section 4.13 of the Purchase Agreement;</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1928" w:val="left"/>
        </w:tabs>
        <w:numPr>
          <w:ilvl w:val="1"/>
          <w:numId w:val="30"/>
        </w:numPr>
        <w:rPr>
          <w:rFonts w:ascii="Arial" w:cs="Arial" w:eastAsia="Arial" w:hAnsi="Arial"/>
          <w:sz w:val="17"/>
          <w:szCs w:val="17"/>
          <w:color w:val="auto"/>
        </w:rPr>
      </w:pPr>
      <w:r>
        <w:rPr>
          <w:rFonts w:ascii="Arial" w:cs="Arial" w:eastAsia="Arial" w:hAnsi="Arial"/>
          <w:sz w:val="17"/>
          <w:szCs w:val="17"/>
          <w:color w:val="auto"/>
        </w:rPr>
        <w:t>enter into any transaction with any Affiliate of Borrower which would be required to be disclosed in any public filing with the Commission, unless such transaction is made on an arm’s-length basis and expressly approved by a majority of the disinterested directors of Borrower (even if less than a quorum otherwise required for board approval) other than any compensation as an employee or director of the Borrower; or</w:t>
      </w:r>
    </w:p>
    <w:p>
      <w:pPr>
        <w:spacing w:after="0" w:line="165" w:lineRule="exact"/>
        <w:rPr>
          <w:rFonts w:ascii="Arial" w:cs="Arial" w:eastAsia="Arial" w:hAnsi="Arial"/>
          <w:sz w:val="17"/>
          <w:szCs w:val="17"/>
          <w:color w:val="auto"/>
        </w:rPr>
      </w:pPr>
    </w:p>
    <w:p>
      <w:pPr>
        <w:ind w:left="1840" w:hanging="555"/>
        <w:spacing w:after="0"/>
        <w:tabs>
          <w:tab w:leader="none" w:pos="18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enter into any agreement with respect to any of the foregoing.</w:t>
      </w:r>
    </w:p>
    <w:p>
      <w:pPr>
        <w:spacing w:after="0" w:line="225"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left="-20" w:firstLine="1240"/>
        <w:spacing w:after="0" w:line="264" w:lineRule="auto"/>
        <w:tabs>
          <w:tab w:leader="none" w:pos="18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81" w:lineRule="exact"/>
        <w:rPr>
          <w:rFonts w:ascii="Arial" w:cs="Arial" w:eastAsia="Arial" w:hAnsi="Arial"/>
          <w:sz w:val="18"/>
          <w:szCs w:val="18"/>
          <w:color w:val="auto"/>
        </w:rPr>
      </w:pPr>
    </w:p>
    <w:p>
      <w:pPr>
        <w:jc w:val="both"/>
        <w:ind w:left="1280" w:firstLine="523"/>
        <w:spacing w:after="0" w:line="259" w:lineRule="auto"/>
        <w:tabs>
          <w:tab w:leader="none" w:pos="24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default in the payment of (A) the principal or interest amount of this Note or (B) liquidated damages and other amounts owing to a Holder on any Note, as and when the same shall become due and payable (whether on a Conversion Date or the Maturity Date or by acceleration or otherwise) which default, solely in the case of a default under clause (B) above, is not cured within 3 Trading Days after Borrower has become aware of such default;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8" w:name="page49"/>
    <w:bookmarkEnd w:id="48"/>
    <w:p>
      <w:pPr>
        <w:jc w:val="both"/>
        <w:ind w:left="100" w:firstLine="523"/>
        <w:spacing w:after="0" w:line="257" w:lineRule="auto"/>
        <w:tabs>
          <w:tab w:leader="none" w:pos="1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Borrower shall fail to observe or perform any other covenant or agreement in all material respects contained in the Notes (other than a breach by Borrower of its obligations to deliver shares of Common Stock to the Holder upon conversion, which breach is addressed in clause (ix) below) which failure is not cured, if possible to cure, within the earlier to occur of (A) 5 Trading Days after notice of such failure sent by the Holder or by any Other Holder to Borrower and (B) 10 Trading Days after Borrower has become or should have become aware of such failure;</w:t>
      </w:r>
    </w:p>
    <w:p>
      <w:pPr>
        <w:spacing w:after="0" w:line="188" w:lineRule="exact"/>
        <w:rPr>
          <w:rFonts w:ascii="Arial" w:cs="Arial" w:eastAsia="Arial" w:hAnsi="Arial"/>
          <w:sz w:val="18"/>
          <w:szCs w:val="18"/>
          <w:color w:val="auto"/>
        </w:rPr>
      </w:pPr>
    </w:p>
    <w:p>
      <w:pPr>
        <w:jc w:val="both"/>
        <w:ind w:left="100" w:firstLine="523"/>
        <w:spacing w:after="0" w:line="257" w:lineRule="auto"/>
        <w:tabs>
          <w:tab w:leader="none" w:pos="15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or event of default (subject to any grace or cure period provided in the applicable agreement, document or instrument) shall occur under (A) any of the Transaction Documents, including but not limited to, failure to strictly comply with the provisions of the Transaction Documents, or (B) any other material agreement, lease, document or instrument to which Borrower or any Subsidiary is obligated (and not covered by clause (vi) below), which in the case of subsection (B) would reasonably be expected to have a Material Adverse Effect;</w:t>
      </w:r>
    </w:p>
    <w:p>
      <w:pPr>
        <w:spacing w:after="0" w:line="188" w:lineRule="exact"/>
        <w:rPr>
          <w:rFonts w:ascii="Arial" w:cs="Arial" w:eastAsia="Arial" w:hAnsi="Arial"/>
          <w:sz w:val="18"/>
          <w:szCs w:val="18"/>
          <w:color w:val="auto"/>
        </w:rPr>
      </w:pPr>
    </w:p>
    <w:p>
      <w:pPr>
        <w:jc w:val="both"/>
        <w:ind w:left="100" w:firstLine="523"/>
        <w:spacing w:after="0" w:line="264" w:lineRule="auto"/>
        <w:tabs>
          <w:tab w:leader="none" w:pos="1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spacing w:after="0" w:line="181" w:lineRule="exact"/>
        <w:rPr>
          <w:rFonts w:ascii="Arial" w:cs="Arial" w:eastAsia="Arial" w:hAnsi="Arial"/>
          <w:sz w:val="18"/>
          <w:szCs w:val="18"/>
          <w:color w:val="auto"/>
        </w:rPr>
      </w:pPr>
    </w:p>
    <w:p>
      <w:pPr>
        <w:ind w:left="1240" w:hanging="617"/>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Borrower or any Subsidiary shall be subject to a Bankruptcy Event;</w:t>
      </w:r>
    </w:p>
    <w:p>
      <w:pPr>
        <w:spacing w:after="0" w:line="225" w:lineRule="exact"/>
        <w:rPr>
          <w:rFonts w:ascii="Arial" w:cs="Arial" w:eastAsia="Arial" w:hAnsi="Arial"/>
          <w:sz w:val="18"/>
          <w:szCs w:val="18"/>
          <w:color w:val="auto"/>
        </w:rPr>
      </w:pPr>
    </w:p>
    <w:p>
      <w:pPr>
        <w:jc w:val="both"/>
        <w:ind w:left="100" w:firstLine="523"/>
        <w:spacing w:after="0" w:line="293" w:lineRule="auto"/>
        <w:tabs>
          <w:tab w:leader="none" w:pos="16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Borrower or any Subsidiary shall default on the Rockmore Indebtedness and the maturity date of the Rockmore Indebtedness shall have been accelerated, or shall default on any of its obligations under any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that (a) involves an obligation greater than $100,000, whether such indebtedness now exists or shall hereafter be created, and (b) results in such indebtedness becoming or being declared due and payable prior to the date on which it would otherwise become due and payable;</w:t>
      </w:r>
    </w:p>
    <w:p>
      <w:pPr>
        <w:spacing w:after="0" w:line="164" w:lineRule="exact"/>
        <w:rPr>
          <w:rFonts w:ascii="Arial" w:cs="Arial" w:eastAsia="Arial" w:hAnsi="Arial"/>
          <w:sz w:val="16"/>
          <w:szCs w:val="16"/>
          <w:color w:val="auto"/>
        </w:rPr>
      </w:pPr>
    </w:p>
    <w:p>
      <w:pPr>
        <w:jc w:val="both"/>
        <w:ind w:left="100" w:firstLine="523"/>
        <w:spacing w:after="0" w:line="264" w:lineRule="auto"/>
        <w:tabs>
          <w:tab w:leader="none" w:pos="1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Borrower shall be a party to any Change of Control Transaction or Fundamental Transaction or shall agree to sell or dispose of all or in excess of 50% of its assets in one transaction or a series of related transactions (whether or not such sale would constitute a Change of Control Transaction);</w:t>
      </w:r>
    </w:p>
    <w:p>
      <w:pPr>
        <w:spacing w:after="0" w:line="181" w:lineRule="exact"/>
        <w:rPr>
          <w:rFonts w:ascii="Arial" w:cs="Arial" w:eastAsia="Arial" w:hAnsi="Arial"/>
          <w:sz w:val="18"/>
          <w:szCs w:val="18"/>
          <w:color w:val="auto"/>
        </w:rPr>
      </w:pPr>
    </w:p>
    <w:p>
      <w:pPr>
        <w:ind w:left="1260" w:hanging="637"/>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00" w:firstLine="523"/>
        <w:spacing w:after="0" w:line="264" w:lineRule="auto"/>
        <w:tabs>
          <w:tab w:leader="none" w:pos="1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Borrower shall fail for any reason to deliver certificates to a Holder prior to the fifth Trading Day after a Conversion Date pursuant to Section 4(c) or Borrower shall provide at any time notice to the Holder, including by way of public announcement, of Borrower’s intention to not honor requests for conversions of any Notes in accordance with the terms hereof;</w:t>
      </w:r>
    </w:p>
    <w:p>
      <w:pPr>
        <w:spacing w:after="0" w:line="181" w:lineRule="exact"/>
        <w:rPr>
          <w:rFonts w:ascii="Arial" w:cs="Arial" w:eastAsia="Arial" w:hAnsi="Arial"/>
          <w:sz w:val="18"/>
          <w:szCs w:val="18"/>
          <w:color w:val="auto"/>
        </w:rPr>
      </w:pPr>
    </w:p>
    <w:p>
      <w:pPr>
        <w:ind w:left="1300" w:hanging="677"/>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occurrence of an Event of Default under any Other Note;</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9" w:name="page50"/>
    <w:bookmarkEnd w:id="49"/>
    <w:p>
      <w:pPr>
        <w:jc w:val="both"/>
        <w:ind w:left="100" w:firstLine="523"/>
        <w:spacing w:after="0" w:line="264" w:lineRule="auto"/>
        <w:tabs>
          <w:tab w:leader="none" w:pos="13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monetary judgment, writ or similar final process shall be entered or filed against Borrower, any subsidiary or any of their respective property or other assets for more than $100,000, and such judgment, writ or similar final process shall remain unvacated, unbonded or unstayed for a period of 90 calendar days;</w:t>
      </w:r>
    </w:p>
    <w:p>
      <w:pPr>
        <w:spacing w:after="0" w:line="181" w:lineRule="exact"/>
        <w:rPr>
          <w:rFonts w:ascii="Arial" w:cs="Arial" w:eastAsia="Arial" w:hAnsi="Arial"/>
          <w:sz w:val="18"/>
          <w:szCs w:val="18"/>
          <w:color w:val="auto"/>
        </w:rPr>
      </w:pPr>
    </w:p>
    <w:p>
      <w:pPr>
        <w:ind w:left="1220" w:hanging="597"/>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dissolution, liquidation or winding up by Borrower or a material Subsidiary of a substantial portion of their business;</w:t>
      </w:r>
    </w:p>
    <w:p>
      <w:pPr>
        <w:spacing w:after="0" w:line="236" w:lineRule="exact"/>
        <w:rPr>
          <w:rFonts w:ascii="Arial" w:cs="Arial" w:eastAsia="Arial" w:hAnsi="Arial"/>
          <w:sz w:val="17"/>
          <w:szCs w:val="17"/>
          <w:color w:val="auto"/>
        </w:rPr>
      </w:pPr>
    </w:p>
    <w:p>
      <w:pPr>
        <w:ind w:left="1320" w:hanging="69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cessation of operations by Borrower or a material Subsidiary;</w:t>
      </w:r>
    </w:p>
    <w:p>
      <w:pPr>
        <w:spacing w:after="0" w:line="225" w:lineRule="exact"/>
        <w:rPr>
          <w:rFonts w:ascii="Arial" w:cs="Arial" w:eastAsia="Arial" w:hAnsi="Arial"/>
          <w:sz w:val="18"/>
          <w:szCs w:val="18"/>
          <w:color w:val="auto"/>
        </w:rPr>
      </w:pPr>
    </w:p>
    <w:p>
      <w:pPr>
        <w:jc w:val="both"/>
        <w:ind w:left="100" w:firstLine="523"/>
        <w:spacing w:after="0" w:line="257"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by Borrower or any material Subsidiary to maintain any material intellectual property rights, personal, real property, equipment, leases or other assets which are necessary to conduct its business (whether now or in the future) and such breach is not cured with twenty (20) days after written notice to the Borrower from the Holder, it being understood and agreed that the Borrower’s intellectual property rights, personal, real property, equipment, leases or other assets related to its legacy intellectual property business are not material for these purposes;</w:t>
      </w:r>
    </w:p>
    <w:p>
      <w:pPr>
        <w:spacing w:after="0" w:line="188" w:lineRule="exact"/>
        <w:rPr>
          <w:rFonts w:ascii="Arial" w:cs="Arial" w:eastAsia="Arial" w:hAnsi="Arial"/>
          <w:sz w:val="18"/>
          <w:szCs w:val="18"/>
          <w:color w:val="auto"/>
        </w:rPr>
      </w:pPr>
    </w:p>
    <w:p>
      <w:pPr>
        <w:ind w:left="1200" w:hanging="57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event resulting in the Common Stock no longer being listed or quoted on a Trading Market;</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Borrower’s Principal Trading Market;</w:t>
      </w:r>
    </w:p>
    <w:p>
      <w:pPr>
        <w:spacing w:after="0" w:line="225" w:lineRule="exact"/>
        <w:rPr>
          <w:rFonts w:ascii="Arial" w:cs="Arial" w:eastAsia="Arial" w:hAnsi="Arial"/>
          <w:sz w:val="18"/>
          <w:szCs w:val="18"/>
          <w:color w:val="auto"/>
        </w:rPr>
      </w:pPr>
    </w:p>
    <w:p>
      <w:pPr>
        <w:jc w:val="both"/>
        <w:ind w:left="100" w:firstLine="523"/>
        <w:spacing w:after="0" w:line="279" w:lineRule="auto"/>
        <w:tabs>
          <w:tab w:leader="none" w:pos="12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restatement after the date hereof of any financial statements filed by the Borrower with the Commission for any date or period from two years prior to the Original Issue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spacing w:after="0" w:line="171" w:lineRule="exact"/>
        <w:rPr>
          <w:rFonts w:ascii="Arial" w:cs="Arial" w:eastAsia="Arial" w:hAnsi="Arial"/>
          <w:sz w:val="17"/>
          <w:szCs w:val="17"/>
          <w:color w:val="auto"/>
        </w:rPr>
      </w:pPr>
    </w:p>
    <w:p>
      <w:pPr>
        <w:ind w:left="1320" w:hanging="69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0" w:firstLine="523"/>
        <w:spacing w:after="0" w:line="277" w:lineRule="auto"/>
        <w:tabs>
          <w:tab w:leader="none" w:pos="13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by Borrower to notify Holder of any material event of which Borrower is obligated to notify Holder pursuant to the terms of this Note or any other Transaction Document;</w:t>
      </w:r>
    </w:p>
    <w:p>
      <w:pPr>
        <w:spacing w:after="0" w:line="170" w:lineRule="exact"/>
        <w:rPr>
          <w:rFonts w:ascii="Arial" w:cs="Arial" w:eastAsia="Arial" w:hAnsi="Arial"/>
          <w:sz w:val="18"/>
          <w:szCs w:val="18"/>
          <w:color w:val="auto"/>
        </w:rPr>
      </w:pPr>
    </w:p>
    <w:p>
      <w:pPr>
        <w:jc w:val="both"/>
        <w:ind w:left="100" w:firstLine="523"/>
        <w:spacing w:after="0" w:line="264" w:lineRule="auto"/>
        <w:tabs>
          <w:tab w:leader="none" w:pos="14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by the Borrower of a material term, covenant, warranty or undertaking of any other agreement to which the Borrower and Holder are parties, or the occurrence of an event of default under any such other agreement to which Borrower and Holder are parties which is not cured after any required notice and/or cure period; or</w:t>
      </w:r>
    </w:p>
    <w:p>
      <w:pPr>
        <w:spacing w:after="0" w:line="181" w:lineRule="exact"/>
        <w:rPr>
          <w:rFonts w:ascii="Arial" w:cs="Arial" w:eastAsia="Arial" w:hAnsi="Arial"/>
          <w:sz w:val="18"/>
          <w:szCs w:val="18"/>
          <w:color w:val="auto"/>
        </w:rPr>
      </w:pPr>
    </w:p>
    <w:p>
      <w:pPr>
        <w:jc w:val="both"/>
        <w:ind w:left="100" w:firstLine="523"/>
        <w:spacing w:after="0" w:line="257" w:lineRule="auto"/>
        <w:tabs>
          <w:tab w:leader="none" w:pos="13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0" w:name="page51"/>
    <w:bookmarkEnd w:id="50"/>
    <w:p>
      <w:pPr>
        <w:ind w:left="1300"/>
        <w:spacing w:after="0"/>
        <w:rPr>
          <w:sz w:val="20"/>
          <w:szCs w:val="20"/>
          <w:color w:val="auto"/>
        </w:rPr>
      </w:pPr>
      <w:r>
        <w:rPr>
          <w:rFonts w:ascii="Arial" w:cs="Arial" w:eastAsia="Arial" w:hAnsi="Arial"/>
          <w:sz w:val="18"/>
          <w:szCs w:val="18"/>
          <w:color w:val="auto"/>
        </w:rPr>
        <w:t>The foregoing notwithstanding, the occurrence of a Public Information Failure is not an Event of Default.</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In the event more than one grace, cure or notice period is applicable to an Event of Default, then the shortest grace, cure or notice period shall be applicable thereto.</w:t>
      </w:r>
    </w:p>
    <w:p>
      <w:pPr>
        <w:spacing w:after="0" w:line="170" w:lineRule="exact"/>
        <w:rPr>
          <w:sz w:val="20"/>
          <w:szCs w:val="20"/>
          <w:color w:val="auto"/>
        </w:rPr>
      </w:pPr>
    </w:p>
    <w:p>
      <w:pPr>
        <w:jc w:val="both"/>
        <w:ind w:firstLine="1240"/>
        <w:spacing w:after="0" w:line="269" w:lineRule="auto"/>
        <w:tabs>
          <w:tab w:leader="none" w:pos="204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Remedies Upon Event of Default, Fundamental Transaction and Change of Control Transaction</w:t>
      </w:r>
      <w:r>
        <w:rPr>
          <w:rFonts w:ascii="Arial" w:cs="Arial" w:eastAsia="Arial" w:hAnsi="Arial"/>
          <w:sz w:val="17"/>
          <w:szCs w:val="17"/>
          <w:color w:val="auto"/>
        </w:rPr>
        <w:t>. If any Event of Default or a Fundamental Transaction or a Change of Control Transaction occurs, the outstanding principal amount of this Note, liquidated damages and other amounts owing in respect thereof through the date of acceleration, shall become, at the Holder’s election, immediately due and payable in cash at the Mandatory Default Amount. Commencing on the Maturity Date and also five (5) days after the occurrence of any Event of Default interest on this Note shall accrue at an interest rate equal to the lesser of 18% per annum or the maximum rate permitted under applicable law. Upon the payment in full of the Mandatory Default Amount, the Holder shall promptly surrender this Note to or as directed by Borrower. In connection with such acceleration described herein, the Holder need not provide, and Borrower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Security Interest/Waiver of Automatic Stay</w:t>
      </w:r>
      <w:r>
        <w:rPr>
          <w:rFonts w:ascii="Arial" w:cs="Arial" w:eastAsia="Arial" w:hAnsi="Arial"/>
          <w:sz w:val="16"/>
          <w:szCs w:val="16"/>
          <w:color w:val="auto"/>
        </w:rPr>
        <w:t>. This Note is secured by a security interest granted to the Holder pursuant to a Security Agreement, as delivered by Borrower to Holder. The Borrower acknowledges and agrees that should a proceeding under any bankruptcy or insolvency law be commenced by or against the Borrower or a Subsidiary, or if any of the Collateral (as defined in the Security Agreement) should become the subject of any bankruptcy or insolvency proceeding, then the Holder should be entitled to, among other relief to which the Holder may be entitled under the Transaction Documents and any other agreement to which the Borrower or a Subsidiary and Holder are parties (collectively, “</w:t>
      </w:r>
      <w:r>
        <w:rPr>
          <w:rFonts w:ascii="Arial" w:cs="Arial" w:eastAsia="Arial" w:hAnsi="Arial"/>
          <w:sz w:val="16"/>
          <w:szCs w:val="16"/>
          <w:u w:val="single" w:color="auto"/>
          <w:color w:val="auto"/>
        </w:rPr>
        <w:t>Loan Documents</w:t>
      </w:r>
      <w:r>
        <w:rPr>
          <w:rFonts w:ascii="Arial" w:cs="Arial" w:eastAsia="Arial" w:hAnsi="Arial"/>
          <w:sz w:val="16"/>
          <w:szCs w:val="16"/>
          <w:color w:val="auto"/>
        </w:rPr>
        <w:t>”) and/or applicable law, an order from the court granting immediate relief from the automatic stay pursuant to 11 U.S.C. Section 362 to permit the Holder to exercise all of its rights and remedies pursuant to the Loan Documents and/or applicable law. THE BORROWER EXPRESSLY WAIVES THE BENEFIT OF THE AUTOMATIC STAY IMPOSED BY 11 U.S.C. SECTION 362. FURTHERMORE, THE BORROWER EXPRESSLY ACKNOWLEDGES AND AGREES THAT NEITHER 11 U.S.C. SECTION 362 NOR ANY OTHER SECTION OF THE BANKRUPTCY CODE OR OTHER STATUTE OR RULE (INCLUDING, WITHOUT LIMITATION, 11 U.S.C. SECTION 105) SHALL STAY, INTERDICT, CONDITION, REDUCE OR INHIBIT IN ANY WAY THE ABILITY OF THE HOLDER TO ENFORCE ANY OF ITS RIGHTS AND REMEDIES UNDER THE LOAN DOCUMENTS AND/OR APPLICABLE LAW. The Borrower hereby consents to any motion for relief from stay that may be filed by the Holder in any bankruptcy or insolvency proceeding initiated by or against the Borrower and, further, agrees not to file any opposition to any motion for relief from stay filed by the Holder. The Borrower represents, acknowledges and agrees that this provision is a specific and material aspect of the Loan Documents, and that the Holder would not agree to the terms of the loan Documents if this waiver were not a part of this Note. The Borrower further represents, acknowledges and agrees that is waiver is knowingly, intelligently and voluntarily made, that neither the Holder nor any person acting on behalf of the Holder has made any representations to induce this waiver, that the Borrower has been represented (or has had the opportunity to by represented) in the signing of this Note and the Loan Documents and in the making of this waiver by independent legal counsel selected by the Borrower and that the Borrower has discussed this waiver with counsel.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1240"/>
        <w:spacing w:after="0" w:line="283" w:lineRule="auto"/>
        <w:tabs>
          <w:tab w:leader="none" w:pos="187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w:t>
      </w:r>
    </w:p>
    <w:p>
      <w:pPr>
        <w:spacing w:after="0" w:line="5" w:lineRule="exact"/>
        <w:rPr>
          <w:rFonts w:ascii="Arial" w:cs="Arial" w:eastAsia="Arial" w:hAnsi="Arial"/>
          <w:sz w:val="16"/>
          <w:szCs w:val="16"/>
          <w:color w:val="auto"/>
        </w:rPr>
      </w:pPr>
    </w:p>
    <w:p>
      <w:pPr>
        <w:spacing w:after="0" w:line="192" w:lineRule="auto"/>
        <w:rPr>
          <w:rFonts w:ascii="Arial" w:cs="Arial" w:eastAsia="Arial" w:hAnsi="Arial"/>
          <w:sz w:val="16"/>
          <w:szCs w:val="16"/>
          <w:color w:val="auto"/>
        </w:rPr>
      </w:pPr>
      <w:r>
        <w:rPr>
          <w:rFonts w:ascii="Arial" w:cs="Arial" w:eastAsia="Arial" w:hAnsi="Arial"/>
          <w:sz w:val="17"/>
          <w:szCs w:val="17"/>
          <w:color w:val="auto"/>
        </w:rPr>
        <w:t>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 Attn: Edward Jankowski, CEO, email: notices@xpresspagroup.com, with a copy by email only to:</w:t>
      </w:r>
    </w:p>
    <w:p>
      <w:pPr>
        <w:spacing w:after="0" w:line="191" w:lineRule="auto"/>
        <w:rPr>
          <w:sz w:val="20"/>
          <w:szCs w:val="20"/>
          <w:color w:val="auto"/>
        </w:rPr>
      </w:pPr>
      <w:r>
        <w:rPr>
          <w:rFonts w:ascii="Arial" w:cs="Arial" w:eastAsia="Arial" w:hAnsi="Arial"/>
          <w:sz w:val="17"/>
          <w:szCs w:val="17"/>
          <w:color w:val="auto"/>
        </w:rPr>
        <w:t>Mintz, Levin, Cohn, Ferris, Glovsky and Popeo, P.C., Chrysler Center, 666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Avenue, New York, NY 10017, Attn: Kenneth R. Koch, Esq., email: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krkoch@mintz.com, and (ii) if to the Holder, to: the address indicated on the front page of this Note, with an additional copy by email only to (which shall not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constitute notice): Grushko &amp; Mittman, P.C., 515 Rockaway Avenue, Valley Stream, New York 11581, email: counslers@gmail.com.</w:t>
      </w:r>
    </w:p>
    <w:p>
      <w:pPr>
        <w:spacing w:after="0" w:line="211" w:lineRule="exact"/>
        <w:rPr>
          <w:sz w:val="20"/>
          <w:szCs w:val="20"/>
          <w:color w:val="auto"/>
        </w:rPr>
      </w:pPr>
    </w:p>
    <w:p>
      <w:pPr>
        <w:jc w:val="both"/>
        <w:ind w:firstLine="1240"/>
        <w:spacing w:after="0" w:line="259" w:lineRule="auto"/>
        <w:tabs>
          <w:tab w:leader="none" w:pos="184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Absolute Obligation</w:t>
      </w:r>
      <w:r>
        <w:rPr>
          <w:rFonts w:ascii="Arial" w:cs="Arial" w:eastAsia="Arial" w:hAnsi="Arial"/>
          <w:sz w:val="18"/>
          <w:szCs w:val="18"/>
          <w:color w:val="auto"/>
        </w:rPr>
        <w:t xml:space="preserve">. Except as expressly provided herein, no provision of this Note shall alter or impair the obligation of Borrower, which is absolute and unconditional, to pay the principal of, liquidated damages and accrued interest, as applicable, on this Note at the time, place, and rate, and in the coin or currency, herein prescribed. This Note is a direct debt obligation of Borrower. This Note ranks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all other Notes now or hereafter issued under the terms set forth herein.</w:t>
      </w:r>
    </w:p>
    <w:p>
      <w:pPr>
        <w:spacing w:after="0" w:line="186" w:lineRule="exact"/>
        <w:rPr>
          <w:rFonts w:ascii="Arial" w:cs="Arial" w:eastAsia="Arial" w:hAnsi="Arial"/>
          <w:sz w:val="18"/>
          <w:szCs w:val="18"/>
          <w:color w:val="auto"/>
        </w:rPr>
      </w:pPr>
    </w:p>
    <w:p>
      <w:pPr>
        <w:jc w:val="both"/>
        <w:ind w:firstLine="1240"/>
        <w:spacing w:after="0" w:line="259" w:lineRule="auto"/>
        <w:tabs>
          <w:tab w:leader="none" w:pos="182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Lost or Mutilated Note</w:t>
      </w:r>
      <w:r>
        <w:rPr>
          <w:rFonts w:ascii="Arial" w:cs="Arial" w:eastAsia="Arial" w:hAnsi="Arial"/>
          <w:sz w:val="18"/>
          <w:szCs w:val="18"/>
          <w:color w:val="auto"/>
        </w:rPr>
        <w:t>. If this Note shall be mutilated, lost, stolen or destroyed, Borrower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Borrower.</w:t>
      </w:r>
    </w:p>
    <w:p>
      <w:pPr>
        <w:spacing w:after="0" w:line="186" w:lineRule="exact"/>
        <w:rPr>
          <w:rFonts w:ascii="Arial" w:cs="Arial" w:eastAsia="Arial" w:hAnsi="Arial"/>
          <w:sz w:val="18"/>
          <w:szCs w:val="18"/>
          <w:color w:val="auto"/>
        </w:rPr>
      </w:pPr>
    </w:p>
    <w:p>
      <w:pPr>
        <w:jc w:val="both"/>
        <w:ind w:firstLine="1240"/>
        <w:spacing w:after="0" w:line="283" w:lineRule="auto"/>
        <w:tabs>
          <w:tab w:leader="none" w:pos="189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Note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Arial" w:cs="Arial" w:eastAsia="Arial" w:hAnsi="Arial"/>
          <w:sz w:val="16"/>
          <w:szCs w:val="16"/>
          <w:u w:val="single" w:color="auto"/>
          <w:color w:val="auto"/>
        </w:rPr>
        <w:t>New York Courts</w:t>
      </w:r>
      <w:r>
        <w:rPr>
          <w:rFonts w:ascii="Arial" w:cs="Arial" w:eastAsia="Arial" w:hAnsi="Arial"/>
          <w:sz w:val="16"/>
          <w:szCs w:val="16"/>
          <w:color w:val="auto"/>
        </w:rPr>
        <w:t xml:space="preserve">”).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attorneys fees and other costs and expenses incurred in the investigation, preparation and prosecution of such action or proceeding. </w:t>
      </w:r>
      <w:r>
        <w:rPr>
          <w:rFonts w:ascii="Arial" w:cs="Arial" w:eastAsia="Arial" w:hAnsi="Arial"/>
          <w:sz w:val="16"/>
          <w:szCs w:val="16"/>
          <w:b w:val="1"/>
          <w:bCs w:val="1"/>
          <w:color w:val="auto"/>
        </w:rPr>
        <w:t>This Note shall be deemed an unconditional obligation of</w:t>
      </w:r>
    </w:p>
    <w:p>
      <w:pPr>
        <w:jc w:val="both"/>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Borrower for the payment of money and, without limitation to any other remedies of Holder, may be enforced against Borrower by summary proceeding pursuant to New York Civil Procedure Law and Rules Section 3213 or any similar rule or statute in the jurisdiction where enforcement is sought. For purposes of such rule or statute, any other document or agreement to which Holder and Borrower are parties or which Borrower delivered to Holder, which may be convenient or necessary to determine Holder’s rights hereunder or Borrower’s obligations to Holder are deemed a part of this Note, whether or not such other document or agreement was delivered together herewith or was executed apart from this Note.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left="-20" w:firstLine="1240"/>
        <w:spacing w:after="0" w:line="279" w:lineRule="auto"/>
        <w:tabs>
          <w:tab w:leader="none" w:pos="182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waiver by Borrower or the Holder of a breach of any provision of this Note shall not operate as or be construed to be a waiver of any other breach of such provision or of any breach of any other provision of this Note. The failure of Borrower or the Holder to insist upon strict adherence to any term of this Note on one or more occasions shall not be considered a waiver or deprive that party of the right thereafter to insist upon strict adherence to that term or any other term of this Note on any other occasion. Any waiver by Borrower or the Holder must be in writing.</w:t>
      </w:r>
    </w:p>
    <w:p>
      <w:pPr>
        <w:spacing w:after="0" w:line="171" w:lineRule="exact"/>
        <w:rPr>
          <w:rFonts w:ascii="Arial" w:cs="Arial" w:eastAsia="Arial" w:hAnsi="Arial"/>
          <w:sz w:val="17"/>
          <w:szCs w:val="17"/>
          <w:color w:val="auto"/>
        </w:rPr>
      </w:pPr>
    </w:p>
    <w:p>
      <w:pPr>
        <w:ind w:left="-20" w:firstLine="1240"/>
        <w:spacing w:after="0" w:line="308" w:lineRule="auto"/>
        <w:tabs>
          <w:tab w:leader="none" w:pos="188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w:t>
      </w:r>
    </w:p>
    <w:p>
      <w:pPr>
        <w:spacing w:after="0" w:line="146" w:lineRule="exact"/>
        <w:rPr>
          <w:rFonts w:ascii="Arial" w:cs="Arial" w:eastAsia="Arial" w:hAnsi="Arial"/>
          <w:sz w:val="17"/>
          <w:szCs w:val="17"/>
          <w:color w:val="auto"/>
        </w:rPr>
      </w:pPr>
    </w:p>
    <w:p>
      <w:pPr>
        <w:jc w:val="both"/>
        <w:ind w:left="-20" w:firstLine="1305"/>
        <w:spacing w:after="0" w:line="271" w:lineRule="auto"/>
        <w:tabs>
          <w:tab w:leader="none" w:pos="1881"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Usury</w:t>
      </w:r>
      <w:r>
        <w:rPr>
          <w:rFonts w:ascii="Arial" w:cs="Arial" w:eastAsia="Arial" w:hAnsi="Arial"/>
          <w:sz w:val="17"/>
          <w:szCs w:val="17"/>
          <w:color w:val="auto"/>
        </w:rPr>
        <w:t>. If it shall be found that any interest or other amount deemed interest due hereunder violates the applicable law governing usury, the applicable rate of interest due hereunder shall automatically be lowered to equal the maximum rate of interest permitted under applicable law. Borrower covenants (to the extent that it may lawfully do so) that it shall not at any time insist upon, plead, or in any manner whatsoever claim or take the benefit or advantage of, any stay, extension or usury law or other law which would prohibit or forgive Borrower from paying all or any portion of the principal of or interest on this Note as contemplated herein, wherever enacted, now or at any time hereafter in force, or which may affect the covenants or the performance of this Note, and Borrower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spacing w:after="0" w:line="179" w:lineRule="exact"/>
        <w:rPr>
          <w:sz w:val="20"/>
          <w:szCs w:val="20"/>
          <w:color w:val="auto"/>
        </w:rPr>
      </w:pPr>
    </w:p>
    <w:p>
      <w:pPr>
        <w:jc w:val="both"/>
        <w:ind w:left="-20" w:firstLine="1240"/>
        <w:spacing w:after="0" w:line="253" w:lineRule="auto"/>
        <w:tabs>
          <w:tab w:leader="none" w:pos="206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Holder Acknowledgement</w:t>
      </w:r>
      <w:r>
        <w:rPr>
          <w:rFonts w:ascii="Arial" w:cs="Arial" w:eastAsia="Arial" w:hAnsi="Arial"/>
          <w:sz w:val="18"/>
          <w:szCs w:val="18"/>
          <w:color w:val="auto"/>
        </w:rPr>
        <w:t>. The Holder hereby agrees that: (a) any lien on the Collateral (as defined in that certain Security Agreement, dated as of April 22, 2015 (as amended, restated, amended and restated, supplemented or otherwise modified from time to time, the “</w:t>
      </w:r>
      <w:r>
        <w:rPr>
          <w:rFonts w:ascii="Arial" w:cs="Arial" w:eastAsia="Arial" w:hAnsi="Arial"/>
          <w:sz w:val="18"/>
          <w:szCs w:val="18"/>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among Rockmore Investment Master Fund Ltd. (the “</w:t>
      </w:r>
      <w:r>
        <w:rPr>
          <w:rFonts w:ascii="Arial" w:cs="Arial" w:eastAsia="Arial" w:hAnsi="Arial"/>
          <w:sz w:val="18"/>
          <w:szCs w:val="18"/>
          <w:u w:val="single" w:color="auto"/>
          <w:color w:val="auto"/>
        </w:rPr>
        <w:t>Senior Lender</w:t>
      </w:r>
      <w:r>
        <w:rPr>
          <w:rFonts w:ascii="Arial" w:cs="Arial" w:eastAsia="Arial" w:hAnsi="Arial"/>
          <w:sz w:val="18"/>
          <w:szCs w:val="18"/>
          <w:color w:val="auto"/>
        </w:rPr>
        <w:t>”), and the Grantors (as defined in the Senior Security Agreement)) securing any Obligations (as defined in that certain Credit Agreement, dated as of April 22, 2015 (as amended, restated, amended and restated, supplemented or otherwise modified from time to time, the “</w:t>
      </w:r>
      <w:r>
        <w:rPr>
          <w:rFonts w:ascii="Arial" w:cs="Arial" w:eastAsia="Arial" w:hAnsi="Arial"/>
          <w:sz w:val="18"/>
          <w:szCs w:val="18"/>
          <w:u w:val="single" w:color="auto"/>
          <w:color w:val="auto"/>
        </w:rPr>
        <w:t>Senior Credit Agreement</w:t>
      </w:r>
      <w:r>
        <w:rPr>
          <w:rFonts w:ascii="Arial" w:cs="Arial" w:eastAsia="Arial" w:hAnsi="Arial"/>
          <w:sz w:val="18"/>
          <w:szCs w:val="18"/>
          <w:color w:val="auto"/>
        </w:rPr>
        <w:t>”), by and between XpresSpa Holdings, LLC and the Senior Lender) now or hereafter held by or on behalf of the Senior Lender and any other secured parties under the Senior Security Agreement or any other agent or trustee therefor, shall be senior in all respects and prior to any lien on the Collateral (as defined in the Security Agreement) securing any of the Obligations (as defined in the Security Agreement); and (b) any lien on the Collateral (as defined in the Security Agreement), shall be junior and subordinate in right, priority, operation, effect and all other respects to all liens on the Collateral (as defined in the Senior Security Agreement) securing any Obligations (as defined in the Senior Credit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3" w:name="page54"/>
    <w:bookmarkEnd w:id="53"/>
    <w:p>
      <w:pPr>
        <w:ind w:right="20" w:firstLine="1240"/>
        <w:spacing w:after="0" w:line="277" w:lineRule="auto"/>
        <w:tabs>
          <w:tab w:leader="none" w:pos="199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Next Business Day</w:t>
      </w:r>
      <w:r>
        <w:rPr>
          <w:rFonts w:ascii="Arial" w:cs="Arial" w:eastAsia="Arial" w:hAnsi="Arial"/>
          <w:sz w:val="18"/>
          <w:szCs w:val="18"/>
          <w:color w:val="auto"/>
        </w:rPr>
        <w:t>. Whenever any payment or other obligation hereunder shall be due on a day other than a Business Day, such payment shall be made on the next succeeding Business Day.</w:t>
      </w:r>
    </w:p>
    <w:p>
      <w:pPr>
        <w:spacing w:after="0" w:line="170" w:lineRule="exact"/>
        <w:rPr>
          <w:rFonts w:ascii="Arial" w:cs="Arial" w:eastAsia="Arial" w:hAnsi="Arial"/>
          <w:sz w:val="18"/>
          <w:szCs w:val="18"/>
          <w:color w:val="auto"/>
        </w:rPr>
      </w:pPr>
    </w:p>
    <w:p>
      <w:pPr>
        <w:ind w:firstLine="1240"/>
        <w:spacing w:after="0" w:line="277" w:lineRule="auto"/>
        <w:tabs>
          <w:tab w:leader="none" w:pos="192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convenience only, do not constitute a part of this Note and shall not be deemed to limit or affect any of the provisions hereof.</w:t>
      </w:r>
    </w:p>
    <w:p>
      <w:pPr>
        <w:spacing w:after="0" w:line="170" w:lineRule="exact"/>
        <w:rPr>
          <w:rFonts w:ascii="Arial" w:cs="Arial" w:eastAsia="Arial" w:hAnsi="Arial"/>
          <w:sz w:val="18"/>
          <w:szCs w:val="18"/>
          <w:color w:val="auto"/>
        </w:rPr>
      </w:pPr>
    </w:p>
    <w:p>
      <w:pPr>
        <w:ind w:firstLine="1240"/>
        <w:spacing w:after="0" w:line="277" w:lineRule="auto"/>
        <w:tabs>
          <w:tab w:leader="none" w:pos="188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Unless otherwise provided for hereunder, this Note may not be modified or amended or the provisions hereof waived without the written consent of Borrower and the Holder.</w:t>
      </w:r>
    </w:p>
    <w:p>
      <w:pPr>
        <w:spacing w:after="0" w:line="170" w:lineRule="exact"/>
        <w:rPr>
          <w:rFonts w:ascii="Arial" w:cs="Arial" w:eastAsia="Arial" w:hAnsi="Arial"/>
          <w:sz w:val="18"/>
          <w:szCs w:val="18"/>
          <w:color w:val="auto"/>
        </w:rPr>
      </w:pPr>
    </w:p>
    <w:p>
      <w:pPr>
        <w:jc w:val="both"/>
        <w:ind w:firstLine="1240"/>
        <w:spacing w:after="0" w:line="264" w:lineRule="auto"/>
        <w:tabs>
          <w:tab w:leader="none" w:pos="187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Electronic Signature</w:t>
      </w:r>
      <w:r>
        <w:rPr>
          <w:rFonts w:ascii="Arial" w:cs="Arial" w:eastAsia="Arial" w:hAnsi="Arial"/>
          <w:sz w:val="18"/>
          <w:szCs w:val="18"/>
          <w:color w:val="auto"/>
        </w:rPr>
        <w:t>. In the event that the Borrower’s signature is delivered by PDF, electronic signature or other similar electronic means, such signature shall create a valid and binding obligation of the Borrower with the same force and effect as if such signature page were an original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Borrower has caused this Note to be signed in its name by an authorized officer as of the ___ day of May, 2018.</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904" w:right="81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hereby elects to convert principal under the Convertible Note due November __, 2019 of XpresSpa Group,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into shares of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Borrower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reasonably requested by Borrower in accordance therewith. No fee will be charged to the holder for any conversion, except for such transfer taxes, if any.</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By the delivery of this Notice of Conversion the undersigned represents and warrants to Borrower that its ownership of the Common Stock does not exceed the amounts specified under Section 4 of this Note, as determined in accordance with Section 13(d) of the Exchange Act.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to comply with the prospectus delivery requirements under the applicable securities laws in connection with any transfer of the aforesaid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 to Effect Conversion: ____________________________</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Amount of Note to be Converted: $__________________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Accrued Interest to be Converted, if any: $______________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Conversion Price: $_________________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Number of shares of Common Stock to be issued: 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Signature: _________________________________________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____________________________________________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Address for Delivery of Common Stock Certificates: __________</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_____________________________________________________</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Or</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DWAC Instructions: _________________________________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Broker No:_____________</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Account No: _______________</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CLASS A WARRANT]</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LASS</w:t>
      </w:r>
      <w:r>
        <w:rPr>
          <w:rFonts w:ascii="Arial" w:cs="Arial" w:eastAsia="Arial" w:hAnsi="Arial"/>
          <w:sz w:val="18"/>
          <w:szCs w:val="18"/>
          <w:b w:val="1"/>
          <w:bCs w:val="1"/>
          <w:color w:val="auto"/>
        </w:rPr>
        <w:t xml:space="preserve"> A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-10160</wp:posOffset>
            </wp:positionV>
            <wp:extent cx="2286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-19050</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of Issuance: May __, 2018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November __, 2018 (the</w:t>
      </w:r>
    </w:p>
    <w:p>
      <w:pPr>
        <w:spacing w:after="0" w:line="2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Exercise Date</w:t>
      </w:r>
      <w:r>
        <w:rPr>
          <w:rFonts w:ascii="Arial" w:cs="Arial" w:eastAsia="Arial" w:hAnsi="Arial"/>
          <w:sz w:val="16"/>
          <w:szCs w:val="16"/>
          <w:color w:val="auto"/>
        </w:rPr>
        <w:t>”), but not after 11:59 p.m., New York time, on the Expiration Date (as defined below), ______________ (_____________)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fully paid</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nonassessable shares of Common Stock,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18 or as defined in the Securities Purchase Agreement (as defined below). This Warrant is one of the Class A Warrants to purchase Common Stock (the “</w:t>
      </w:r>
      <w:r>
        <w:rPr>
          <w:rFonts w:ascii="Arial" w:cs="Arial" w:eastAsia="Arial" w:hAnsi="Arial"/>
          <w:sz w:val="17"/>
          <w:szCs w:val="17"/>
          <w:b w:val="1"/>
          <w:bCs w:val="1"/>
          <w:color w:val="auto"/>
        </w:rPr>
        <w:t>SPA A Warrants</w:t>
      </w:r>
      <w:r>
        <w:rPr>
          <w:rFonts w:ascii="Arial" w:cs="Arial" w:eastAsia="Arial" w:hAnsi="Arial"/>
          <w:sz w:val="17"/>
          <w:szCs w:val="17"/>
          <w:color w:val="auto"/>
        </w:rPr>
        <w:t>” and together with the Class B Warrants the “</w:t>
      </w:r>
      <w:r>
        <w:rPr>
          <w:rFonts w:ascii="Arial" w:cs="Arial" w:eastAsia="Arial" w:hAnsi="Arial"/>
          <w:sz w:val="17"/>
          <w:szCs w:val="17"/>
          <w:b w:val="1"/>
          <w:bCs w:val="1"/>
          <w:color w:val="auto"/>
        </w:rPr>
        <w:t>SPA Warrants</w:t>
      </w:r>
      <w:r>
        <w:rPr>
          <w:rFonts w:ascii="Arial" w:cs="Arial" w:eastAsia="Arial" w:hAnsi="Arial"/>
          <w:sz w:val="17"/>
          <w:szCs w:val="17"/>
          <w:color w:val="auto"/>
        </w:rPr>
        <w:t>”) issued pursuant to Section 2 of that certain Securities Purchase Agreement, dated as of May 15, 2018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the Company and the investors (the “</w:t>
      </w:r>
      <w:r>
        <w:rPr>
          <w:rFonts w:ascii="Arial" w:cs="Arial" w:eastAsia="Arial" w:hAnsi="Arial"/>
          <w:sz w:val="17"/>
          <w:szCs w:val="17"/>
          <w:b w:val="1"/>
          <w:bCs w:val="1"/>
          <w:color w:val="auto"/>
        </w:rPr>
        <w:t>Buyers</w:t>
      </w:r>
      <w:r>
        <w:rPr>
          <w:rFonts w:ascii="Arial" w:cs="Arial" w:eastAsia="Arial" w:hAnsi="Arial"/>
          <w:sz w:val="17"/>
          <w:szCs w:val="17"/>
          <w:color w:val="auto"/>
        </w:rPr>
        <w:t>”) referred to therein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firstLine="8"/>
        <w:spacing w:after="0" w:line="195" w:lineRule="auto"/>
        <w:tabs>
          <w:tab w:leader="none" w:pos="138" w:val="left"/>
        </w:tabs>
        <w:numPr>
          <w:ilvl w:val="0"/>
          <w:numId w:val="40"/>
        </w:numPr>
        <w:rPr>
          <w:rFonts w:ascii="Arial" w:cs="Arial" w:eastAsia="Arial" w:hAnsi="Arial"/>
          <w:sz w:val="30"/>
          <w:szCs w:val="30"/>
          <w:b w:val="1"/>
          <w:bCs w:val="1"/>
          <w:color w:val="auto"/>
          <w:vertAlign w:val="superscript"/>
        </w:rPr>
      </w:pPr>
      <w:r>
        <w:rPr>
          <w:rFonts w:ascii="Arial" w:cs="Arial" w:eastAsia="Arial" w:hAnsi="Arial"/>
          <w:sz w:val="18"/>
          <w:szCs w:val="18"/>
          <w:b w:val="1"/>
          <w:bCs w:val="1"/>
          <w:color w:val="auto"/>
        </w:rPr>
        <w:t>Insert 100% of the number of shares of Common Stock (on a fully diluted basis) purchased by the Holder pursuant to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1880" w:hanging="575"/>
        <w:spacing w:after="0"/>
        <w:tabs>
          <w:tab w:leader="none" w:pos="18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823"/>
        <w:spacing w:after="0" w:line="271" w:lineRule="auto"/>
        <w:tabs>
          <w:tab w:leader="none" w:pos="2073"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Initial Exercise Date and prior to the Expiration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 purchase the remaining number of Warrant Shares. On or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Company has received the Exercise Notice, the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Company shall transmit by electronic mail an acknowledgment of confirmation of receipt of the Exercise Notice to the Holder. On or 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w:t>
      </w:r>
    </w:p>
    <w:p>
      <w:pPr>
        <w:spacing w:after="0" w:line="3" w:lineRule="exact"/>
        <w:rPr>
          <w:sz w:val="20"/>
          <w:szCs w:val="20"/>
          <w:color w:val="auto"/>
        </w:rPr>
      </w:pPr>
    </w:p>
    <w:p>
      <w:pPr>
        <w:jc w:val="both"/>
        <w:ind w:firstLine="8"/>
        <w:spacing w:after="0" w:line="281" w:lineRule="auto"/>
        <w:tabs>
          <w:tab w:leader="none" w:pos="306"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w:t>
      </w:r>
    </w:p>
    <w:p>
      <w:pPr>
        <w:spacing w:after="0" w:line="15"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left="2060" w:hanging="257"/>
        <w:spacing w:after="0"/>
        <w:tabs>
          <w:tab w:leader="none" w:pos="206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$0.62, subject to adjustment as provided herein.</w:t>
      </w:r>
    </w:p>
    <w:p>
      <w:pPr>
        <w:spacing w:after="0" w:line="240" w:lineRule="exact"/>
        <w:rPr>
          <w:rFonts w:ascii="Arial" w:cs="Arial" w:eastAsia="Arial" w:hAnsi="Arial"/>
          <w:sz w:val="17"/>
          <w:szCs w:val="17"/>
          <w:color w:val="auto"/>
        </w:rPr>
      </w:pPr>
    </w:p>
    <w:p>
      <w:pPr>
        <w:jc w:val="both"/>
        <w:ind w:left="-20" w:firstLine="1823"/>
        <w:spacing w:after="0" w:line="283" w:lineRule="auto"/>
        <w:tabs>
          <w:tab w:leader="none" w:pos="20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or (II) after the Initial Effective Date (as defined in the Registration Rights Agreement) and during the Registration Period (as defined in the Registration Rights Agreement), (x) the Registration Statement (as defined in the Registration Rights Agreement) covering the resale of all of the Warrant Shares that are the subject of the Exercise Notice (the “</w:t>
      </w:r>
      <w:r>
        <w:rPr>
          <w:rFonts w:ascii="Arial" w:cs="Arial" w:eastAsia="Arial" w:hAnsi="Arial"/>
          <w:sz w:val="16"/>
          <w:szCs w:val="16"/>
          <w:b w:val="1"/>
          <w:bCs w:val="1"/>
          <w:color w:val="auto"/>
        </w:rPr>
        <w:t>Unavailable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 not available for the resale of such Unavailable Warrant Shares, (y) the Company fails to promptly, but in no event later than as required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Registration Rights Agreement so notify the Holder and (z) the Company fails to, on or prior to the Share Delivery Date,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to as a “</w:t>
      </w:r>
      <w:r>
        <w:rPr>
          <w:rFonts w:ascii="Arial" w:cs="Arial" w:eastAsia="Arial" w:hAnsi="Arial"/>
          <w:sz w:val="16"/>
          <w:szCs w:val="16"/>
          <w:b w:val="1"/>
          <w:bCs w:val="1"/>
          <w:color w:val="auto"/>
        </w:rPr>
        <w:t>Notice Failure</w:t>
      </w:r>
      <w:r>
        <w:rPr>
          <w:rFonts w:ascii="Arial" w:cs="Arial" w:eastAsia="Arial" w:hAnsi="Arial"/>
          <w:sz w:val="16"/>
          <w:szCs w:val="16"/>
          <w:color w:val="auto"/>
        </w:rPr>
        <w:t>”) and either a Notice Failure or an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Notice Failure or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If the Company is required to pay liquidated damages hereunder solely as a result of a Notice Failure, the liquidated damages related thereto will cease to accrue upon delivery of a written notice to the Holder specifying the correct status of the applicable Registration Statement. For the avoidance of doubt, the Company acknowledges that the Company may be liable for Registration Delay Payments pursuant to the Registration Rights Agreement in the event of an Exercise Failure or Notice Failure. In addition to the foregoing, if an Exercise Failure or Notice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59" w:name="page60"/>
    <w:bookmarkEnd w:id="59"/>
    <w:p>
      <w:pPr>
        <w:jc w:val="both"/>
        <w:ind w:firstLine="1823"/>
        <w:spacing w:after="0" w:line="255" w:lineRule="auto"/>
        <w:tabs>
          <w:tab w:leader="none" w:pos="208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if 180 days after the issuance of this Warrant a Registration Statement on Form S-1 (or other applicable registration statement under the 1933 Act) (the “Registration Statement”) covering the resale of the Warrant Shares is not available for the issuance of such Warrant Shares, the Holder may, in its sole discretion, exercise this Warrant in whole or in part and, in lieu of making the cash payment otherwise contemplated to be made to the Company upon such exercise in payment of the Exercise Price, elect instead to exercise this Warrant by means of a cashless exercise (a “Cashless Exercise”) in which the Holder shall be entitled to receive a number of Warrant Shares equal to the quotient obtained by dividing [(A-B) (X)] by (A), where:</w:t>
      </w:r>
    </w:p>
    <w:p>
      <w:pPr>
        <w:spacing w:after="0" w:line="193" w:lineRule="exact"/>
        <w:rPr>
          <w:sz w:val="20"/>
          <w:szCs w:val="20"/>
          <w:color w:val="auto"/>
        </w:rPr>
      </w:pPr>
    </w:p>
    <w:p>
      <w:pPr>
        <w:jc w:val="both"/>
        <w:ind w:firstLine="1823"/>
        <w:spacing w:after="0" w:line="289" w:lineRule="auto"/>
        <w:tabs>
          <w:tab w:leader="none" w:pos="2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spacing w:after="0" w:line="166" w:lineRule="exact"/>
        <w:rPr>
          <w:rFonts w:ascii="Arial" w:cs="Arial" w:eastAsia="Arial" w:hAnsi="Arial"/>
          <w:sz w:val="16"/>
          <w:szCs w:val="16"/>
          <w:color w:val="auto"/>
        </w:rPr>
      </w:pPr>
    </w:p>
    <w:p>
      <w:pPr>
        <w:ind w:left="2100" w:hanging="277"/>
        <w:spacing w:after="0"/>
        <w:tabs>
          <w:tab w:leader="none" w:pos="2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firstLine="1823"/>
        <w:spacing w:after="0" w:line="277" w:lineRule="auto"/>
        <w:tabs>
          <w:tab w:leader="none" w:pos="21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1815"/>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1(d).</w:t>
      </w:r>
    </w:p>
    <w:p>
      <w:pPr>
        <w:spacing w:after="0" w:line="181" w:lineRule="exact"/>
        <w:rPr>
          <w:sz w:val="20"/>
          <w:szCs w:val="20"/>
          <w:color w:val="auto"/>
        </w:rPr>
      </w:pPr>
    </w:p>
    <w:p>
      <w:pPr>
        <w:ind w:firstLine="1823"/>
        <w:spacing w:after="0" w:line="342" w:lineRule="auto"/>
        <w:tabs>
          <w:tab w:leader="none" w:pos="20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1823"/>
        <w:spacing w:after="0" w:line="278" w:lineRule="auto"/>
        <w:tabs>
          <w:tab w:leader="none" w:pos="20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SPA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after delivery of such notice) or decrease the Maximum Percentage to any other percentage not in excess of 9.99% as specified in such notice;</w:t>
      </w:r>
    </w:p>
    <w:p>
      <w:pPr>
        <w:spacing w:after="0" w:line="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provided that (i) any such increase in the Maximum Percentage will not be effective until the sixty-first (61</w:t>
      </w:r>
      <w:r>
        <w:rPr>
          <w:rFonts w:ascii="Arial" w:cs="Arial" w:eastAsia="Arial" w:hAnsi="Arial"/>
          <w:sz w:val="30"/>
          <w:szCs w:val="30"/>
          <w:color w:val="auto"/>
          <w:vertAlign w:val="superscript"/>
        </w:rPr>
        <w:t>st</w:t>
      </w:r>
      <w:r>
        <w:rPr>
          <w:rFonts w:ascii="Arial" w:cs="Arial" w:eastAsia="Arial" w:hAnsi="Arial"/>
          <w:sz w:val="18"/>
          <w:szCs w:val="18"/>
          <w:color w:val="auto"/>
        </w:rPr>
        <w: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left="-8" w:firstLine="1823"/>
        <w:spacing w:after="0" w:line="284" w:lineRule="auto"/>
        <w:tabs>
          <w:tab w:leader="none" w:pos="207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w:t>
      </w:r>
    </w:p>
    <w:p>
      <w:pPr>
        <w:spacing w:after="0" w:line="2" w:lineRule="exact"/>
        <w:rPr>
          <w:rFonts w:ascii="Arial" w:cs="Arial" w:eastAsia="Arial" w:hAnsi="Arial"/>
          <w:sz w:val="16"/>
          <w:szCs w:val="16"/>
          <w:color w:val="auto"/>
        </w:rPr>
      </w:pPr>
    </w:p>
    <w:p>
      <w:pPr>
        <w:jc w:val="both"/>
        <w:ind w:left="-8" w:firstLine="8"/>
        <w:spacing w:after="0" w:line="284" w:lineRule="auto"/>
        <w:tabs>
          <w:tab w:leader="none" w:pos="3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62" w:name="page63"/>
    <w:bookmarkEnd w:id="62"/>
    <w:p>
      <w:pPr>
        <w:ind w:left="-20" w:firstLine="1305"/>
        <w:spacing w:after="0" w:line="277" w:lineRule="auto"/>
        <w:tabs>
          <w:tab w:leader="none" w:pos="210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jc w:val="both"/>
        <w:ind w:left="-20" w:firstLine="1823"/>
        <w:spacing w:after="0" w:line="284" w:lineRule="auto"/>
        <w:tabs>
          <w:tab w:leader="none" w:pos="204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Certain Anti-Dilution Adjustments</w:t>
      </w:r>
      <w:r>
        <w:rPr>
          <w:rFonts w:ascii="Arial" w:cs="Arial" w:eastAsia="Arial" w:hAnsi="Arial"/>
          <w:sz w:val="16"/>
          <w:szCs w:val="16"/>
          <w:color w:val="auto"/>
        </w:rPr>
        <w:t>. In addition to the reductions of the Exercise Price described in Section 2(b), if, at any time while this Note is outstanding, the Company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then Exercise Price (such lower price, the “</w:t>
      </w:r>
      <w:r>
        <w:rPr>
          <w:rFonts w:ascii="Arial" w:cs="Arial" w:eastAsia="Arial" w:hAnsi="Arial"/>
          <w:sz w:val="16"/>
          <w:szCs w:val="16"/>
          <w:u w:val="single" w:color="auto"/>
          <w:color w:val="auto"/>
        </w:rPr>
        <w:t>Base Exercise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Exercise Price, such issuance shall be deemed to have occurred for less than the Exercise Price on such date of the Dilutive Issuance), then the Exercise Price shall be reduced to equal the Base Exercise Price, subject to adjustment for reverse and forward stock splits and the like. Such adjustment shall be made whenever such Common Stock or Common Stock Equivalents are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the Exercise Price shall not be adjusted to be less than the Reduced Exercise Price Floor;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can be reduced below the Reduced Exercise Price Floor if the Company is not then subject to Nasdaq Listing Rule 5635(d) or if approved by the Principal Market. Notwithstanding the foregoing, no adjustment will be made under this Section 2(a) in respect of an Exempt Issuance. If the Company enters into a Variable Rate Transaction, despite the prohibition set forth in the Purchase Agreement, the Company shall be deemed to have issued Common Stock or Common Stock Equivalents at the lowest possible conversion price at which such securities may be converted or exercised. The Company shall notify the Holder in writing, no later than the Trading Day following the issuance of any Common Stock or Common Stock Equivalents subject to this Section 2(a),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For purposes of clarification, whether or not the Company provides a Dilutive Issuance Notice pursuant to this Section 2(a), upon the occurrence of any Dilutive Issuance, the Holder is entitled to receive a number of Warrant Shares based upon the Base Exercise Price on or after the date of such Dilutive Issuance, regardless of whether the Holder accurately refers to the Base Exercise Price in the Notice of Exercise. In the event the Exercise Price is reduced pursuant to this Section 2(a), the number of Warrant Shares issuable hereunder shall be increased such that the aggregate Exercise Price payable hereunder, after taking into account the decrease in the Exercise Price, shall be equal to the aggregate Exercise Price prior to such adjustment (such additional Warrant Shares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Notwithstanding the foregoing, no reduction of the Exercise Price shall be less than twenty percent (20%) of the Exercise Price on the Issuance Date (subject to appropriate adjustments for stock splits, stock dividends, recapitalizations, reorganizations, reclassifications, combinations, reverse stock splits or other similar transactions after the Issuance Date) (the “</w:t>
      </w:r>
      <w:r>
        <w:rPr>
          <w:rFonts w:ascii="Arial" w:cs="Arial" w:eastAsia="Arial" w:hAnsi="Arial"/>
          <w:sz w:val="16"/>
          <w:szCs w:val="16"/>
          <w:b w:val="1"/>
          <w:bCs w:val="1"/>
          <w:color w:val="auto"/>
        </w:rPr>
        <w:t>Reduced Exercise Floor Price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can be reduced below the Reduced Exercise Price Floor if approved by the Principal Market. The Company further agrees that the proxy statement with respect to the Shareholder Approval will be drafted such that such Shareholder Approval will extend to such a reduction below the Reduced Exercise Price Floor and issuance of the Additional Shares. Notwithstanding anything herein to the contrary, this Section 2(a) shall not apply until receipt of the Shareholder Approval pursuant to Nasdaq Listing Rule 5635(d) and for as long as such rule is applicable to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3" w:name="page64"/>
    <w:bookmarkEnd w:id="63"/>
    <w:p>
      <w:pPr>
        <w:jc w:val="both"/>
        <w:ind w:left="-20" w:firstLine="1823"/>
        <w:spacing w:after="0" w:line="272" w:lineRule="auto"/>
        <w:tabs>
          <w:tab w:leader="none" w:pos="207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177" w:lineRule="exact"/>
        <w:rPr>
          <w:rFonts w:ascii="Arial" w:cs="Arial" w:eastAsia="Arial" w:hAnsi="Arial"/>
          <w:sz w:val="17"/>
          <w:szCs w:val="17"/>
          <w:color w:val="auto"/>
        </w:rPr>
      </w:pPr>
    </w:p>
    <w:p>
      <w:pPr>
        <w:jc w:val="both"/>
        <w:ind w:left="-20" w:firstLine="1823"/>
        <w:spacing w:after="0" w:line="267" w:lineRule="auto"/>
        <w:tabs>
          <w:tab w:leader="none" w:pos="2040"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Exchange Cap</w:t>
      </w:r>
      <w:r>
        <w:rPr>
          <w:rFonts w:ascii="Arial" w:cs="Arial" w:eastAsia="Arial" w:hAnsi="Arial"/>
          <w:sz w:val="17"/>
          <w:szCs w:val="17"/>
          <w:color w:val="auto"/>
        </w:rPr>
        <w:t>. The Company shall not issue any shares of Common Stock upon exercise of this Warrant or otherwise pursuant to the terms of this Warrant if the issuance of such shares of Common Stock would exceed the aggregate number of shares of Common Stock which the Company may issue upon conversion of the Notes or otherwise pursuant to the terms of this Warrant without breaching the Company’s obligations, if any, under the rules or regulations of the Principal Market (the number of shares which may be issued without violating such rules and regulations, including rules related to the aggregate of offerings under Nasdaq Listing Rule 5635(d), as applicable, the “</w:t>
      </w:r>
      <w:r>
        <w:rPr>
          <w:rFonts w:ascii="Arial" w:cs="Arial" w:eastAsia="Arial" w:hAnsi="Arial"/>
          <w:sz w:val="17"/>
          <w:szCs w:val="17"/>
          <w:u w:val="single" w:color="auto"/>
          <w:color w:val="auto"/>
        </w:rPr>
        <w:t>Exchange Cap</w:t>
      </w:r>
      <w:r>
        <w:rPr>
          <w:rFonts w:ascii="Arial" w:cs="Arial" w:eastAsia="Arial" w:hAnsi="Arial"/>
          <w:sz w:val="17"/>
          <w:szCs w:val="17"/>
          <w:color w:val="auto"/>
        </w:rPr>
        <w:t>”), except that such limitation shall not apply in the event that the Company obtains the approval of its stockholders as required by the applicable rules of the Principal Market for issuances of shares of Common Stock upon exercise of this Warrant or otherwise pursuant to the terms of this Warrant in excess of such amount. Until such approval is obtained, no Holder shall be issued in the aggregate, upon conversion of any Notes or otherwise pursuant to the terms of this Warrant, shares of Common Stock in an amount greater than the product of (i) the Exchange Cap multiplied by (ii) the quotient of (A) the Holder’s Subscription Amount (as defined in the Securities Purchase Agreement) divided by (B) the aggregate principal amount of Notes issued to all Holders (with respect to each Holder, the “</w:t>
      </w:r>
      <w:r>
        <w:rPr>
          <w:rFonts w:ascii="Arial" w:cs="Arial" w:eastAsia="Arial" w:hAnsi="Arial"/>
          <w:sz w:val="17"/>
          <w:szCs w:val="17"/>
          <w:u w:val="single" w:color="auto"/>
          <w:color w:val="auto"/>
        </w:rPr>
        <w:t>Exchange Cap Allocation</w:t>
      </w:r>
      <w:r>
        <w:rPr>
          <w:rFonts w:ascii="Arial" w:cs="Arial" w:eastAsia="Arial" w:hAnsi="Arial"/>
          <w:sz w:val="17"/>
          <w:szCs w:val="17"/>
          <w:color w:val="auto"/>
        </w:rPr>
        <w:t>”). The Exchange Cap Allocation will be further allocated as to each Holder among its Notes and Warrants. In the event that any Holder shall sell or otherwise transfer any of such Holder’s Warrants, the transferee shall be allocated a pro rata portion of such Holder’s Exchange Cap Allocation with respect to such portion of such Warrants so transferred, and the restrictions of the prior sentence shall apply to such transferee with respect to the portion of the Exchange Cap Allocation so allocated to such transferee. Upon exercise in full of a Holder’s Warrants, the difference (if any) between such Holder’s Exchange Cap Allocation and the number of shares of Common Stock actually issued to such Holder upon such Holder’s exercise in full of such Holder’s Warrants shall be allocated to the respective Exchange Cap Allocations of the remaining Holders of Warrants on a pro rata basis in proportion to the shares of Common Stock underlying the Warrants then held by each such Holder. The Company acknowledges that the issuance of Warrant Shares upon exercise of this Warrant in accordance with the terms of this Warrant as in effect upon the Issuance Date are in compliance with Nasdaq Listing Rule 5635(d) and not subject to the Exchange Cap.</w:t>
      </w:r>
    </w:p>
    <w:p>
      <w:pPr>
        <w:spacing w:after="0" w:line="189" w:lineRule="exact"/>
        <w:rPr>
          <w:rFonts w:ascii="Arial" w:cs="Arial" w:eastAsia="Arial" w:hAnsi="Arial"/>
          <w:sz w:val="17"/>
          <w:szCs w:val="17"/>
          <w:color w:val="auto"/>
        </w:rPr>
      </w:pPr>
    </w:p>
    <w:p>
      <w:pPr>
        <w:jc w:val="both"/>
        <w:ind w:left="-20" w:firstLine="1305"/>
        <w:spacing w:after="0" w:line="269" w:lineRule="auto"/>
        <w:tabs>
          <w:tab w:leader="none" w:pos="199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4" w:name="page65"/>
    <w:bookmarkEnd w:id="64"/>
    <w:p>
      <w:pPr>
        <w:ind w:left="1860" w:hanging="575"/>
        <w:spacing w:after="0"/>
        <w:tabs>
          <w:tab w:leader="none" w:pos="18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823"/>
        <w:spacing w:after="0" w:line="269" w:lineRule="auto"/>
        <w:tabs>
          <w:tab w:leader="none" w:pos="2040"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5" w:name="page66"/>
    <w:bookmarkEnd w:id="65"/>
    <w:p>
      <w:pPr>
        <w:jc w:val="both"/>
        <w:ind w:left="-20" w:firstLine="1823"/>
        <w:spacing w:after="0" w:line="283" w:lineRule="auto"/>
        <w:tabs>
          <w:tab w:leader="none" w:pos="2063"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91" w:lineRule="exact"/>
        <w:rPr>
          <w:rFonts w:ascii="Arial" w:cs="Arial" w:eastAsia="Arial" w:hAnsi="Arial"/>
          <w:sz w:val="16"/>
          <w:szCs w:val="16"/>
          <w:color w:val="auto"/>
        </w:rPr>
      </w:pPr>
    </w:p>
    <w:p>
      <w:pPr>
        <w:jc w:val="both"/>
        <w:ind w:left="-20" w:firstLine="1305"/>
        <w:spacing w:after="0" w:line="270" w:lineRule="auto"/>
        <w:tabs>
          <w:tab w:leader="none" w:pos="190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any of the SPA Warrants are outstanding, take all action necessary to reserve and keep available out of its authorized and unissued shares of Common Stock, solely for the purpose of effecting the exercise of the SPA Warrants, the number of shares of Common Stock as shall from time to time be necessary to effect the exercise of the SPA Warrants then outstanding (without regard to any limitations on exercise).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6" w:name="page67"/>
    <w:bookmarkEnd w:id="66"/>
    <w:p>
      <w:pPr>
        <w:jc w:val="both"/>
        <w:ind w:left="-20" w:firstLine="1305"/>
        <w:spacing w:after="0" w:line="270" w:lineRule="auto"/>
        <w:tabs>
          <w:tab w:leader="none" w:pos="192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1860" w:hanging="575"/>
        <w:spacing w:after="0"/>
        <w:tabs>
          <w:tab w:leader="none" w:pos="18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823"/>
        <w:spacing w:after="0" w:line="257" w:lineRule="auto"/>
        <w:tabs>
          <w:tab w:leader="none" w:pos="204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left="-20" w:firstLine="1823"/>
        <w:spacing w:after="0" w:line="279" w:lineRule="auto"/>
        <w:tabs>
          <w:tab w:leader="none" w:pos="2050"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1" w:lineRule="exact"/>
        <w:rPr>
          <w:rFonts w:ascii="Arial" w:cs="Arial" w:eastAsia="Arial" w:hAnsi="Arial"/>
          <w:sz w:val="17"/>
          <w:szCs w:val="17"/>
          <w:color w:val="auto"/>
        </w:rPr>
      </w:pPr>
    </w:p>
    <w:p>
      <w:pPr>
        <w:jc w:val="both"/>
        <w:ind w:left="-20" w:firstLine="1823"/>
        <w:spacing w:after="0" w:line="279" w:lineRule="auto"/>
        <w:tabs>
          <w:tab w:leader="none" w:pos="2053"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SPA Warrants for fractional Warrant Shares shall be given.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7" w:name="page68"/>
    <w:bookmarkEnd w:id="67"/>
    <w:p>
      <w:pPr>
        <w:jc w:val="both"/>
        <w:ind w:left="-20" w:firstLine="1823"/>
        <w:spacing w:after="0" w:line="273" w:lineRule="auto"/>
        <w:tabs>
          <w:tab w:leader="none" w:pos="2050"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jc w:val="both"/>
        <w:ind w:left="-20" w:firstLine="1305"/>
        <w:spacing w:after="0" w:line="270" w:lineRule="auto"/>
        <w:tabs>
          <w:tab w:leader="none" w:pos="186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Whenever notice is required to be given under this Warrant, unless otherwise provided herein, such notice shall be given in accordance with Section 5.4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such information shall be made known to the public prior to or in conjunction with such notice being provided to the Holder.</w:t>
      </w:r>
    </w:p>
    <w:p>
      <w:pPr>
        <w:spacing w:after="0" w:line="181" w:lineRule="exact"/>
        <w:rPr>
          <w:rFonts w:ascii="Arial" w:cs="Arial" w:eastAsia="Arial" w:hAnsi="Arial"/>
          <w:sz w:val="17"/>
          <w:szCs w:val="17"/>
          <w:color w:val="auto"/>
        </w:rPr>
      </w:pPr>
    </w:p>
    <w:p>
      <w:pPr>
        <w:jc w:val="both"/>
        <w:ind w:left="-20" w:firstLine="1305"/>
        <w:spacing w:after="0" w:line="259" w:lineRule="auto"/>
        <w:tabs>
          <w:tab w:leader="none" w:pos="194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Required Holders, and with respect to any amendment, the amendment is in writing and signed by the Company, except that any Holder may waive the Company’s performance hereunder or provide consent as the only such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8" w:name="page69"/>
    <w:bookmarkEnd w:id="68"/>
    <w:p>
      <w:pPr>
        <w:jc w:val="both"/>
        <w:ind w:firstLine="1305"/>
        <w:spacing w:after="0" w:line="283" w:lineRule="auto"/>
        <w:tabs>
          <w:tab w:leader="none" w:pos="221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5.4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w:t>
      </w:r>
    </w:p>
    <w:p>
      <w:pPr>
        <w:spacing w:after="0" w:line="3"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305"/>
        <w:spacing w:after="0" w:line="264" w:lineRule="auto"/>
        <w:tabs>
          <w:tab w:leader="none" w:pos="194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all the Buyers and shall not be construed against any Person as the drafter hereof. The headings of this Warrant are for convenience of reference and shall not form part of, or affect the interpretation of, this Warrant.</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9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77" w:lineRule="exact"/>
        <w:rPr>
          <w:rFonts w:ascii="Arial" w:cs="Arial" w:eastAsia="Arial" w:hAnsi="Arial"/>
          <w:sz w:val="17"/>
          <w:szCs w:val="17"/>
          <w:color w:val="auto"/>
        </w:rPr>
      </w:pPr>
    </w:p>
    <w:p>
      <w:pPr>
        <w:jc w:val="both"/>
        <w:ind w:firstLine="1305"/>
        <w:spacing w:after="0" w:line="272" w:lineRule="auto"/>
        <w:tabs>
          <w:tab w:leader="none" w:pos="200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2080" w:hanging="775"/>
        <w:spacing w:after="0"/>
        <w:tabs>
          <w:tab w:leader="none" w:pos="208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10" w:lineRule="exact"/>
        <w:rPr>
          <w:rFonts w:ascii="Arial" w:cs="Arial" w:eastAsia="Arial" w:hAnsi="Arial"/>
          <w:sz w:val="16"/>
          <w:szCs w:val="16"/>
          <w:color w:val="auto"/>
        </w:rPr>
      </w:pPr>
    </w:p>
    <w:p>
      <w:pPr>
        <w:jc w:val="both"/>
        <w:ind w:firstLine="1305"/>
        <w:spacing w:after="0" w:line="271" w:lineRule="auto"/>
        <w:tabs>
          <w:tab w:leader="none" w:pos="192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200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(as defined in the Securities Purchase Agreement),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77" w:lineRule="exact"/>
        <w:rPr>
          <w:rFonts w:ascii="Arial" w:cs="Arial" w:eastAsia="Arial" w:hAnsi="Arial"/>
          <w:sz w:val="17"/>
          <w:szCs w:val="17"/>
          <w:color w:val="auto"/>
        </w:rPr>
      </w:pPr>
    </w:p>
    <w:p>
      <w:pPr>
        <w:ind w:firstLine="1305"/>
        <w:spacing w:after="0" w:line="342" w:lineRule="auto"/>
        <w:tabs>
          <w:tab w:leader="none" w:pos="192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LIMITATIONS OF RIGHTS</w:t>
      </w:r>
      <w:r>
        <w:rPr>
          <w:rFonts w:ascii="Arial" w:cs="Arial" w:eastAsia="Arial" w:hAnsi="Arial"/>
          <w:sz w:val="16"/>
          <w:szCs w:val="16"/>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23" w:lineRule="exact"/>
        <w:rPr>
          <w:rFonts w:ascii="Arial" w:cs="Arial" w:eastAsia="Arial" w:hAnsi="Arial"/>
          <w:sz w:val="16"/>
          <w:szCs w:val="16"/>
          <w:color w:val="auto"/>
        </w:rPr>
      </w:pPr>
    </w:p>
    <w:p>
      <w:pPr>
        <w:ind w:left="1940" w:hanging="635"/>
        <w:spacing w:after="0"/>
        <w:tabs>
          <w:tab w:leader="none" w:pos="19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2060" w:hanging="237"/>
        <w:spacing w:after="0"/>
        <w:tabs>
          <w:tab w:leader="none" w:pos="2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firstLine="1823"/>
        <w:spacing w:after="0" w:line="282" w:lineRule="auto"/>
        <w:tabs>
          <w:tab w:leader="none" w:pos="20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823"/>
        <w:spacing w:after="0" w:line="274" w:lineRule="auto"/>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left="-20" w:firstLine="1823"/>
        <w:spacing w:after="0" w:line="290" w:lineRule="auto"/>
        <w:tabs>
          <w:tab w:leader="none" w:pos="20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59" w:lineRule="exact"/>
        <w:rPr>
          <w:rFonts w:ascii="Arial" w:cs="Arial" w:eastAsia="Arial" w:hAnsi="Arial"/>
          <w:sz w:val="16"/>
          <w:szCs w:val="16"/>
          <w:color w:val="auto"/>
        </w:rPr>
      </w:pPr>
    </w:p>
    <w:p>
      <w:pPr>
        <w:jc w:val="both"/>
        <w:ind w:left="-20" w:firstLine="1823"/>
        <w:spacing w:after="0" w:line="254" w:lineRule="auto"/>
        <w:tabs>
          <w:tab w:leader="none" w:pos="20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Black Scholes Value</w:t>
      </w:r>
      <w:r>
        <w:rPr>
          <w:rFonts w:ascii="Arial" w:cs="Arial" w:eastAsia="Arial" w:hAnsi="Arial"/>
          <w:sz w:val="18"/>
          <w:szCs w:val="18"/>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189" w:lineRule="exact"/>
        <w:rPr>
          <w:rFonts w:ascii="Arial" w:cs="Arial" w:eastAsia="Arial" w:hAnsi="Arial"/>
          <w:sz w:val="18"/>
          <w:szCs w:val="18"/>
          <w:color w:val="auto"/>
        </w:rPr>
      </w:pPr>
    </w:p>
    <w:p>
      <w:pPr>
        <w:ind w:left="2020" w:hanging="217"/>
        <w:spacing w:after="0"/>
        <w:tabs>
          <w:tab w:leader="none" w:pos="2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20" w:firstLine="1823"/>
        <w:spacing w:after="0" w:line="313" w:lineRule="auto"/>
        <w:tabs>
          <w:tab w:leader="none" w:pos="205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8" w:lineRule="exact"/>
        <w:rPr>
          <w:rFonts w:ascii="Arial" w:cs="Arial" w:eastAsia="Arial" w:hAnsi="Arial"/>
          <w:sz w:val="17"/>
          <w:szCs w:val="17"/>
          <w:color w:val="auto"/>
        </w:rPr>
      </w:pPr>
    </w:p>
    <w:p>
      <w:pPr>
        <w:jc w:val="both"/>
        <w:ind w:left="-20" w:firstLine="1823"/>
        <w:spacing w:after="0" w:line="268" w:lineRule="auto"/>
        <w:tabs>
          <w:tab w:leader="none" w:pos="205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rFonts w:ascii="Arial" w:cs="Arial" w:eastAsia="Arial" w:hAnsi="Arial"/>
          <w:sz w:val="17"/>
          <w:szCs w:val="17"/>
          <w:color w:val="auto"/>
        </w:rPr>
      </w:pPr>
    </w:p>
    <w:p>
      <w:pPr>
        <w:ind w:left="-20" w:firstLine="1823"/>
        <w:spacing w:after="0" w:line="282" w:lineRule="auto"/>
        <w:tabs>
          <w:tab w:leader="none" w:pos="20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jc w:val="both"/>
        <w:ind w:left="-20" w:firstLine="1823"/>
        <w:spacing w:after="0" w:line="289" w:lineRule="auto"/>
        <w:tabs>
          <w:tab w:leader="none" w:pos="201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71" w:name="page72"/>
    <w:bookmarkEnd w:id="71"/>
    <w:p>
      <w:pPr>
        <w:ind w:left="-20" w:right="20" w:firstLine="1823"/>
        <w:spacing w:after="0" w:line="282" w:lineRule="auto"/>
        <w:tabs>
          <w:tab w:leader="none" w:pos="20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left="-20" w:right="20" w:firstLine="1823"/>
        <w:spacing w:after="0" w:line="282" w:lineRule="auto"/>
        <w:tabs>
          <w:tab w:leader="none" w:pos="20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ind w:left="-20" w:firstLine="1823"/>
        <w:spacing w:after="0" w:line="282" w:lineRule="auto"/>
        <w:tabs>
          <w:tab w:leader="none" w:pos="2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November __, 2023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day that is not a Holiday.</w:t>
      </w:r>
    </w:p>
    <w:p>
      <w:pPr>
        <w:spacing w:after="0" w:line="161" w:lineRule="exact"/>
        <w:rPr>
          <w:rFonts w:ascii="Arial" w:cs="Arial" w:eastAsia="Arial" w:hAnsi="Arial"/>
          <w:sz w:val="18"/>
          <w:szCs w:val="18"/>
          <w:color w:val="auto"/>
        </w:rPr>
      </w:pPr>
    </w:p>
    <w:p>
      <w:pPr>
        <w:ind w:left="2060" w:hanging="257"/>
        <w:spacing w:after="0"/>
        <w:tabs>
          <w:tab w:leader="none" w:pos="2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1934 Act and as defined in Rule 13d-5 thereunder.</w:t>
      </w:r>
    </w:p>
    <w:p>
      <w:pPr>
        <w:spacing w:after="0" w:line="236" w:lineRule="exact"/>
        <w:rPr>
          <w:rFonts w:ascii="Arial" w:cs="Arial" w:eastAsia="Arial" w:hAnsi="Arial"/>
          <w:sz w:val="17"/>
          <w:szCs w:val="17"/>
          <w:color w:val="auto"/>
        </w:rPr>
      </w:pPr>
    </w:p>
    <w:p>
      <w:pPr>
        <w:ind w:left="2060" w:hanging="257"/>
        <w:spacing w:after="0"/>
        <w:tabs>
          <w:tab w:leader="none" w:pos="2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48" w:lineRule="exact"/>
        <w:rPr>
          <w:rFonts w:ascii="Arial" w:cs="Arial" w:eastAsia="Arial" w:hAnsi="Arial"/>
          <w:sz w:val="16"/>
          <w:szCs w:val="16"/>
          <w:color w:val="auto"/>
        </w:rPr>
      </w:pPr>
    </w:p>
    <w:p>
      <w:pPr>
        <w:jc w:val="both"/>
        <w:ind w:left="-20" w:firstLine="1823"/>
        <w:spacing w:after="0" w:line="258" w:lineRule="auto"/>
        <w:tabs>
          <w:tab w:leader="none" w:pos="212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Required Holders, any other market, exchange or quotation system), or, if there is more than one such Person or such entity, the Person or such entity designated by the Required Holders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left="-20" w:firstLine="1823"/>
        <w:spacing w:after="0" w:line="282" w:lineRule="auto"/>
        <w:tabs>
          <w:tab w:leader="none" w:pos="20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2020" w:hanging="217"/>
        <w:spacing w:after="0"/>
        <w:tabs>
          <w:tab w:leader="none" w:pos="2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20" w:firstLine="1823"/>
        <w:spacing w:after="0" w:line="282" w:lineRule="auto"/>
        <w:tabs>
          <w:tab w:leader="none" w:pos="20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that certain Registration Rights Agreement dated as of the date of the Securities Purchase Agreement by and among the Company and the Buyers.</w:t>
      </w:r>
    </w:p>
    <w:p>
      <w:pPr>
        <w:spacing w:after="0" w:line="161" w:lineRule="exact"/>
        <w:rPr>
          <w:rFonts w:ascii="Arial" w:cs="Arial" w:eastAsia="Arial" w:hAnsi="Arial"/>
          <w:sz w:val="18"/>
          <w:szCs w:val="18"/>
          <w:color w:val="auto"/>
        </w:rPr>
      </w:pPr>
    </w:p>
    <w:p>
      <w:pPr>
        <w:ind w:left="-20" w:firstLine="1823"/>
        <w:spacing w:after="0" w:line="282" w:lineRule="auto"/>
        <w:tabs>
          <w:tab w:leader="none" w:pos="20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the SPA A Warrants representing at least a majority of the shares of Common Stock underlying the SPA A Warrants then outstanding.</w:t>
      </w:r>
    </w:p>
    <w:p>
      <w:pPr>
        <w:spacing w:after="0" w:line="161" w:lineRule="exact"/>
        <w:rPr>
          <w:rFonts w:ascii="Arial" w:cs="Arial" w:eastAsia="Arial" w:hAnsi="Arial"/>
          <w:sz w:val="18"/>
          <w:szCs w:val="18"/>
          <w:color w:val="auto"/>
        </w:rPr>
      </w:pPr>
    </w:p>
    <w:p>
      <w:pPr>
        <w:ind w:left="2060" w:hanging="257"/>
        <w:spacing w:after="0"/>
        <w:tabs>
          <w:tab w:leader="none" w:pos="2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shall have the meaning set forth in the Securities Purchase Agreement.</w:t>
      </w:r>
    </w:p>
    <w:p>
      <w:pPr>
        <w:spacing w:after="0" w:line="225" w:lineRule="exact"/>
        <w:rPr>
          <w:rFonts w:ascii="Arial" w:cs="Arial" w:eastAsia="Arial" w:hAnsi="Arial"/>
          <w:sz w:val="18"/>
          <w:szCs w:val="18"/>
          <w:color w:val="auto"/>
        </w:rPr>
      </w:pPr>
    </w:p>
    <w:p>
      <w:pPr>
        <w:ind w:left="2060" w:hanging="257"/>
        <w:spacing w:after="0"/>
        <w:tabs>
          <w:tab w:leader="none" w:pos="2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Subject Entity</w:t>
      </w:r>
      <w:r>
        <w:rPr>
          <w:rFonts w:ascii="Arial" w:cs="Arial" w:eastAsia="Arial" w:hAnsi="Arial"/>
          <w:sz w:val="17"/>
          <w:szCs w:val="17"/>
          <w:color w:val="auto"/>
        </w:rPr>
        <w:t>” means any Person, Persons or Group or any Affiliate or associate of any such Person, Persons or Group.</w:t>
      </w:r>
    </w:p>
    <w:p>
      <w:pPr>
        <w:spacing w:after="0" w:line="236" w:lineRule="exact"/>
        <w:rPr>
          <w:rFonts w:ascii="Arial" w:cs="Arial" w:eastAsia="Arial" w:hAnsi="Arial"/>
          <w:sz w:val="17"/>
          <w:szCs w:val="17"/>
          <w:color w:val="auto"/>
        </w:rPr>
      </w:pPr>
    </w:p>
    <w:p>
      <w:pPr>
        <w:jc w:val="both"/>
        <w:ind w:left="-20" w:firstLine="1823"/>
        <w:spacing w:after="0" w:line="266" w:lineRule="auto"/>
        <w:tabs>
          <w:tab w:leader="none" w:pos="20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72" w:name="page73"/>
    <w:bookmarkEnd w:id="72"/>
    <w:p>
      <w:pPr>
        <w:jc w:val="both"/>
        <w:ind w:firstLine="1823"/>
        <w:spacing w:after="0" w:line="298" w:lineRule="auto"/>
        <w:tabs>
          <w:tab w:leader="none" w:pos="21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4" w:lineRule="exact"/>
        <w:rPr>
          <w:rFonts w:ascii="Arial" w:cs="Arial" w:eastAsia="Arial" w:hAnsi="Arial"/>
          <w:sz w:val="16"/>
          <w:szCs w:val="16"/>
          <w:color w:val="auto"/>
        </w:rPr>
      </w:pPr>
    </w:p>
    <w:p>
      <w:pPr>
        <w:jc w:val="both"/>
        <w:ind w:firstLine="1823"/>
        <w:spacing w:after="0" w:line="291" w:lineRule="auto"/>
        <w:tabs>
          <w:tab w:leader="none" w:pos="207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a Trading Market but is then reported on the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a Majority in Interest and reasonably acceptable to the Company, the fees and expenses of which shall be paid by the Company.</w:t>
      </w:r>
    </w:p>
    <w:p>
      <w:pPr>
        <w:spacing w:after="0" w:line="160" w:lineRule="exact"/>
        <w:rPr>
          <w:rFonts w:ascii="Arial" w:cs="Arial" w:eastAsia="Arial" w:hAnsi="Arial"/>
          <w:sz w:val="16"/>
          <w:szCs w:val="16"/>
          <w:color w:val="auto"/>
        </w:rPr>
      </w:pPr>
    </w:p>
    <w:p>
      <w:pPr>
        <w:jc w:val="both"/>
        <w:ind w:firstLine="1823"/>
        <w:spacing w:after="0" w:line="268" w:lineRule="auto"/>
        <w:tabs>
          <w:tab w:leader="none" w:pos="2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31127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6200" w:space="320"/>
            <w:col w:w="4900"/>
          </w:cols>
          <w:pgMar w:left="240" w:top="904"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the attached Warrant to Purchase Common Stock No. ____ (the “</w:t>
      </w:r>
      <w:r>
        <w:rPr>
          <w:rFonts w:ascii="Arial" w:cs="Arial" w:eastAsia="Arial" w:hAnsi="Arial"/>
          <w:sz w:val="16"/>
          <w:szCs w:val="16"/>
          <w:b w:val="1"/>
          <w:bCs w:val="1"/>
          <w:color w:val="auto"/>
        </w:rPr>
        <w:t>Warrant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840" w:hanging="184"/>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with respect to _________________ Warrant Shares; and/or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_______________ Warrant Shares.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7800" w:type="dxa"/>
            <w:vAlign w:val="bottom"/>
            <w:gridSpan w:val="3"/>
          </w:tcPr>
          <w:p>
            <w:pPr>
              <w:ind w:left="96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ind w:left="960"/>
              <w:spacing w:after="0"/>
              <w:rPr>
                <w:sz w:val="20"/>
                <w:szCs w:val="20"/>
                <w:color w:val="auto"/>
              </w:rPr>
            </w:pPr>
            <w:r>
              <w:rPr>
                <w:rFonts w:ascii="Arial" w:cs="Arial" w:eastAsia="Arial" w:hAnsi="Arial"/>
                <w:sz w:val="18"/>
                <w:szCs w:val="18"/>
                <w:color w:val="auto"/>
              </w:rPr>
              <w:t>DTC Number:</w:t>
            </w:r>
          </w:p>
        </w:tc>
        <w:tc>
          <w:tcPr>
            <w:tcW w:w="45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ind w:left="960"/>
              <w:spacing w:after="0"/>
              <w:rPr>
                <w:sz w:val="20"/>
                <w:szCs w:val="20"/>
                <w:color w:val="auto"/>
              </w:rPr>
            </w:pPr>
            <w:r>
              <w:rPr>
                <w:rFonts w:ascii="Arial" w:cs="Arial" w:eastAsia="Arial" w:hAnsi="Arial"/>
                <w:sz w:val="18"/>
                <w:szCs w:val="18"/>
                <w:color w:val="auto"/>
              </w:rPr>
              <w:t>Account Name:</w:t>
            </w:r>
          </w:p>
        </w:tc>
        <w:tc>
          <w:tcPr>
            <w:tcW w:w="4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ind w:left="960"/>
              <w:spacing w:after="0"/>
              <w:rPr>
                <w:sz w:val="20"/>
                <w:szCs w:val="20"/>
                <w:color w:val="auto"/>
              </w:rPr>
            </w:pPr>
            <w:r>
              <w:rPr>
                <w:rFonts w:ascii="Arial" w:cs="Arial" w:eastAsia="Arial" w:hAnsi="Arial"/>
                <w:sz w:val="18"/>
                <w:szCs w:val="18"/>
                <w:color w:val="auto"/>
              </w:rPr>
              <w:t>Account Number:</w:t>
            </w:r>
          </w:p>
        </w:tc>
        <w:tc>
          <w:tcPr>
            <w:tcW w:w="4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6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7800" w:type="dxa"/>
            <w:vAlign w:val="bottom"/>
            <w:gridSpan w:val="3"/>
          </w:tcPr>
          <w:p>
            <w:pPr>
              <w:ind w:left="9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6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2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Name of Registered Holder</w:t>
            </w:r>
          </w:p>
        </w:tc>
        <w:tc>
          <w:tcPr>
            <w:tcW w:w="9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By:</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960" w:type="dxa"/>
            <w:vAlign w:val="bottom"/>
            <w:tcBorders>
              <w:top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Title: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left="10620"/>
        <w:spacing w:after="0"/>
        <w:rPr>
          <w:sz w:val="20"/>
          <w:szCs w:val="20"/>
          <w:color w:val="auto"/>
        </w:rPr>
      </w:pPr>
      <w:r>
        <w:rPr>
          <w:rFonts w:ascii="Arial" w:cs="Arial" w:eastAsia="Arial" w:hAnsi="Arial"/>
          <w:sz w:val="17"/>
          <w:szCs w:val="17"/>
          <w:color w:val="auto"/>
        </w:rPr>
        <w:t>Exhibit 4.3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CLASS B WARRANT]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LASS</w:t>
      </w:r>
      <w:r>
        <w:rPr>
          <w:rFonts w:ascii="Arial" w:cs="Arial" w:eastAsia="Arial" w:hAnsi="Arial"/>
          <w:sz w:val="18"/>
          <w:szCs w:val="18"/>
          <w:b w:val="1"/>
          <w:bCs w:val="1"/>
          <w:color w:val="auto"/>
        </w:rPr>
        <w:t xml:space="preserve"> B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2018-B________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__, 2018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November __, 2018 (the</w:t>
      </w:r>
    </w:p>
    <w:p>
      <w:pPr>
        <w:spacing w:after="0" w:line="2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Exercise Date</w:t>
      </w:r>
      <w:r>
        <w:rPr>
          <w:rFonts w:ascii="Arial" w:cs="Arial" w:eastAsia="Arial" w:hAnsi="Arial"/>
          <w:sz w:val="16"/>
          <w:szCs w:val="16"/>
          <w:color w:val="auto"/>
        </w:rPr>
        <w:t>”), but not after 11:59 p.m., New York time, on the Expiration Date, (as defined below), ______________ (_____________)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fully paid</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nonassessable shares of Common Stock,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19 or as defined in the Securities Purchase Agreement (as defined below). This Warrant is one of the Class B Warrants to purchase Common Stock (the “</w:t>
      </w:r>
      <w:r>
        <w:rPr>
          <w:rFonts w:ascii="Arial" w:cs="Arial" w:eastAsia="Arial" w:hAnsi="Arial"/>
          <w:sz w:val="17"/>
          <w:szCs w:val="17"/>
          <w:b w:val="1"/>
          <w:bCs w:val="1"/>
          <w:color w:val="auto"/>
        </w:rPr>
        <w:t>SPA B Warrants</w:t>
      </w:r>
      <w:r>
        <w:rPr>
          <w:rFonts w:ascii="Arial" w:cs="Arial" w:eastAsia="Arial" w:hAnsi="Arial"/>
          <w:sz w:val="17"/>
          <w:szCs w:val="17"/>
          <w:color w:val="auto"/>
        </w:rPr>
        <w:t>” and together with the Class A Warrants the “</w:t>
      </w:r>
      <w:r>
        <w:rPr>
          <w:rFonts w:ascii="Arial" w:cs="Arial" w:eastAsia="Arial" w:hAnsi="Arial"/>
          <w:sz w:val="17"/>
          <w:szCs w:val="17"/>
          <w:b w:val="1"/>
          <w:bCs w:val="1"/>
          <w:color w:val="auto"/>
        </w:rPr>
        <w:t>SPA Warrants</w:t>
      </w:r>
      <w:r>
        <w:rPr>
          <w:rFonts w:ascii="Arial" w:cs="Arial" w:eastAsia="Arial" w:hAnsi="Arial"/>
          <w:sz w:val="17"/>
          <w:szCs w:val="17"/>
          <w:color w:val="auto"/>
        </w:rPr>
        <w:t>”) issued pursuant to Section 2 of that certain Securities Purchase Agreement, dated as of May 15, 2018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the Company and the investors (the “</w:t>
      </w:r>
      <w:r>
        <w:rPr>
          <w:rFonts w:ascii="Arial" w:cs="Arial" w:eastAsia="Arial" w:hAnsi="Arial"/>
          <w:sz w:val="17"/>
          <w:szCs w:val="17"/>
          <w:b w:val="1"/>
          <w:bCs w:val="1"/>
          <w:color w:val="auto"/>
        </w:rPr>
        <w:t>Buyers</w:t>
      </w:r>
      <w:r>
        <w:rPr>
          <w:rFonts w:ascii="Arial" w:cs="Arial" w:eastAsia="Arial" w:hAnsi="Arial"/>
          <w:sz w:val="17"/>
          <w:szCs w:val="17"/>
          <w:color w:val="auto"/>
        </w:rPr>
        <w:t>”) referred to therein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firstLine="8"/>
        <w:spacing w:after="0" w:line="195" w:lineRule="auto"/>
        <w:tabs>
          <w:tab w:leader="none" w:pos="142" w:val="left"/>
        </w:tabs>
        <w:numPr>
          <w:ilvl w:val="0"/>
          <w:numId w:val="66"/>
        </w:numPr>
        <w:rPr>
          <w:rFonts w:ascii="Arial" w:cs="Arial" w:eastAsia="Arial" w:hAnsi="Arial"/>
          <w:sz w:val="30"/>
          <w:szCs w:val="30"/>
          <w:b w:val="1"/>
          <w:bCs w:val="1"/>
          <w:color w:val="auto"/>
          <w:vertAlign w:val="superscript"/>
        </w:rPr>
      </w:pPr>
      <w:r>
        <w:rPr>
          <w:rFonts w:ascii="Arial" w:cs="Arial" w:eastAsia="Arial" w:hAnsi="Arial"/>
          <w:sz w:val="18"/>
          <w:szCs w:val="18"/>
          <w:b w:val="1"/>
          <w:bCs w:val="1"/>
          <w:color w:val="auto"/>
        </w:rPr>
        <w:t>Insert 50% of the number of shares of Common Stock (on a fully diluted basis) purchased by the Holder pursuant to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left="1880" w:hanging="575"/>
        <w:spacing w:after="0"/>
        <w:tabs>
          <w:tab w:leader="none" w:pos="18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823"/>
        <w:spacing w:after="0" w:line="284" w:lineRule="auto"/>
        <w:tabs>
          <w:tab w:leader="none" w:pos="207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Initial Exercise Date and prior to the Expiration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purchase the remaining number of Warrant Shares. On or before the first (1</w:t>
      </w:r>
      <w:r>
        <w:rPr>
          <w:rFonts w:ascii="Arial" w:cs="Arial" w:eastAsia="Arial" w:hAnsi="Arial"/>
          <w:sz w:val="28"/>
          <w:szCs w:val="28"/>
          <w:color w:val="auto"/>
          <w:vertAlign w:val="superscript"/>
        </w:rPr>
        <w:t>st</w:t>
      </w:r>
      <w:r>
        <w:rPr>
          <w:rFonts w:ascii="Arial" w:cs="Arial" w:eastAsia="Arial" w:hAnsi="Arial"/>
          <w:sz w:val="17"/>
          <w:szCs w:val="17"/>
          <w:color w:val="auto"/>
        </w:rPr>
        <w:t>) Trading Day following the date on which the Company has received the Exercise Notice, the Company shall transmit by electronic mail an acknowledgment of confirmation of receipt of the Exercise Notice to the Holder. On or</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8(d))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2060" w:hanging="257"/>
        <w:spacing w:after="0"/>
        <w:tabs>
          <w:tab w:leader="none" w:pos="20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$0.62, subject to adjustment as provided herein.</w:t>
      </w:r>
    </w:p>
    <w:p>
      <w:pPr>
        <w:spacing w:after="0" w:line="240" w:lineRule="exact"/>
        <w:rPr>
          <w:rFonts w:ascii="Arial" w:cs="Arial" w:eastAsia="Arial" w:hAnsi="Arial"/>
          <w:sz w:val="17"/>
          <w:szCs w:val="17"/>
          <w:color w:val="auto"/>
        </w:rPr>
      </w:pPr>
    </w:p>
    <w:p>
      <w:pPr>
        <w:jc w:val="both"/>
        <w:ind w:left="-20" w:firstLine="1823"/>
        <w:spacing w:after="0" w:line="283" w:lineRule="auto"/>
        <w:tabs>
          <w:tab w:leader="none" w:pos="204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or (II) after the Initial Effective Date (as defined in the Registration Rights Agreement) and during the Registration Period (as defined in the Registration Rights Agreement), (x) the Registration Statement (as defined in the Registration Rights Agreement) covering the resale of all of the Warrant Shares that are the subject of the Exercise Notice (the “</w:t>
      </w:r>
      <w:r>
        <w:rPr>
          <w:rFonts w:ascii="Arial" w:cs="Arial" w:eastAsia="Arial" w:hAnsi="Arial"/>
          <w:sz w:val="16"/>
          <w:szCs w:val="16"/>
          <w:b w:val="1"/>
          <w:bCs w:val="1"/>
          <w:color w:val="auto"/>
        </w:rPr>
        <w:t>Unavailable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 not available for the resale of such Unavailable Warrant Shares, (y) the Company fails to promptly, but in no event later than as required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Registration Rights Agreement so notify the Holder and (z) the Company fails to, on or prior to the Share Delivery Date,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to as a “</w:t>
      </w:r>
      <w:r>
        <w:rPr>
          <w:rFonts w:ascii="Arial" w:cs="Arial" w:eastAsia="Arial" w:hAnsi="Arial"/>
          <w:sz w:val="16"/>
          <w:szCs w:val="16"/>
          <w:b w:val="1"/>
          <w:bCs w:val="1"/>
          <w:color w:val="auto"/>
        </w:rPr>
        <w:t>Notice Failure</w:t>
      </w:r>
      <w:r>
        <w:rPr>
          <w:rFonts w:ascii="Arial" w:cs="Arial" w:eastAsia="Arial" w:hAnsi="Arial"/>
          <w:sz w:val="16"/>
          <w:szCs w:val="16"/>
          <w:color w:val="auto"/>
        </w:rPr>
        <w:t>”) and either a Notice Failure or an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Notice Failure or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If the Company is required to pay liquidated damages hereunder solely as a result of a Notice Failure, the liquidated damages related thereto will cease to accrue upon delivery of a written notice to the Holder specifying the correct status of the applicable Registration Statement. For the avoidance of doubt, the Company acknowledges that the Company may be liable for Registration Delay Payments pursuant to the Registration Rights Agreement in the event of an Exercise Failure or Notice Failure. In addition to the foregoing, if an Exercise Failure or Notice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79" w:name="page80"/>
    <w:bookmarkEnd w:id="79"/>
    <w:p>
      <w:pPr>
        <w:jc w:val="both"/>
        <w:ind w:firstLine="1823"/>
        <w:spacing w:after="0" w:line="255" w:lineRule="auto"/>
        <w:tabs>
          <w:tab w:leader="none" w:pos="208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if 180 days after the issuance of this Warrant a Registration Statement on Form S-1 (or other applicable registration statement under the 1933 Act) (the “Registration Statement”) covering the resale of the Warrant Shares is not available for the issuance of such Warrant Shares, the Holder may, in its sole discretion, exercise this Warrant in whole or in part and, in lieu of making the cash payment otherwise contemplated to be made to the Company upon such exercise in payment of the Exercise Price, elect instead to exercise this Warrant by means of a cashless exercise (a “Cashless Exercise”) in which the Holder shall be entitled to receive a number of Warrant Shares equal to the quotient obtained by dividing [(A-B) (X)] by (A), where:</w:t>
      </w:r>
    </w:p>
    <w:p>
      <w:pPr>
        <w:spacing w:after="0" w:line="193" w:lineRule="exact"/>
        <w:rPr>
          <w:sz w:val="20"/>
          <w:szCs w:val="20"/>
          <w:color w:val="auto"/>
        </w:rPr>
      </w:pPr>
    </w:p>
    <w:p>
      <w:pPr>
        <w:jc w:val="both"/>
        <w:ind w:firstLine="1823"/>
        <w:spacing w:after="0" w:line="289" w:lineRule="auto"/>
        <w:tabs>
          <w:tab w:leader="none" w:pos="21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spacing w:after="0" w:line="166" w:lineRule="exact"/>
        <w:rPr>
          <w:rFonts w:ascii="Arial" w:cs="Arial" w:eastAsia="Arial" w:hAnsi="Arial"/>
          <w:sz w:val="16"/>
          <w:szCs w:val="16"/>
          <w:color w:val="auto"/>
        </w:rPr>
      </w:pPr>
    </w:p>
    <w:p>
      <w:pPr>
        <w:ind w:left="2100" w:hanging="277"/>
        <w:spacing w:after="0"/>
        <w:tabs>
          <w:tab w:leader="none" w:pos="2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firstLine="1823"/>
        <w:spacing w:after="0" w:line="277" w:lineRule="auto"/>
        <w:tabs>
          <w:tab w:leader="none" w:pos="21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1815"/>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1(d).</w:t>
      </w:r>
    </w:p>
    <w:p>
      <w:pPr>
        <w:spacing w:after="0" w:line="181" w:lineRule="exact"/>
        <w:rPr>
          <w:sz w:val="20"/>
          <w:szCs w:val="20"/>
          <w:color w:val="auto"/>
        </w:rPr>
      </w:pPr>
    </w:p>
    <w:p>
      <w:pPr>
        <w:ind w:firstLine="1823"/>
        <w:spacing w:after="0" w:line="342" w:lineRule="auto"/>
        <w:tabs>
          <w:tab w:leader="none" w:pos="20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13.</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823"/>
        <w:spacing w:after="0" w:line="278" w:lineRule="auto"/>
        <w:tabs>
          <w:tab w:leader="none" w:pos="204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SPA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after delivery of such notice) or decrease the Maximum Percentage to any other percentage not in excess of 9.99% as specified in such notice;</w:t>
      </w:r>
    </w:p>
    <w:p>
      <w:pPr>
        <w:spacing w:after="0" w:line="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provided that (i) any such increase in the Maximum Percentage will not be effective until the sixty-first (61</w:t>
      </w:r>
      <w:r>
        <w:rPr>
          <w:rFonts w:ascii="Arial" w:cs="Arial" w:eastAsia="Arial" w:hAnsi="Arial"/>
          <w:sz w:val="30"/>
          <w:szCs w:val="30"/>
          <w:color w:val="auto"/>
          <w:vertAlign w:val="superscript"/>
        </w:rPr>
        <w:t>st</w:t>
      </w:r>
      <w:r>
        <w:rPr>
          <w:rFonts w:ascii="Arial" w:cs="Arial" w:eastAsia="Arial" w:hAnsi="Arial"/>
          <w:sz w:val="18"/>
          <w:szCs w:val="18"/>
          <w:color w:val="auto"/>
        </w:rPr>
        <w: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left="-8" w:firstLine="1823"/>
        <w:spacing w:after="0" w:line="284" w:lineRule="auto"/>
        <w:tabs>
          <w:tab w:leader="none" w:pos="2075" w:val="left"/>
        </w:tabs>
        <w:numPr>
          <w:ilvl w:val="2"/>
          <w:numId w:val="7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w:t>
      </w:r>
    </w:p>
    <w:p>
      <w:pPr>
        <w:spacing w:after="0" w:line="2" w:lineRule="exact"/>
        <w:rPr>
          <w:rFonts w:ascii="Arial" w:cs="Arial" w:eastAsia="Arial" w:hAnsi="Arial"/>
          <w:sz w:val="16"/>
          <w:szCs w:val="16"/>
          <w:color w:val="auto"/>
        </w:rPr>
      </w:pPr>
    </w:p>
    <w:p>
      <w:pPr>
        <w:jc w:val="both"/>
        <w:ind w:left="-8" w:firstLine="8"/>
        <w:spacing w:after="0" w:line="284" w:lineRule="auto"/>
        <w:tabs>
          <w:tab w:leader="none" w:pos="3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175" w:lineRule="exact"/>
        <w:rPr>
          <w:rFonts w:ascii="Arial" w:cs="Arial" w:eastAsia="Arial" w:hAnsi="Arial"/>
          <w:sz w:val="16"/>
          <w:szCs w:val="16"/>
          <w:color w:val="auto"/>
        </w:rPr>
      </w:pPr>
    </w:p>
    <w:p>
      <w:pPr>
        <w:ind w:left="-8" w:firstLine="1305"/>
        <w:spacing w:after="0" w:line="277" w:lineRule="auto"/>
        <w:tabs>
          <w:tab w:leader="none" w:pos="2117"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2" w:name="page83"/>
    <w:bookmarkEnd w:id="82"/>
    <w:p>
      <w:pPr>
        <w:jc w:val="both"/>
        <w:ind w:left="-20" w:firstLine="1823"/>
        <w:spacing w:after="0" w:line="284" w:lineRule="auto"/>
        <w:tabs>
          <w:tab w:leader="none" w:pos="20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Certain Anti-Dilution Adjustments</w:t>
      </w:r>
      <w:r>
        <w:rPr>
          <w:rFonts w:ascii="Arial" w:cs="Arial" w:eastAsia="Arial" w:hAnsi="Arial"/>
          <w:sz w:val="16"/>
          <w:szCs w:val="16"/>
          <w:color w:val="auto"/>
        </w:rPr>
        <w:t>. In addition to the reductions of the Exercise Price described in Section 2(b), if, at any time while this Note is outstanding, the Company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then Exercise Price (such lower price, the “</w:t>
      </w:r>
      <w:r>
        <w:rPr>
          <w:rFonts w:ascii="Arial" w:cs="Arial" w:eastAsia="Arial" w:hAnsi="Arial"/>
          <w:sz w:val="16"/>
          <w:szCs w:val="16"/>
          <w:u w:val="single" w:color="auto"/>
          <w:color w:val="auto"/>
        </w:rPr>
        <w:t>Base Exercise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Exercise Price, such issuance shall be deemed to have occurred for less than the Exercise Price on such date of the Dilutive Issuance), then the Exercise Price shall be reduced to equal the Base Exercise Price, subject to adjustment for reverse and forward stock splits and the like. Such adjustment shall be made whenever such Common Stock or Common Stock Equivalents are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the Exercise Price shall not be adjusted to be less than the Reduced Exercise Price Floor;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can be reduced below the Reduced Exercise Price Floor if the Company is not then subject to Nasdaq Listing Rule 5635(d) or if approved by the Principal Market. Notwithstanding the foregoing, no adjustment will be made under this Section 2(a) in respect of an Exempt Issuance. If the Company enters into a Variable Rate Transaction, despite the prohibition set forth in the Purchase Agreement, the Company shall be deemed to have issued Common Stock or Common Stock Equivalents at the lowest possible conversion price at which such securities may be converted or exercised. The Company shall notify the Holder in writing, no later than the Trading Day following the issuance of any Common Stock or Common Stock Equivalents subject to this Section 2(a),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For purposes of clarification, whether or not the Company provides a Dilutive Issuance Notice pursuant to this Section 2(a), upon the occurrence of any Dilutive Issuance, the Holder is entitled to receive a number of Warrant Shares based upon the Base Exercise Price on or after the date of such Dilutive Issuance, regardless of whether the Holder accurately refers to the Base Exercise Price in the Notice of Exercise. In the event the Exercise Price is reduced pursuant to this Section 2(a) the number of Warrant Shares issuable hereunder shall be increased such that the aggregate Exercise Price payable hereunder, after taking into account the decrease in the Exercise Price, shall be equal to the aggregate Exercise Price prior to such adjustment (such additional Warrant Shares the “Additional Shares”). Notwithstanding the foregoing, no reduction of the Exercise Price shall be less than twenty percent (20%) of the Exercise Price on the Issuance Date (subject to appropriate adjustments for stock splits, stock dividends, recapitalizations, reorganizations, reclassifications, combinations, reverse stock splits or other similar transactions after the Issuance Date) (the “</w:t>
      </w:r>
      <w:r>
        <w:rPr>
          <w:rFonts w:ascii="Arial" w:cs="Arial" w:eastAsia="Arial" w:hAnsi="Arial"/>
          <w:sz w:val="16"/>
          <w:szCs w:val="16"/>
          <w:b w:val="1"/>
          <w:bCs w:val="1"/>
          <w:color w:val="auto"/>
        </w:rPr>
        <w:t>Reduced Exercise Floor Price</w:t>
      </w:r>
      <w:r>
        <w:rPr>
          <w:rFonts w:ascii="Arial" w:cs="Arial" w:eastAsia="Arial" w:hAnsi="Arial"/>
          <w:sz w:val="16"/>
          <w:szCs w:val="16"/>
          <w:color w:val="auto"/>
        </w:rPr>
        <w:t>”); provided, however, that the Exercise Price can be reduced below the Reduced Exercise Price Floor if approved by the Principal Market. Company further agrees that the proxy statement with respect to the Shareholder Approval will be drafted such that such Shareholder Approval will extend to such a reduction below the Reduced Exercise Price Floor and issuance of the Additional Shares. Notwithstanding anything herein to the contrary, this Section 2(a) shall not apply until receipt of the Shareholder Approval pursuant to Nasdaq Listing Rule 5635(d) and for as long as such rule is applicable to the Company.</w:t>
      </w:r>
    </w:p>
    <w:p>
      <w:pPr>
        <w:spacing w:after="0" w:line="386" w:lineRule="exact"/>
        <w:rPr>
          <w:rFonts w:ascii="Arial" w:cs="Arial" w:eastAsia="Arial" w:hAnsi="Arial"/>
          <w:sz w:val="16"/>
          <w:szCs w:val="16"/>
          <w:color w:val="auto"/>
        </w:rPr>
      </w:pPr>
    </w:p>
    <w:p>
      <w:pPr>
        <w:jc w:val="both"/>
        <w:ind w:left="-20" w:firstLine="1823"/>
        <w:spacing w:after="0" w:line="272" w:lineRule="auto"/>
        <w:tabs>
          <w:tab w:leader="none" w:pos="207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3" w:name="page84"/>
    <w:bookmarkEnd w:id="83"/>
    <w:p>
      <w:pPr>
        <w:jc w:val="both"/>
        <w:ind w:left="-20" w:firstLine="1823"/>
        <w:spacing w:after="0" w:line="267" w:lineRule="auto"/>
        <w:tabs>
          <w:tab w:leader="none" w:pos="2040"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Exchange Cap</w:t>
      </w:r>
      <w:r>
        <w:rPr>
          <w:rFonts w:ascii="Arial" w:cs="Arial" w:eastAsia="Arial" w:hAnsi="Arial"/>
          <w:sz w:val="17"/>
          <w:szCs w:val="17"/>
          <w:color w:val="auto"/>
        </w:rPr>
        <w:t>. The Company shall not issue any shares of Common Stock upon exercise of this Warrant or otherwise pursuant to the terms of this Warrant if the issuance of such shares of Common Stock would exceed the aggregate number of shares of Common Stock which the Company may issue upon conversion of the Notes or otherwise pursuant to the terms of this Warrant without breaching the Company’s obligations, if any, under the rules or regulations of the Principal Market (the number of shares which may be issued without violating such rules and regulations, including rules related to the aggregate of offerings under Nasdaq Listing Rule 5635(d), as applicable, the “Exchange Cap”), except that such limitation shall not apply in the event that the Company obtains the approval of its stockholders as required by the applicable rules of the Principal Market for issuances of shares of Common Stock upon exercise of this Warrant or otherwise pursuant to the terms of this Warrant in excess of such amount. Until such approval is obtained, no Holder shall be issued in the aggregate, upon conversion of any Notes or otherwise pursuant to the terms of this Warrant, shares of Common Stock in an amount greater than the product of (i) the Exchange Cap multiplied by (ii) the quotient of (A) the Holder’s Subscription Amount (as defined in the Securities Purchase Agreement) divided by (B) the aggregate principal amount of Notes issued to all Holders (with respect to each Holder, the “Exchange Cap Allocation”). The Exchange Cap Allocation will be further allocated as to each Holder among its Notes and Warrants. In the event that any Holder shall sell or otherwise transfer any of such Holder’s Warrants, the transferee shall be allocated a pro rata portion of such Holder’s Exchange Cap Allocation with respect to such portion of such Warrants so transferred, and the restrictions of the prior sentence shall apply to such transferee with respect to the portion of the Exchange Cap Allocation so allocated to such transferee. Upon exercise in full of a Holder’s Warrants, the difference (if any) between such Holder’s Exchange Cap Allocation and the number of shares of Common Stock actually issued to such Holder upon such Holder’s exercise in full of such Holder’s Warrants shall be allocated to the respective Exchange Cap Allocations of the remaining Holders of Warrants on a pro rata basis in proportion to the shares of Common Stock underlying the Warrants then held by each such Holder. The Company acknowledges that the issuance of Warrant Shares upon exercise of this Warrant in accordance with the terms of this Warrant as in effect upon the Issuance Date are in compliance with Nasdaq Listing Rule 5635(d) and not subject to the Exchange Cap.</w:t>
      </w:r>
    </w:p>
    <w:p>
      <w:pPr>
        <w:spacing w:after="0" w:line="189" w:lineRule="exact"/>
        <w:rPr>
          <w:rFonts w:ascii="Arial" w:cs="Arial" w:eastAsia="Arial" w:hAnsi="Arial"/>
          <w:sz w:val="17"/>
          <w:szCs w:val="17"/>
          <w:color w:val="auto"/>
        </w:rPr>
      </w:pPr>
    </w:p>
    <w:p>
      <w:pPr>
        <w:jc w:val="both"/>
        <w:ind w:left="-20" w:firstLine="1305"/>
        <w:spacing w:after="0" w:line="269" w:lineRule="auto"/>
        <w:tabs>
          <w:tab w:leader="none" w:pos="1997"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4" w:name="page85"/>
    <w:bookmarkEnd w:id="84"/>
    <w:p>
      <w:pPr>
        <w:ind w:left="1860" w:hanging="575"/>
        <w:spacing w:after="0"/>
        <w:tabs>
          <w:tab w:leader="none" w:pos="18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823"/>
        <w:spacing w:after="0" w:line="269" w:lineRule="auto"/>
        <w:tabs>
          <w:tab w:leader="none" w:pos="204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182" w:lineRule="exact"/>
        <w:rPr>
          <w:rFonts w:ascii="Arial" w:cs="Arial" w:eastAsia="Arial" w:hAnsi="Arial"/>
          <w:sz w:val="17"/>
          <w:szCs w:val="17"/>
          <w:color w:val="auto"/>
        </w:rPr>
      </w:pPr>
    </w:p>
    <w:p>
      <w:pPr>
        <w:jc w:val="both"/>
        <w:ind w:left="-20" w:firstLine="1823"/>
        <w:spacing w:after="0" w:line="283" w:lineRule="auto"/>
        <w:tabs>
          <w:tab w:leader="none" w:pos="2063"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5" w:name="page86"/>
    <w:bookmarkEnd w:id="85"/>
    <w:p>
      <w:pPr>
        <w:ind w:left="1872" w:hanging="575"/>
        <w:spacing w:after="0"/>
        <w:tabs>
          <w:tab w:leader="none" w:pos="187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MANDATORY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823"/>
        <w:spacing w:after="0" w:line="283" w:lineRule="auto"/>
        <w:tabs>
          <w:tab w:leader="none" w:pos="2070" w:val="left"/>
        </w:tabs>
        <w:numPr>
          <w:ilvl w:val="2"/>
          <w:numId w:val="80"/>
        </w:numPr>
        <w:rPr>
          <w:rFonts w:ascii="Arial" w:cs="Arial" w:eastAsia="Arial" w:hAnsi="Arial"/>
          <w:sz w:val="16"/>
          <w:szCs w:val="16"/>
          <w:color w:val="auto"/>
        </w:rPr>
      </w:pPr>
      <w:r>
        <w:rPr>
          <w:rFonts w:ascii="Arial" w:cs="Arial" w:eastAsia="Arial" w:hAnsi="Arial"/>
          <w:sz w:val="16"/>
          <w:szCs w:val="16"/>
          <w:color w:val="auto"/>
        </w:rPr>
        <w:t>If at any time from and after the Issuance Date (i) the VWAP of the Common Stock listed on the Principal Market equals or exceeds $1.24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6"/>
          <w:szCs w:val="16"/>
          <w:b w:val="1"/>
          <w:bCs w:val="1"/>
          <w:color w:val="auto"/>
        </w:rPr>
        <w:t>Mandatory Exercise Measuring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(ii) the daily average dollar value of Common Stock listed on the Principal Market traded during the Mandatory Exercise Measuring Period equals</w:t>
      </w:r>
      <w:r>
        <w:rPr>
          <w:rFonts w:ascii="Arial" w:cs="Arial" w:eastAsia="Arial" w:hAnsi="Arial"/>
          <w:sz w:val="16"/>
          <w:szCs w:val="16"/>
          <w:b w:val="1"/>
          <w:bCs w:val="1"/>
          <w:color w:val="auto"/>
        </w:rPr>
        <w:t xml:space="preserve"> </w:t>
      </w:r>
      <w:r>
        <w:rPr>
          <w:rFonts w:ascii="Arial" w:cs="Arial" w:eastAsia="Arial" w:hAnsi="Arial"/>
          <w:sz w:val="16"/>
          <w:szCs w:val="16"/>
          <w:color w:val="auto"/>
        </w:rPr>
        <w:t>or exceeds $100,000 (subject to appropriate adjustments for stock splits, stock dividends, recapitalizations, reorganizations, reclassifications, combinations, reverse stock splits or other similar transactions after the Issuance Date); and (iii) no Equity Conditions Failure (as defined below) has occurred (unless the Holder has waived such Equity Conditions Failure) as of such date (clauses (i), (ii) and (iii), the “</w:t>
      </w:r>
      <w:r>
        <w:rPr>
          <w:rFonts w:ascii="Arial" w:cs="Arial" w:eastAsia="Arial" w:hAnsi="Arial"/>
          <w:sz w:val="16"/>
          <w:szCs w:val="16"/>
          <w:b w:val="1"/>
          <w:bCs w:val="1"/>
          <w:color w:val="auto"/>
        </w:rPr>
        <w:t>Mandatory Exercise Conditions</w:t>
      </w:r>
      <w:r>
        <w:rPr>
          <w:rFonts w:ascii="Arial" w:cs="Arial" w:eastAsia="Arial" w:hAnsi="Arial"/>
          <w:sz w:val="16"/>
          <w:szCs w:val="16"/>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6"/>
          <w:szCs w:val="16"/>
          <w:b w:val="1"/>
          <w:bCs w:val="1"/>
          <w:color w:val="auto"/>
        </w:rPr>
        <w:t>Mandatory Exercise</w:t>
      </w:r>
      <w:r>
        <w:rPr>
          <w:rFonts w:ascii="Arial" w:cs="Arial" w:eastAsia="Arial" w:hAnsi="Arial"/>
          <w:sz w:val="16"/>
          <w:szCs w:val="16"/>
          <w:color w:val="auto"/>
        </w:rPr>
        <w:t>”). The Company may exercise its right to require exercise under this Section 5 by delivering within not more than two (2) Trading Days following the end of such Mandatory Exercise Measuring Period a written notice thereof by electronic mail to the Holder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The Mandatory Exercise Notice shall be irrevocable. The Mandatory Exercise Notice shall (x) state</w:t>
      </w:r>
    </w:p>
    <w:p>
      <w:pPr>
        <w:spacing w:after="0" w:line="3" w:lineRule="exact"/>
        <w:rPr>
          <w:rFonts w:ascii="Arial" w:cs="Arial" w:eastAsia="Arial" w:hAnsi="Arial"/>
          <w:sz w:val="16"/>
          <w:szCs w:val="16"/>
          <w:color w:val="auto"/>
        </w:rPr>
      </w:pPr>
    </w:p>
    <w:p>
      <w:pPr>
        <w:jc w:val="both"/>
        <w:ind w:left="-8" w:firstLine="8"/>
        <w:spacing w:after="0" w:line="232" w:lineRule="auto"/>
        <w:tabs>
          <w:tab w:leader="none" w:pos="2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Trading Day on which the Mandatory Exercise shall occur, which shall be the third (3</w:t>
      </w:r>
      <w:r>
        <w:rPr>
          <w:rFonts w:ascii="Arial" w:cs="Arial" w:eastAsia="Arial" w:hAnsi="Arial"/>
          <w:sz w:val="30"/>
          <w:szCs w:val="30"/>
          <w:color w:val="auto"/>
          <w:vertAlign w:val="superscript"/>
        </w:rPr>
        <w:t>rd</w:t>
      </w:r>
      <w:r>
        <w:rPr>
          <w:rFonts w:ascii="Arial" w:cs="Arial" w:eastAsia="Arial" w:hAnsi="Arial"/>
          <w:sz w:val="18"/>
          <w:szCs w:val="18"/>
          <w:color w:val="auto"/>
        </w:rPr>
        <w:t>) Trading Day following the Mandatory Exercise Notice Date (the “</w:t>
      </w:r>
      <w:r>
        <w:rPr>
          <w:rFonts w:ascii="Arial" w:cs="Arial" w:eastAsia="Arial" w:hAnsi="Arial"/>
          <w:sz w:val="18"/>
          <w:szCs w:val="18"/>
          <w:b w:val="1"/>
          <w:bCs w:val="1"/>
          <w:color w:val="auto"/>
        </w:rPr>
        <w:t>Mandatory Exercise Date</w:t>
      </w:r>
      <w:r>
        <w:rPr>
          <w:rFonts w:ascii="Arial" w:cs="Arial" w:eastAsia="Arial" w:hAnsi="Arial"/>
          <w:sz w:val="18"/>
          <w:szCs w:val="18"/>
          <w:color w:val="auto"/>
        </w:rPr>
        <w:t>”) and (II) the aggregate number of Warrants which the Company has elected to be subject to such Mandatory Exercise from the Holder (the “</w:t>
      </w:r>
      <w:r>
        <w:rPr>
          <w:rFonts w:ascii="Arial" w:cs="Arial" w:eastAsia="Arial" w:hAnsi="Arial"/>
          <w:sz w:val="18"/>
          <w:szCs w:val="18"/>
          <w:b w:val="1"/>
          <w:bCs w:val="1"/>
          <w:color w:val="auto"/>
        </w:rPr>
        <w:t>Mandatory Exercise Amount</w:t>
      </w:r>
      <w:r>
        <w:rPr>
          <w:rFonts w:ascii="Arial" w:cs="Arial" w:eastAsia="Arial" w:hAnsi="Arial"/>
          <w:sz w:val="18"/>
          <w:szCs w:val="18"/>
          <w:color w:val="auto"/>
        </w:rPr>
        <w:t>”) pursuant to this Section 5 and (y) certify that the Mandatory Exercise Conditions have been satisfied. The 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8"/>
          <w:szCs w:val="18"/>
          <w:b w:val="1"/>
          <w:bCs w:val="1"/>
          <w:color w:val="auto"/>
        </w:rPr>
        <w:t>Mandatory Exercise Bring-Down Conditions</w:t>
      </w:r>
      <w:r>
        <w:rPr>
          <w:rFonts w:ascii="Arial" w:cs="Arial" w:eastAsia="Arial" w:hAnsi="Arial"/>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6" w:name="page87"/>
    <w:bookmarkEnd w:id="86"/>
    <w:p>
      <w:pPr>
        <w:jc w:val="both"/>
        <w:ind w:left="-20" w:firstLine="1823"/>
        <w:spacing w:after="0" w:line="268" w:lineRule="auto"/>
        <w:tabs>
          <w:tab w:leader="none" w:pos="2048"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Company shall deliver to the Holder a notice no later than 10:00 a.m., New York Time, on the Mandatory Exercise Date (the “</w:t>
      </w:r>
      <w:r>
        <w:rPr>
          <w:rFonts w:ascii="Arial" w:cs="Arial" w:eastAsia="Arial" w:hAnsi="Arial"/>
          <w:sz w:val="17"/>
          <w:szCs w:val="17"/>
          <w:b w:val="1"/>
          <w:bCs w:val="1"/>
          <w:color w:val="auto"/>
        </w:rPr>
        <w:t>Bring-Down Notice</w:t>
      </w:r>
      <w:r>
        <w:rPr>
          <w:rFonts w:ascii="Arial" w:cs="Arial" w:eastAsia="Arial" w:hAnsi="Arial"/>
          <w:sz w:val="17"/>
          <w:szCs w:val="17"/>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187" w:lineRule="exact"/>
        <w:rPr>
          <w:rFonts w:ascii="Arial" w:cs="Arial" w:eastAsia="Arial" w:hAnsi="Arial"/>
          <w:sz w:val="17"/>
          <w:szCs w:val="17"/>
          <w:color w:val="auto"/>
        </w:rPr>
      </w:pPr>
    </w:p>
    <w:p>
      <w:pPr>
        <w:jc w:val="both"/>
        <w:ind w:left="-20" w:firstLine="1305"/>
        <w:spacing w:after="0" w:line="270" w:lineRule="auto"/>
        <w:tabs>
          <w:tab w:leader="none" w:pos="1902"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any of the SPA Warrants are outstanding, take all action necessary to reserve and keep available out of its authorized and unissued shares of Common Stock, solely for the purpose of effecting the exercise of the SPA Warrants, the number of shares of Common Stock as shall from time to time be necessary to effect the exercise of the SPA Warrants then outstanding (without regard to any limitations on exercise).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7" w:name="page88"/>
    <w:bookmarkEnd w:id="87"/>
    <w:p>
      <w:pPr>
        <w:jc w:val="both"/>
        <w:ind w:left="-20" w:firstLine="1305"/>
        <w:spacing w:after="0" w:line="270" w:lineRule="auto"/>
        <w:tabs>
          <w:tab w:leader="none" w:pos="1929"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7,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1860" w:hanging="575"/>
        <w:spacing w:after="0"/>
        <w:tabs>
          <w:tab w:leader="none" w:pos="18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823"/>
        <w:spacing w:after="0" w:line="257" w:lineRule="auto"/>
        <w:tabs>
          <w:tab w:leader="none" w:pos="20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left="-20" w:firstLine="1823"/>
        <w:spacing w:after="0" w:line="279" w:lineRule="auto"/>
        <w:tabs>
          <w:tab w:leader="none" w:pos="2050"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71" w:lineRule="exact"/>
        <w:rPr>
          <w:rFonts w:ascii="Arial" w:cs="Arial" w:eastAsia="Arial" w:hAnsi="Arial"/>
          <w:sz w:val="17"/>
          <w:szCs w:val="17"/>
          <w:color w:val="auto"/>
        </w:rPr>
      </w:pPr>
    </w:p>
    <w:p>
      <w:pPr>
        <w:jc w:val="both"/>
        <w:ind w:left="-20" w:firstLine="1823"/>
        <w:spacing w:after="0" w:line="279" w:lineRule="auto"/>
        <w:tabs>
          <w:tab w:leader="none" w:pos="2053"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xml:space="preserve">.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SPA Warrants for fractional Warrant Shares shall be given.</w:t>
      </w:r>
    </w:p>
    <w:p>
      <w:pPr>
        <w:spacing w:after="0" w:line="171" w:lineRule="exact"/>
        <w:rPr>
          <w:rFonts w:ascii="Arial" w:cs="Arial" w:eastAsia="Arial" w:hAnsi="Arial"/>
          <w:sz w:val="17"/>
          <w:szCs w:val="17"/>
          <w:color w:val="auto"/>
        </w:rPr>
      </w:pPr>
    </w:p>
    <w:p>
      <w:pPr>
        <w:jc w:val="both"/>
        <w:ind w:left="-20" w:firstLine="1823"/>
        <w:spacing w:after="0" w:line="273" w:lineRule="auto"/>
        <w:tabs>
          <w:tab w:leader="none" w:pos="2050"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8" w:name="page89"/>
    <w:bookmarkEnd w:id="88"/>
    <w:p>
      <w:pPr>
        <w:jc w:val="both"/>
        <w:ind w:firstLine="1305"/>
        <w:spacing w:after="0" w:line="270" w:lineRule="auto"/>
        <w:tabs>
          <w:tab w:leader="none" w:pos="188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Whenever notice is required to be given under this Warrant, unless otherwise provided herein, such notice shall be given in accordance with Section 5.4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such information shall be made known to the public prior to or in conjunction with such notice being provided to the Holder.</w:t>
      </w:r>
    </w:p>
    <w:p>
      <w:pPr>
        <w:spacing w:after="0" w:line="181" w:lineRule="exact"/>
        <w:rPr>
          <w:rFonts w:ascii="Arial" w:cs="Arial" w:eastAsia="Arial" w:hAnsi="Arial"/>
          <w:sz w:val="17"/>
          <w:szCs w:val="17"/>
          <w:color w:val="auto"/>
        </w:rPr>
      </w:pPr>
    </w:p>
    <w:p>
      <w:pPr>
        <w:jc w:val="both"/>
        <w:ind w:firstLine="1305"/>
        <w:spacing w:after="0" w:line="259"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Required Holders, and with respect to any amendment, the amendment is in writing and signed by the Company, except that any Holder may waive the Company’s performance hereunder or provide consent as the only such Holder.</w:t>
      </w:r>
    </w:p>
    <w:p>
      <w:pPr>
        <w:spacing w:after="0" w:line="186" w:lineRule="exact"/>
        <w:rPr>
          <w:rFonts w:ascii="Arial" w:cs="Arial" w:eastAsia="Arial" w:hAnsi="Arial"/>
          <w:sz w:val="18"/>
          <w:szCs w:val="18"/>
          <w:color w:val="auto"/>
        </w:rPr>
      </w:pPr>
    </w:p>
    <w:p>
      <w:pPr>
        <w:jc w:val="both"/>
        <w:ind w:firstLine="1305"/>
        <w:spacing w:after="0" w:line="283" w:lineRule="auto"/>
        <w:tabs>
          <w:tab w:leader="none" w:pos="220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5.4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w:t>
      </w:r>
    </w:p>
    <w:p>
      <w:pPr>
        <w:spacing w:after="0" w:line="3"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305"/>
        <w:spacing w:after="0" w:line="264" w:lineRule="auto"/>
        <w:tabs>
          <w:tab w:leader="none" w:pos="195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all the Buyers and shall not be construed against any Person as the drafter hereof. The headings of this Warrant are for convenience of reference and shall not form part of, or affect the interpretation of, this Warrant.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1305"/>
        <w:spacing w:after="0" w:line="270" w:lineRule="auto"/>
        <w:tabs>
          <w:tab w:leader="none" w:pos="19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77" w:lineRule="exact"/>
        <w:rPr>
          <w:rFonts w:ascii="Arial" w:cs="Arial" w:eastAsia="Arial" w:hAnsi="Arial"/>
          <w:sz w:val="17"/>
          <w:szCs w:val="17"/>
          <w:color w:val="auto"/>
        </w:rPr>
      </w:pPr>
    </w:p>
    <w:p>
      <w:pPr>
        <w:jc w:val="both"/>
        <w:ind w:firstLine="1305"/>
        <w:spacing w:after="0" w:line="272" w:lineRule="auto"/>
        <w:tabs>
          <w:tab w:leader="none" w:pos="2007"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ind w:left="2080" w:hanging="775"/>
        <w:spacing w:after="0"/>
        <w:tabs>
          <w:tab w:leader="none" w:pos="208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10" w:lineRule="exact"/>
        <w:rPr>
          <w:rFonts w:ascii="Arial" w:cs="Arial" w:eastAsia="Arial" w:hAnsi="Arial"/>
          <w:sz w:val="16"/>
          <w:szCs w:val="16"/>
          <w:color w:val="auto"/>
        </w:rPr>
      </w:pPr>
    </w:p>
    <w:p>
      <w:pPr>
        <w:jc w:val="both"/>
        <w:ind w:firstLine="1305"/>
        <w:spacing w:after="0" w:line="271" w:lineRule="auto"/>
        <w:tabs>
          <w:tab w:leader="none" w:pos="1926"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2007"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(as defined in the Securities Purchase Agreement),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20" w:firstLine="1305"/>
        <w:spacing w:after="0" w:line="342" w:lineRule="auto"/>
        <w:tabs>
          <w:tab w:leader="none" w:pos="190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LIMITATIONS OF RIGHTS</w:t>
      </w:r>
      <w:r>
        <w:rPr>
          <w:rFonts w:ascii="Arial" w:cs="Arial" w:eastAsia="Arial" w:hAnsi="Arial"/>
          <w:sz w:val="16"/>
          <w:szCs w:val="16"/>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23" w:lineRule="exact"/>
        <w:rPr>
          <w:rFonts w:ascii="Arial" w:cs="Arial" w:eastAsia="Arial" w:hAnsi="Arial"/>
          <w:sz w:val="16"/>
          <w:szCs w:val="16"/>
          <w:color w:val="auto"/>
        </w:rPr>
      </w:pPr>
    </w:p>
    <w:p>
      <w:pPr>
        <w:ind w:left="1920" w:hanging="635"/>
        <w:spacing w:after="0"/>
        <w:tabs>
          <w:tab w:leader="none" w:pos="19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2040" w:hanging="237"/>
        <w:spacing w:after="0"/>
        <w:tabs>
          <w:tab w:leader="none" w:pos="2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0" w:firstLine="1823"/>
        <w:spacing w:after="0" w:line="282" w:lineRule="auto"/>
        <w:tabs>
          <w:tab w:leader="none" w:pos="206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left="-20" w:firstLine="1823"/>
        <w:spacing w:after="0" w:line="274" w:lineRule="auto"/>
        <w:tabs>
          <w:tab w:leader="none" w:pos="20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73" w:lineRule="exact"/>
        <w:rPr>
          <w:rFonts w:ascii="Arial" w:cs="Arial" w:eastAsia="Arial" w:hAnsi="Arial"/>
          <w:sz w:val="17"/>
          <w:szCs w:val="17"/>
          <w:color w:val="auto"/>
        </w:rPr>
      </w:pPr>
    </w:p>
    <w:p>
      <w:pPr>
        <w:jc w:val="both"/>
        <w:ind w:left="-20" w:firstLine="1823"/>
        <w:spacing w:after="0" w:line="290" w:lineRule="auto"/>
        <w:tabs>
          <w:tab w:leader="none" w:pos="2050" w:val="left"/>
        </w:tabs>
        <w:numPr>
          <w:ilvl w:val="1"/>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59" w:lineRule="exact"/>
        <w:rPr>
          <w:rFonts w:ascii="Arial" w:cs="Arial" w:eastAsia="Arial" w:hAnsi="Arial"/>
          <w:sz w:val="16"/>
          <w:szCs w:val="16"/>
          <w:color w:val="auto"/>
        </w:rPr>
      </w:pPr>
    </w:p>
    <w:p>
      <w:pPr>
        <w:jc w:val="both"/>
        <w:ind w:left="-20" w:firstLine="1823"/>
        <w:spacing w:after="0" w:line="254" w:lineRule="auto"/>
        <w:tabs>
          <w:tab w:leader="none" w:pos="205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Black Scholes Value</w:t>
      </w:r>
      <w:r>
        <w:rPr>
          <w:rFonts w:ascii="Arial" w:cs="Arial" w:eastAsia="Arial" w:hAnsi="Arial"/>
          <w:sz w:val="18"/>
          <w:szCs w:val="18"/>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189" w:lineRule="exact"/>
        <w:rPr>
          <w:rFonts w:ascii="Arial" w:cs="Arial" w:eastAsia="Arial" w:hAnsi="Arial"/>
          <w:sz w:val="18"/>
          <w:szCs w:val="18"/>
          <w:color w:val="auto"/>
        </w:rPr>
      </w:pPr>
    </w:p>
    <w:p>
      <w:pPr>
        <w:ind w:left="2020" w:hanging="217"/>
        <w:spacing w:after="0"/>
        <w:tabs>
          <w:tab w:leader="none" w:pos="2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20" w:firstLine="1823"/>
        <w:spacing w:after="0" w:line="313" w:lineRule="auto"/>
        <w:tabs>
          <w:tab w:leader="none" w:pos="2050" w:val="left"/>
        </w:tabs>
        <w:numPr>
          <w:ilvl w:val="1"/>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1" w:name="page92"/>
    <w:bookmarkEnd w:id="91"/>
    <w:p>
      <w:pPr>
        <w:jc w:val="both"/>
        <w:ind w:left="-8" w:firstLine="1823"/>
        <w:spacing w:after="0" w:line="268" w:lineRule="auto"/>
        <w:tabs>
          <w:tab w:leader="none" w:pos="2062" w:val="left"/>
        </w:tabs>
        <w:numPr>
          <w:ilvl w:val="1"/>
          <w:numId w:val="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13. All such determinations to be appropriately adjusted for any stock dividend, stock split, stock combination, reclassification or other similar transaction during the applicable calculation period.</w:t>
      </w:r>
    </w:p>
    <w:p>
      <w:pPr>
        <w:spacing w:after="0" w:line="185" w:lineRule="exact"/>
        <w:rPr>
          <w:rFonts w:ascii="Arial" w:cs="Arial" w:eastAsia="Arial" w:hAnsi="Arial"/>
          <w:sz w:val="17"/>
          <w:szCs w:val="17"/>
          <w:color w:val="auto"/>
        </w:rPr>
      </w:pPr>
    </w:p>
    <w:p>
      <w:pPr>
        <w:ind w:left="-8" w:firstLine="1823"/>
        <w:spacing w:after="0" w:line="282" w:lineRule="auto"/>
        <w:tabs>
          <w:tab w:leader="none" w:pos="2022"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jc w:val="both"/>
        <w:ind w:left="-8" w:firstLine="1823"/>
        <w:spacing w:after="0" w:line="289" w:lineRule="auto"/>
        <w:tabs>
          <w:tab w:leader="none" w:pos="2022" w:val="left"/>
        </w:tabs>
        <w:numPr>
          <w:ilvl w:val="1"/>
          <w:numId w:val="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8" w:lineRule="exact"/>
        <w:rPr>
          <w:rFonts w:ascii="Arial" w:cs="Arial" w:eastAsia="Arial" w:hAnsi="Arial"/>
          <w:sz w:val="17"/>
          <w:szCs w:val="17"/>
          <w:color w:val="auto"/>
        </w:rPr>
      </w:pPr>
    </w:p>
    <w:p>
      <w:pPr>
        <w:ind w:left="-8" w:right="20" w:firstLine="1823"/>
        <w:spacing w:after="0" w:line="282" w:lineRule="auto"/>
        <w:tabs>
          <w:tab w:leader="none" w:pos="2062"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left="-8" w:right="20" w:firstLine="1823"/>
        <w:spacing w:after="0" w:line="282" w:lineRule="auto"/>
        <w:tabs>
          <w:tab w:leader="none" w:pos="20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jc w:val="both"/>
        <w:ind w:left="-8" w:firstLine="1823"/>
        <w:spacing w:after="0" w:line="289" w:lineRule="auto"/>
        <w:tabs>
          <w:tab w:leader="none" w:pos="2125"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“Equity Conditions” </w:t>
      </w:r>
      <w:r>
        <w:rPr>
          <w:rFonts w:ascii="Arial" w:cs="Arial" w:eastAsia="Arial" w:hAnsi="Arial"/>
          <w:sz w:val="16"/>
          <w:szCs w:val="16"/>
          <w:color w:val="auto"/>
        </w:rPr>
        <w:t>means, during the period in question, (a) Company shall have duly honored all exercises scheduled to</w:t>
      </w:r>
      <w:r>
        <w:rPr>
          <w:rFonts w:ascii="Arial" w:cs="Arial" w:eastAsia="Arial" w:hAnsi="Arial"/>
          <w:sz w:val="16"/>
          <w:szCs w:val="16"/>
          <w:b w:val="1"/>
          <w:bCs w:val="1"/>
          <w:color w:val="auto"/>
        </w:rPr>
        <w:t xml:space="preserve"> </w:t>
      </w:r>
      <w:r>
        <w:rPr>
          <w:rFonts w:ascii="Arial" w:cs="Arial" w:eastAsia="Arial" w:hAnsi="Arial"/>
          <w:sz w:val="16"/>
          <w:szCs w:val="16"/>
          <w:color w:val="auto"/>
        </w:rPr>
        <w:t>occur or occurring by virtue of one or more Exercise Notices of the applicable Holder on or prior to the dates so requested or required, if any, (b) Company shall have paid all liquidated damages and other amounts owing to the applicable Holder in respect of this Warrant and the other Transaction Documents, (c)</w:t>
      </w:r>
    </w:p>
    <w:p>
      <w:pPr>
        <w:spacing w:after="0" w:line="1" w:lineRule="exact"/>
        <w:rPr>
          <w:rFonts w:ascii="Arial" w:cs="Arial" w:eastAsia="Arial" w:hAnsi="Arial"/>
          <w:sz w:val="16"/>
          <w:szCs w:val="16"/>
          <w:color w:val="auto"/>
        </w:rPr>
      </w:pPr>
    </w:p>
    <w:p>
      <w:pPr>
        <w:jc w:val="both"/>
        <w:ind w:left="-8" w:firstLine="8"/>
        <w:spacing w:after="0" w:line="267" w:lineRule="auto"/>
        <w:tabs>
          <w:tab w:leader="none" w:pos="216"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there is an effective registration statement pursuant to which the Holders are permitted to utilize the prospectus thereunder to resell all of the Underlying Shares (and Company believes, in good faith, that such effectiveness will continue uninterrupted for the foreseeable future), or (ii) all of the Underlying Shares (and shares issuable in lieu of cash payments of interest) may be resold pursuant to Rule 144 without volume or manner-of-sale restrictions or current public information requirements as confirmed by counsel to Company in a written opinion letter to such effect, addressed and acceptable to the Company’s Transfer Agent and the affected Holders, (d) the Common Stock is trading on the Nasdaq Capital Market and all of the shares issuable pursuant to the Transaction Documents are listed or quoted for trading on such Trading Market (and Company believes, in good faith, that trading of the Common Stock on a Trading Market will continue uninterrupted for the foreseeable future), (e) there is a sufficient number of authorized, but unissued and otherwise unreserved, shares of Common Stock for the issuance of all of the shares then issuable pursuant to the Transaction Documents, (f) an Event of Default has not occurred, whether or not such Event of Default has been cured (other than an Event of Default set forth in clause (xv) of the definition of Event of Default which has been cured), (g) there is no existing event which, with the passage of time or the giving of notice, would constitute an Event of Default, (h) the issuance of the shares in question to the applicable Holder would not exceed the Beneficial Ownership Limitation, (i) there has been no public announcement of a pending or proposed Fundamental Transaction or Change of Control Transaction that has not been consummated, (j) the applicable Holder is not in possession of any information provided by Company that constitutes, or may constitute, material non-public information, (k) Shareholder Approval has been obtained, and (l) a Public Information Failure is not pending.</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92" w:name="page93"/>
    <w:bookmarkEnd w:id="92"/>
    <w:p>
      <w:pPr>
        <w:jc w:val="both"/>
        <w:ind w:left="-20" w:firstLine="1823"/>
        <w:spacing w:after="0" w:line="266" w:lineRule="auto"/>
        <w:tabs>
          <w:tab w:leader="none" w:pos="20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176" w:lineRule="exact"/>
        <w:rPr>
          <w:rFonts w:ascii="Arial" w:cs="Arial" w:eastAsia="Arial" w:hAnsi="Arial"/>
          <w:sz w:val="18"/>
          <w:szCs w:val="18"/>
          <w:color w:val="auto"/>
        </w:rPr>
      </w:pPr>
    </w:p>
    <w:p>
      <w:pPr>
        <w:jc w:val="both"/>
        <w:ind w:left="-20" w:firstLine="1823"/>
        <w:spacing w:after="0" w:line="266" w:lineRule="auto"/>
        <w:tabs>
          <w:tab w:leader="none" w:pos="20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six months after the later of: (i) Initial Effective Date, (ii) the Additional Effective Date if any, (as defined in the Registration Rights Agreement) or (iii) the Initial Exercise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day that is not a Holiday.</w:t>
      </w:r>
    </w:p>
    <w:p>
      <w:pPr>
        <w:spacing w:after="0" w:line="176" w:lineRule="exact"/>
        <w:rPr>
          <w:rFonts w:ascii="Arial" w:cs="Arial" w:eastAsia="Arial" w:hAnsi="Arial"/>
          <w:sz w:val="18"/>
          <w:szCs w:val="18"/>
          <w:color w:val="auto"/>
        </w:rPr>
      </w:pPr>
    </w:p>
    <w:p>
      <w:pPr>
        <w:ind w:left="2060" w:hanging="257"/>
        <w:spacing w:after="0"/>
        <w:tabs>
          <w:tab w:leader="none" w:pos="2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1934 Act and as defined in Rule 13d-5 thereunder.</w:t>
      </w:r>
    </w:p>
    <w:p>
      <w:pPr>
        <w:spacing w:after="0" w:line="236" w:lineRule="exact"/>
        <w:rPr>
          <w:rFonts w:ascii="Arial" w:cs="Arial" w:eastAsia="Arial" w:hAnsi="Arial"/>
          <w:sz w:val="17"/>
          <w:szCs w:val="17"/>
          <w:color w:val="auto"/>
        </w:rPr>
      </w:pPr>
    </w:p>
    <w:p>
      <w:pPr>
        <w:ind w:left="2060" w:hanging="257"/>
        <w:spacing w:after="0"/>
        <w:tabs>
          <w:tab w:leader="none" w:pos="2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48" w:lineRule="exact"/>
        <w:rPr>
          <w:rFonts w:ascii="Arial" w:cs="Arial" w:eastAsia="Arial" w:hAnsi="Arial"/>
          <w:sz w:val="16"/>
          <w:szCs w:val="16"/>
          <w:color w:val="auto"/>
        </w:rPr>
      </w:pPr>
    </w:p>
    <w:p>
      <w:pPr>
        <w:jc w:val="both"/>
        <w:ind w:left="-20" w:firstLine="1823"/>
        <w:spacing w:after="0" w:line="258" w:lineRule="auto"/>
        <w:tabs>
          <w:tab w:leader="none" w:pos="20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Required Holders, any other market, exchange or quotation system), or, if there is more than one such Person or such entity, the Person or such entity designated by the Required Holders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left="-20" w:firstLine="1823"/>
        <w:spacing w:after="0" w:line="282" w:lineRule="auto"/>
        <w:tabs>
          <w:tab w:leader="none" w:pos="20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2020" w:hanging="217"/>
        <w:spacing w:after="0"/>
        <w:tabs>
          <w:tab w:leader="none" w:pos="2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20" w:firstLine="1823"/>
        <w:spacing w:after="0" w:line="282" w:lineRule="auto"/>
        <w:tabs>
          <w:tab w:leader="none" w:pos="20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that certain Registration Rights Agreement dated as of the date of the Securities Purchase Agreement by and among the Company and the Buyers.</w:t>
      </w:r>
    </w:p>
    <w:p>
      <w:pPr>
        <w:spacing w:after="0" w:line="161" w:lineRule="exact"/>
        <w:rPr>
          <w:rFonts w:ascii="Arial" w:cs="Arial" w:eastAsia="Arial" w:hAnsi="Arial"/>
          <w:sz w:val="18"/>
          <w:szCs w:val="18"/>
          <w:color w:val="auto"/>
        </w:rPr>
      </w:pPr>
    </w:p>
    <w:p>
      <w:pPr>
        <w:ind w:left="-20" w:firstLine="1823"/>
        <w:spacing w:after="0" w:line="282" w:lineRule="auto"/>
        <w:tabs>
          <w:tab w:leader="none" w:pos="20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the SPA B Warrants representing at least a majority of the shares of Common Stock underlying the SPA B Warrants then outstanding.</w:t>
      </w:r>
    </w:p>
    <w:p>
      <w:pPr>
        <w:spacing w:after="0" w:line="161" w:lineRule="exact"/>
        <w:rPr>
          <w:rFonts w:ascii="Arial" w:cs="Arial" w:eastAsia="Arial" w:hAnsi="Arial"/>
          <w:sz w:val="18"/>
          <w:szCs w:val="18"/>
          <w:color w:val="auto"/>
        </w:rPr>
      </w:pPr>
    </w:p>
    <w:p>
      <w:pPr>
        <w:ind w:left="2100" w:hanging="297"/>
        <w:spacing w:after="0"/>
        <w:tabs>
          <w:tab w:leader="none" w:pos="2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shall have the meaning set forth in the Securities Purchase Agreement.</w:t>
      </w:r>
    </w:p>
    <w:p>
      <w:pPr>
        <w:spacing w:after="0" w:line="225" w:lineRule="exact"/>
        <w:rPr>
          <w:rFonts w:ascii="Arial" w:cs="Arial" w:eastAsia="Arial" w:hAnsi="Arial"/>
          <w:sz w:val="18"/>
          <w:szCs w:val="18"/>
          <w:color w:val="auto"/>
        </w:rPr>
      </w:pPr>
    </w:p>
    <w:p>
      <w:pPr>
        <w:ind w:left="2100" w:hanging="297"/>
        <w:spacing w:after="0"/>
        <w:tabs>
          <w:tab w:leader="none" w:pos="21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Subject Entity</w:t>
      </w:r>
      <w:r>
        <w:rPr>
          <w:rFonts w:ascii="Arial" w:cs="Arial" w:eastAsia="Arial" w:hAnsi="Arial"/>
          <w:sz w:val="17"/>
          <w:szCs w:val="17"/>
          <w:color w:val="auto"/>
        </w:rPr>
        <w:t>” means any Person, Persons or Group or any Affiliate or associate of any such Person, Persons or Group.</w:t>
      </w:r>
    </w:p>
    <w:p>
      <w:pPr>
        <w:spacing w:after="0" w:line="236" w:lineRule="exact"/>
        <w:rPr>
          <w:rFonts w:ascii="Arial" w:cs="Arial" w:eastAsia="Arial" w:hAnsi="Arial"/>
          <w:sz w:val="17"/>
          <w:szCs w:val="17"/>
          <w:color w:val="auto"/>
        </w:rPr>
      </w:pPr>
    </w:p>
    <w:p>
      <w:pPr>
        <w:jc w:val="both"/>
        <w:ind w:left="-20" w:firstLine="1823"/>
        <w:spacing w:after="0" w:line="266" w:lineRule="auto"/>
        <w:tabs>
          <w:tab w:leader="none" w:pos="20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93" w:name="page94"/>
    <w:bookmarkEnd w:id="93"/>
    <w:p>
      <w:pPr>
        <w:jc w:val="both"/>
        <w:ind w:firstLine="1823"/>
        <w:spacing w:after="0" w:line="298" w:lineRule="auto"/>
        <w:tabs>
          <w:tab w:leader="none" w:pos="2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4" w:lineRule="exact"/>
        <w:rPr>
          <w:sz w:val="20"/>
          <w:szCs w:val="20"/>
          <w:color w:val="auto"/>
        </w:rPr>
      </w:pPr>
    </w:p>
    <w:p>
      <w:pPr>
        <w:jc w:val="both"/>
        <w:ind w:firstLine="1823"/>
        <w:spacing w:after="0" w:line="268" w:lineRule="auto"/>
        <w:tabs>
          <w:tab w:leader="none" w:pos="2185"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420"/>
          </w:cols>
          <w:pgMar w:left="240" w:top="905" w:right="239" w:bottom="1440" w:gutter="0" w:footer="0" w:header="0"/>
        </w:sect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31127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6200" w:space="320"/>
            <w:col w:w="4900"/>
          </w:cols>
          <w:pgMar w:left="240" w:top="905"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the attached Warrant to Purchase Common Stock No. ____ (the “</w:t>
      </w:r>
      <w:r>
        <w:rPr>
          <w:rFonts w:ascii="Arial" w:cs="Arial" w:eastAsia="Arial" w:hAnsi="Arial"/>
          <w:sz w:val="16"/>
          <w:szCs w:val="16"/>
          <w:b w:val="1"/>
          <w:bCs w:val="1"/>
          <w:color w:val="auto"/>
        </w:rPr>
        <w:t>Warrant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840" w:hanging="184"/>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with respect to _________________ Warrant Shares; and/or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_______________ Warrant Shares.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7800" w:type="dxa"/>
            <w:vAlign w:val="bottom"/>
            <w:gridSpan w:val="3"/>
          </w:tcPr>
          <w:p>
            <w:pPr>
              <w:ind w:left="960"/>
              <w:spacing w:after="0"/>
              <w:rPr>
                <w:sz w:val="20"/>
                <w:szCs w:val="20"/>
                <w:color w:val="auto"/>
              </w:rPr>
            </w:pPr>
            <w:r>
              <w:rPr>
                <w:rFonts w:ascii="Arial" w:cs="Arial" w:eastAsia="Arial" w:hAnsi="Arial"/>
                <w:sz w:val="18"/>
                <w:szCs w:val="18"/>
                <w:color w:val="auto"/>
              </w:rPr>
              <w:t>DTC Participant:</w:t>
            </w:r>
          </w:p>
        </w:tc>
      </w:tr>
      <w:tr>
        <w:trPr>
          <w:trHeight w:val="210"/>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ind w:left="960"/>
              <w:spacing w:after="0"/>
              <w:rPr>
                <w:sz w:val="20"/>
                <w:szCs w:val="20"/>
                <w:color w:val="auto"/>
              </w:rPr>
            </w:pPr>
            <w:r>
              <w:rPr>
                <w:rFonts w:ascii="Arial" w:cs="Arial" w:eastAsia="Arial" w:hAnsi="Arial"/>
                <w:sz w:val="18"/>
                <w:szCs w:val="18"/>
                <w:color w:val="auto"/>
              </w:rPr>
              <w:t>DTC Number:</w:t>
            </w:r>
          </w:p>
        </w:tc>
        <w:tc>
          <w:tcPr>
            <w:tcW w:w="4560" w:type="dxa"/>
            <w:vAlign w:val="bottom"/>
            <w:tcBorders>
              <w:top w:val="single" w:sz="8" w:color="auto"/>
              <w:bottom w:val="single" w:sz="8" w:color="auto"/>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ind w:left="960"/>
              <w:spacing w:after="0"/>
              <w:rPr>
                <w:sz w:val="20"/>
                <w:szCs w:val="20"/>
                <w:color w:val="auto"/>
              </w:rPr>
            </w:pPr>
            <w:r>
              <w:rPr>
                <w:rFonts w:ascii="Arial" w:cs="Arial" w:eastAsia="Arial" w:hAnsi="Arial"/>
                <w:sz w:val="18"/>
                <w:szCs w:val="18"/>
                <w:color w:val="auto"/>
              </w:rPr>
              <w:t>Account Name:</w:t>
            </w:r>
          </w:p>
        </w:tc>
        <w:tc>
          <w:tcPr>
            <w:tcW w:w="4560" w:type="dxa"/>
            <w:vAlign w:val="bottom"/>
            <w:tcBorders>
              <w:bottom w:val="single" w:sz="8" w:color="auto"/>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ind w:left="960"/>
              <w:spacing w:after="0"/>
              <w:rPr>
                <w:sz w:val="20"/>
                <w:szCs w:val="20"/>
                <w:color w:val="auto"/>
              </w:rPr>
            </w:pPr>
            <w:r>
              <w:rPr>
                <w:rFonts w:ascii="Arial" w:cs="Arial" w:eastAsia="Arial" w:hAnsi="Arial"/>
                <w:sz w:val="18"/>
                <w:szCs w:val="18"/>
                <w:color w:val="auto"/>
              </w:rPr>
              <w:t>Account Number:</w:t>
            </w:r>
          </w:p>
        </w:tc>
        <w:tc>
          <w:tcPr>
            <w:tcW w:w="4560" w:type="dxa"/>
            <w:vAlign w:val="bottom"/>
            <w:tcBorders>
              <w:bottom w:val="single" w:sz="8" w:color="auto"/>
            </w:tcBorders>
          </w:tcPr>
          <w:p>
            <w:pPr>
              <w:spacing w:after="0"/>
              <w:rPr>
                <w:sz w:val="18"/>
                <w:szCs w:val="18"/>
                <w:color w:val="auto"/>
              </w:rPr>
            </w:pPr>
          </w:p>
        </w:tc>
      </w:tr>
      <w:tr>
        <w:trPr>
          <w:trHeight w:val="426"/>
        </w:trPr>
        <w:tc>
          <w:tcPr>
            <w:tcW w:w="36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7800" w:type="dxa"/>
            <w:vAlign w:val="bottom"/>
            <w:gridSpan w:val="3"/>
          </w:tcPr>
          <w:p>
            <w:pPr>
              <w:ind w:left="960"/>
              <w:spacing w:after="0"/>
              <w:rPr>
                <w:sz w:val="20"/>
                <w:szCs w:val="20"/>
                <w:color w:val="auto"/>
              </w:rPr>
            </w:pPr>
            <w:r>
              <w:rPr>
                <w:rFonts w:ascii="Arial" w:cs="Arial" w:eastAsia="Arial" w:hAnsi="Arial"/>
                <w:sz w:val="18"/>
                <w:szCs w:val="18"/>
                <w:color w:val="auto"/>
              </w:rPr>
              <w:t>Address:</w:t>
            </w:r>
          </w:p>
        </w:tc>
      </w:tr>
      <w:tr>
        <w:trPr>
          <w:trHeight w:val="864"/>
        </w:trPr>
        <w:tc>
          <w:tcPr>
            <w:tcW w:w="3620" w:type="dxa"/>
            <w:vAlign w:val="bottom"/>
            <w:gridSpan w:val="2"/>
          </w:tcPr>
          <w:p>
            <w:pPr>
              <w:spacing w:after="0"/>
              <w:rPr>
                <w:sz w:val="20"/>
                <w:szCs w:val="20"/>
                <w:color w:val="auto"/>
              </w:rPr>
            </w:pPr>
            <w:r>
              <w:rPr>
                <w:rFonts w:ascii="Arial" w:cs="Arial" w:eastAsia="Arial" w:hAnsi="Arial"/>
                <w:sz w:val="18"/>
                <w:szCs w:val="18"/>
                <w:color w:val="auto"/>
              </w:rPr>
              <w:t>Date: _______________ __, ______</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Name of Registered Holder</w:t>
            </w:r>
          </w:p>
        </w:tc>
        <w:tc>
          <w:tcPr>
            <w:tcW w:w="9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By:</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960" w:type="dxa"/>
            <w:vAlign w:val="bottom"/>
            <w:tcBorders>
              <w:top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Title: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ROCKMORE INVESTMENT MASTER FUND LTD.</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$6,000,000</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680" w:type="dxa"/>
            <w:vAlign w:val="bottom"/>
          </w:tcPr>
          <w:p>
            <w:pPr>
              <w:ind w:left="2800"/>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0" w:type="dxa"/>
            <w:vAlign w:val="bottom"/>
            <w:gridSpan w:val="2"/>
          </w:tcPr>
          <w:p>
            <w:pPr>
              <w:ind w:left="19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gridSpan w:val="2"/>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DEFINITIONS AND PRINCIPLES OF CONSTRUCTION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1.01</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1.02</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Principles of Construction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1.03</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Accounting Terms; GAAP</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gridSpan w:val="2"/>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AMOUNT AND TERMS OF THE LOAN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2.01</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2.02</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2.03</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the Loan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2.04</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Treatment and Application of Payments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2.05</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 of Proceeds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2.06</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Guarantee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2.07</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Agreement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2.08</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2.09</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gridSpan w:val="2"/>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3. INTEREST, FEES, ETC</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3.01</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and Payment Dates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3.02</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3.03</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Net Payments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3.04</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Lender’s Records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gridSpan w:val="2"/>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4. REPRESENTATIONS AND WARRANTIES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4.01</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Subsidiaries; Capitalization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4.02</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Existence and Power</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4.03</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Authority and Execution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4.04</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Binding Agreement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4.05</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Absence of Defaults; No Conflicting Agreements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4.06</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Consents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4.07</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4.08</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Compliance with Applicable Laws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4.09</w:t>
            </w: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60" w:type="dxa"/>
            <w:vAlign w:val="bottom"/>
            <w:gridSpan w:val="2"/>
          </w:tcPr>
          <w:p>
            <w:pPr>
              <w:ind w:left="20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4.10</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Statements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4.11</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Company Status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4.12</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Reserve Regulations; Use of Loan Proceeds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4.13</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4.14</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4.15</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Matters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4.16</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Interests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4.17</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Intellectual Property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4.18</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 Misrepresentation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CONDITIONS TO LOAN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5.01</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Conditions Precedent to Effectiveness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6. AFFIRMATIVE COVENANTS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6.01</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and Other Information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6.02</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Existence, Maintenance of Properties, Insurance, Licenses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6.03</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Taxes, Indebtedness, etc</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6.04</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of Records; Inspection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6.05</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 of Proceeds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6.06</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[Intentionally Left Blank]</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6.07</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Matters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6.08</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Subsidiaries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6.09</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Funding Call</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6.10</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Further Assurances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7. NEGATIVE COVENANTS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7.01</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Indebtedness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7.02</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Liens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7.03</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Assets, Nature of Business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7.04</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7.05</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Compliance with ERISA</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7.06</w:t>
            </w: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Payments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500" w:type="dxa"/>
            <w:vAlign w:val="bottom"/>
            <w:gridSpan w:val="2"/>
          </w:tcPr>
          <w:p>
            <w:pPr>
              <w:ind w:left="17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7.07</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Fundamental Changes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7.08</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Transactions with Affiliates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7.09</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Covenants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7.10</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Amendment of Operating Agreement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ARTICLE 8. DEFAULT</w:t>
            </w:r>
          </w:p>
        </w:tc>
        <w:tc>
          <w:tcPr>
            <w:tcW w:w="690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8.01</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Events of Default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8.02</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Remedies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9. OTHER PROVISIONS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9.01</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Modifications; Consents and Waivers; Entire Agreement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9.02</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9.03</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Successors and Assigns; Participation; Pledge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9.04</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Waiver; Cumulative Remedies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9.05</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Survival of Representations and Warranties and Certain Obligations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9.06</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Costs; Expenses and Taxes; Indemnification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9.07</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Right of Set-Off</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9.08</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Execution in Counterparts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9.09</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GOVERNING LAW</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9.10</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JURISDICTION,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9.11</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WAIVER OF TRIAL BY JURY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9.12</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Limitation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9.13</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Marshaling; Payments Set Aside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9.14</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Third Parties Benefited</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9.15</w:t>
            </w:r>
          </w:p>
        </w:tc>
        <w:tc>
          <w:tcPr>
            <w:tcW w:w="6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USA Patriot Act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CREDIT AGREEMENT, dated as of April 22, 2015, by and between XPRESSPA HOLDINGS, LLC, a Delaware limited liability company (the </w:t>
      </w:r>
      <w:r>
        <w:rPr>
          <w:rFonts w:ascii="Arial" w:cs="Arial" w:eastAsia="Arial" w:hAnsi="Arial"/>
          <w:sz w:val="18"/>
          <w:szCs w:val="18"/>
          <w:i w:val="1"/>
          <w:iCs w:val="1"/>
          <w:color w:val="auto"/>
        </w:rPr>
        <w:t xml:space="preserve">“Borrower’) </w:t>
      </w:r>
      <w:r>
        <w:rPr>
          <w:rFonts w:ascii="Arial" w:cs="Arial" w:eastAsia="Arial" w:hAnsi="Arial"/>
          <w:sz w:val="18"/>
          <w:szCs w:val="18"/>
          <w:color w:val="auto"/>
        </w:rPr>
        <w:t>and ROCKMORE INVESTMENT MASTER FUND LTD. (the</w:t>
      </w:r>
      <w:r>
        <w:rPr>
          <w:rFonts w:ascii="Arial" w:cs="Arial" w:eastAsia="Arial" w:hAnsi="Arial"/>
          <w:sz w:val="18"/>
          <w:szCs w:val="18"/>
          <w:i w:val="1"/>
          <w:iCs w:val="1"/>
          <w:color w:val="auto"/>
        </w:rPr>
        <w:t xml:space="preserve"> “Lender”).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desires to establish a $6,000,000 credit facility with the Lender on the terms and conditions set forth herein and the Lender is willing to provide such credit facility. Accordingly, the Borrower and the Lender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b w:val="1"/>
          <w:bCs w:val="1"/>
          <w:u w:val="single" w:color="auto"/>
          <w:color w:val="auto"/>
        </w:rPr>
        <w:t>DEFINITIONS AND PRINCIPLES OF CONSTRUCTION</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terms defined elsewhere in the Loan Documents, the following terms shall have the following meanings: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“Accountants”: </w:t>
      </w:r>
      <w:r>
        <w:rPr>
          <w:rFonts w:ascii="Arial" w:cs="Arial" w:eastAsia="Arial" w:hAnsi="Arial"/>
          <w:sz w:val="18"/>
          <w:szCs w:val="18"/>
          <w:color w:val="auto"/>
        </w:rPr>
        <w:t>BDO USA, LLP (or any successor thereto), or such other firm of certified public accountants of recognized national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by the Borrower and reasonably satisfactory to the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“Accrued Monthly Interest”: </w:t>
      </w:r>
      <w:r>
        <w:rPr>
          <w:rFonts w:ascii="Arial" w:cs="Arial" w:eastAsia="Arial" w:hAnsi="Arial"/>
          <w:sz w:val="18"/>
          <w:szCs w:val="18"/>
          <w:color w:val="auto"/>
        </w:rPr>
        <w:t>as defined in Section 3.01(a)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“Active Domestic Subsidiary”: </w:t>
      </w:r>
      <w:r>
        <w:rPr>
          <w:rFonts w:ascii="Arial" w:cs="Arial" w:eastAsia="Arial" w:hAnsi="Arial"/>
          <w:sz w:val="18"/>
          <w:szCs w:val="18"/>
          <w:color w:val="auto"/>
        </w:rPr>
        <w:t>any Domestic Subsidiary that (i) is or will be a tenant under an airport concession lease agreement, or is operating or</w:t>
      </w:r>
      <w:r>
        <w:rPr>
          <w:rFonts w:ascii="Arial" w:cs="Arial" w:eastAsia="Arial" w:hAnsi="Arial"/>
          <w:sz w:val="18"/>
          <w:szCs w:val="18"/>
          <w:i w:val="1"/>
          <w:iCs w:val="1"/>
          <w:color w:val="auto"/>
        </w:rPr>
        <w:t xml:space="preserve"> </w:t>
      </w:r>
      <w:r>
        <w:rPr>
          <w:rFonts w:ascii="Arial" w:cs="Arial" w:eastAsia="Arial" w:hAnsi="Arial"/>
          <w:sz w:val="18"/>
          <w:szCs w:val="18"/>
          <w:color w:val="auto"/>
        </w:rPr>
        <w:t>will operate a retail establishment, relating to the sale of health and wellness products or services or (ii) is or will be engaged in activities relating to the sale of health and wellness products or services.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as to any Person, any other Person which, directly or indirectly, is in control of, is controlled by, or is under common control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 For purposes of this definition, control of a Person shall mean the power, direct or indirect, (i) to vote 25% or more of the securities or other interests having ordinary voting power for the election of directors or other Managing Persons thereof or (ii) to direct or cause the direction of the management and policies of such Person, whether by contract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this Credit Agreement, as the same may be amended,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“Assignee”: </w:t>
      </w:r>
      <w:r>
        <w:rPr>
          <w:rFonts w:ascii="Arial" w:cs="Arial" w:eastAsia="Arial" w:hAnsi="Arial"/>
          <w:sz w:val="18"/>
          <w:szCs w:val="18"/>
          <w:color w:val="auto"/>
        </w:rPr>
        <w:t>as defined in Section 9.03(b).</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“Authorized Signatory”: </w:t>
      </w:r>
      <w:r>
        <w:rPr>
          <w:rFonts w:ascii="Arial" w:cs="Arial" w:eastAsia="Arial" w:hAnsi="Arial"/>
          <w:sz w:val="18"/>
          <w:szCs w:val="18"/>
          <w:color w:val="auto"/>
        </w:rPr>
        <w:t>as to (i) any Person which is a corporation, the chairman of the board, the president, any vice president,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any other officer (acceptable to the Lender) of such Person and (ii) any Person which is not a corporation, the general partner or other Managing Person thereof or a duly authorized representative of such Managing Person (acceptable to the Lender).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Monthly Interest”: </w:t>
      </w:r>
      <w:r>
        <w:rPr>
          <w:rFonts w:ascii="Arial" w:cs="Arial" w:eastAsia="Arial" w:hAnsi="Arial"/>
          <w:sz w:val="18"/>
          <w:szCs w:val="18"/>
          <w:color w:val="auto"/>
        </w:rPr>
        <w:t>as defined in Section 3.01(a).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a day other than a Saturday, Sunday or other day on which commercial banks in New York, New York are required or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to close.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as to any Person, all shares, interest, partnership interests, limited liability company membership interests, participations, rights in</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equivalents (however designated) of such Person’s equity (however designated) and any rights, warrants or options exchangeable for or convertible into such shares, interests, participations, rights or other equity.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as used herein, a “Change of Control” shall be deemed to have occurred if, without the prior written consent of the Lender, (i)</w:t>
      </w:r>
      <w:r>
        <w:rPr>
          <w:rFonts w:ascii="Arial" w:cs="Arial" w:eastAsia="Arial" w:hAnsi="Arial"/>
          <w:sz w:val="18"/>
          <w:szCs w:val="18"/>
          <w:i w:val="1"/>
          <w:iCs w:val="1"/>
          <w:color w:val="auto"/>
        </w:rPr>
        <w:t xml:space="preserve"> </w:t>
      </w:r>
      <w:r>
        <w:rPr>
          <w:rFonts w:ascii="Arial" w:cs="Arial" w:eastAsia="Arial" w:hAnsi="Arial"/>
          <w:sz w:val="18"/>
          <w:szCs w:val="18"/>
          <w:color w:val="auto"/>
        </w:rPr>
        <w:t>any Person, or any two or more Persons acting as a group, and all Affiliates of such Person or Persons (a “Group”), who prior to such time beneficially owned less than 50% of the then issued and outstanding limited liability company interests of Borrower shall acquire issued and outstanding limited liability company interests of Borrower in one or more transactions or series of transactions, including by merger, and after such transaction or transactions such Person or Group beneficially owns 50% or more of the then issued and outstanding limited liability company interests of Borrower or (ii) Borrower shall sell all of its assets to any Person which, immediately prior to the time of such transaction, beneficially owned less than a majority of the then outstanding limited liability company interests of Borrower.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“Change in Management”: </w:t>
      </w:r>
      <w:r>
        <w:rPr>
          <w:rFonts w:ascii="Arial" w:cs="Arial" w:eastAsia="Arial" w:hAnsi="Arial"/>
          <w:sz w:val="18"/>
          <w:szCs w:val="18"/>
          <w:color w:val="auto"/>
        </w:rPr>
        <w:t>at any time on or after the Effective Date, without the prior written consent of the Lender, the then current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officer, chief operating officer or president of the Borrower shall cease for any reason whatsoever, including, without limitation, death or disability (as such disability shall be determined in the sole and absolute judgment of the Lender) to be and continuously perform the duties of chief executive officer, chief operating officer or president of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a successor satisfactory to the Lender in its sole discretion shall have become and shall have commenced to perform the duties of chief executive officer, chief operating officer or president of the Borrower within ninety (90) days after such cessation, such successor shall be deemed to be the “current chief executive officer”, “current chief operating officer” or “current president”, as the case may be, for the purposes of this definition.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the Internal Revenue Code of 1986, as amended from time to time, or any successor thereto, and the rules and regulations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as from time to time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the Property in which a security interest has been granted to the Lender pursuant to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“Commitment”: </w:t>
      </w:r>
      <w:r>
        <w:rPr>
          <w:rFonts w:ascii="Arial" w:cs="Arial" w:eastAsia="Arial" w:hAnsi="Arial"/>
          <w:sz w:val="17"/>
          <w:szCs w:val="17"/>
          <w:color w:val="auto"/>
        </w:rPr>
        <w:t>the Lender’s obligation to make the Loan hereunder on the Effective Date, in an aggregate amount equal to the Commitment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“Commitment Amount”: </w:t>
      </w:r>
      <w:r>
        <w:rPr>
          <w:rFonts w:ascii="Arial" w:cs="Arial" w:eastAsia="Arial" w:hAnsi="Arial"/>
          <w:sz w:val="18"/>
          <w:szCs w:val="18"/>
          <w:color w:val="auto"/>
        </w:rPr>
        <w:t>$6,000,000.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“Compliance Certificate”: </w:t>
      </w:r>
      <w:r>
        <w:rPr>
          <w:rFonts w:ascii="Arial" w:cs="Arial" w:eastAsia="Arial" w:hAnsi="Arial"/>
          <w:sz w:val="18"/>
          <w:szCs w:val="18"/>
          <w:color w:val="auto"/>
        </w:rPr>
        <w:t>as defined in clause (d) of Section 6.01.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“Consolidated”: </w:t>
      </w:r>
      <w:r>
        <w:rPr>
          <w:rFonts w:ascii="Arial" w:cs="Arial" w:eastAsia="Arial" w:hAnsi="Arial"/>
          <w:sz w:val="18"/>
          <w:szCs w:val="18"/>
          <w:color w:val="auto"/>
        </w:rPr>
        <w:t>the Borrower and its Subsidiaries on a consolidated basis in accordance with GAAP.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“Control”: </w:t>
      </w:r>
      <w:r>
        <w:rPr>
          <w:rFonts w:ascii="Arial" w:cs="Arial" w:eastAsia="Arial" w:hAnsi="Arial"/>
          <w:sz w:val="17"/>
          <w:szCs w:val="17"/>
          <w:color w:val="auto"/>
        </w:rPr>
        <w:t>the possession, directly or indirectly, of the power to direct or cause the direction of the management or policies of a Person,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the ability to exercise voting power, by contract or otherwise. The terms </w:t>
      </w:r>
      <w:r>
        <w:rPr>
          <w:rFonts w:ascii="Arial" w:cs="Arial" w:eastAsia="Arial" w:hAnsi="Arial"/>
          <w:sz w:val="17"/>
          <w:szCs w:val="17"/>
          <w:i w:val="1"/>
          <w:iCs w:val="1"/>
          <w:color w:val="auto"/>
        </w:rPr>
        <w:t>“Controlling”</w:t>
      </w:r>
      <w:r>
        <w:rPr>
          <w:rFonts w:ascii="Arial" w:cs="Arial" w:eastAsia="Arial" w:hAnsi="Arial"/>
          <w:sz w:val="17"/>
          <w:szCs w:val="17"/>
          <w:color w:val="auto"/>
        </w:rPr>
        <w:t xml:space="preserve"> and </w:t>
      </w:r>
      <w:r>
        <w:rPr>
          <w:rFonts w:ascii="Arial" w:cs="Arial" w:eastAsia="Arial" w:hAnsi="Arial"/>
          <w:sz w:val="17"/>
          <w:szCs w:val="17"/>
          <w:i w:val="1"/>
          <w:iCs w:val="1"/>
          <w:color w:val="auto"/>
        </w:rPr>
        <w:t>“Controlled”</w:t>
      </w:r>
      <w:r>
        <w:rPr>
          <w:rFonts w:ascii="Arial" w:cs="Arial" w:eastAsia="Arial" w:hAnsi="Arial"/>
          <w:sz w:val="17"/>
          <w:szCs w:val="17"/>
          <w:color w:val="auto"/>
        </w:rPr>
        <w:t xml:space="preserve"> have meanings correlative thereto.</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one or more debt instruments issued by the Borrower that is convertible into common units of the Borrower,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such instruments.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“Credit Party”: </w:t>
      </w:r>
      <w:r>
        <w:rPr>
          <w:rFonts w:ascii="Arial" w:cs="Arial" w:eastAsia="Arial" w:hAnsi="Arial"/>
          <w:sz w:val="18"/>
          <w:szCs w:val="18"/>
          <w:color w:val="auto"/>
        </w:rPr>
        <w:t>the Borrower and the Guarantors.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“DBE Equity Issuance”: </w:t>
      </w:r>
      <w:r>
        <w:rPr>
          <w:rFonts w:ascii="Arial" w:cs="Arial" w:eastAsia="Arial" w:hAnsi="Arial"/>
          <w:sz w:val="18"/>
          <w:szCs w:val="18"/>
          <w:color w:val="auto"/>
        </w:rPr>
        <w:t>the issuance of any Capital Stock by any Subsidiary to, or the receipt of any capital contribution by any Subsidiary from, a</w:t>
      </w:r>
      <w:r>
        <w:rPr>
          <w:rFonts w:ascii="Arial" w:cs="Arial" w:eastAsia="Arial" w:hAnsi="Arial"/>
          <w:sz w:val="18"/>
          <w:szCs w:val="18"/>
          <w:i w:val="1"/>
          <w:iCs w:val="1"/>
          <w:color w:val="auto"/>
        </w:rPr>
        <w:t xml:space="preserve"> </w:t>
      </w:r>
      <w:r>
        <w:rPr>
          <w:rFonts w:ascii="Arial" w:cs="Arial" w:eastAsia="Arial" w:hAnsi="Arial"/>
          <w:sz w:val="18"/>
          <w:szCs w:val="18"/>
          <w:color w:val="auto"/>
        </w:rPr>
        <w:t>disadvantaged business enterprise investor in such Subsidiary.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any event or condition which constitutes an Event of Default or that upon notice, lapse of time or both would, unless cured or waived,</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or “$“: lawful money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“Domestic Subsidiary”: </w:t>
      </w:r>
      <w:r>
        <w:rPr>
          <w:rFonts w:ascii="Arial" w:cs="Arial" w:eastAsia="Arial" w:hAnsi="Arial"/>
          <w:sz w:val="17"/>
          <w:szCs w:val="17"/>
          <w:color w:val="auto"/>
        </w:rPr>
        <w:t>any direct or indirect Subsidiary of the Borrower organized under the laws of the United States of America or any State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April 22, 2015.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“Employee Benefit Plan”: </w:t>
      </w:r>
      <w:r>
        <w:rPr>
          <w:rFonts w:ascii="Arial" w:cs="Arial" w:eastAsia="Arial" w:hAnsi="Arial"/>
          <w:sz w:val="18"/>
          <w:szCs w:val="18"/>
          <w:color w:val="auto"/>
        </w:rPr>
        <w:t>an employee benefit plan within the meaning of Section 3(3) of ERISA maintained, sponsored or contributed to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all applicable laws, rules, regulations, codes, ordinances, orders, decrees, judgments, injunctions, notices or binding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the Employee Retirement Income Security Act of 1974, as amended from time to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“ERISA Affiliate”: </w:t>
      </w:r>
      <w:r>
        <w:rPr>
          <w:rFonts w:ascii="Arial" w:cs="Arial" w:eastAsia="Arial" w:hAnsi="Arial"/>
          <w:sz w:val="18"/>
          <w:szCs w:val="18"/>
          <w:color w:val="auto"/>
        </w:rPr>
        <w:t>any trade or business (whether or not incorporated) that, together with the Borrower or any Subsidiary, is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under Section 414(b) or 414(c)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“ERISA Event” </w:t>
      </w:r>
      <w:r>
        <w:rPr>
          <w:rFonts w:ascii="Arial" w:cs="Arial" w:eastAsia="Arial" w:hAnsi="Arial"/>
          <w:sz w:val="18"/>
          <w:szCs w:val="18"/>
          <w:color w:val="auto"/>
        </w:rPr>
        <w:t>means (i) any</w:t>
      </w:r>
      <w:r>
        <w:rPr>
          <w:rFonts w:ascii="Arial" w:cs="Arial" w:eastAsia="Arial" w:hAnsi="Arial"/>
          <w:sz w:val="18"/>
          <w:szCs w:val="18"/>
          <w:i w:val="1"/>
          <w:iCs w:val="1"/>
          <w:color w:val="auto"/>
        </w:rPr>
        <w:t xml:space="preserve"> “reportable event”, </w:t>
      </w:r>
      <w:r>
        <w:rPr>
          <w:rFonts w:ascii="Arial" w:cs="Arial" w:eastAsia="Arial" w:hAnsi="Arial"/>
          <w:sz w:val="18"/>
          <w:szCs w:val="18"/>
          <w:color w:val="auto"/>
        </w:rPr>
        <w:t>as defined in Section 4043 of ERISA or the regulations issued thereunder with respect to a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an event for which the 30-day notice period is waived); (ii) the existence with respect to any Plan of an </w:t>
      </w:r>
      <w:r>
        <w:rPr>
          <w:rFonts w:ascii="Arial" w:cs="Arial" w:eastAsia="Arial" w:hAnsi="Arial"/>
          <w:sz w:val="18"/>
          <w:szCs w:val="18"/>
          <w:i w:val="1"/>
          <w:iCs w:val="1"/>
          <w:color w:val="auto"/>
        </w:rPr>
        <w:t>“accumulated funding deficiency”</w:t>
      </w:r>
      <w:r>
        <w:rPr>
          <w:rFonts w:ascii="Arial" w:cs="Arial" w:eastAsia="Arial" w:hAnsi="Arial"/>
          <w:sz w:val="18"/>
          <w:szCs w:val="18"/>
          <w:color w:val="auto"/>
        </w:rPr>
        <w:t xml:space="preserve"> (as defined in Section 412 of the Code or Section 302 of ERISA), whether or not waived; (iii) the filing pursuant to Section 412(d) of the Code or Section 303(d) of ERISA of an application for a waiver of the minimum funding standard with respect to any Plan; (iv)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jc w:val="both"/>
        <w:spacing w:after="0" w:line="273" w:lineRule="auto"/>
        <w:rPr>
          <w:sz w:val="20"/>
          <w:szCs w:val="20"/>
          <w:color w:val="auto"/>
        </w:rPr>
      </w:pPr>
      <w:r>
        <w:rPr>
          <w:rFonts w:ascii="Arial" w:cs="Arial" w:eastAsia="Arial" w:hAnsi="Arial"/>
          <w:sz w:val="17"/>
          <w:szCs w:val="17"/>
          <w:color w:val="auto"/>
        </w:rPr>
        <w:t>incurrence by the Borrower or any ERISA Affiliate of any liability under Title IV of ERISA with respect to the termination of any Plan; (v) the receipt by the Borrower or any ERISA Affiliate from the PBGC or a plan administrator of any notice relating to an intention to terminate any Plan or Plans or to appoint a trustee to administer any Plan; (vi) the incurrence by the Borrower or any ERISA Affiliate of any liability with respect to the withdrawal or partial withdrawal from any Plan or Multiemployer Plan; or (vii)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any of the events specified in Section 8.01.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“FATCA”: </w:t>
      </w:r>
      <w:r>
        <w:rPr>
          <w:rFonts w:ascii="Arial" w:cs="Arial" w:eastAsia="Arial" w:hAnsi="Arial"/>
          <w:sz w:val="18"/>
          <w:szCs w:val="18"/>
          <w:color w:val="auto"/>
        </w:rPr>
        <w:t>Sections 1471 through 1474 of the Code and any current or future United States Treasury Regulations or official interpretations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any agreement entered into thereunder and any law implementing any applicable intergovernmental agreement entered into in respect thereof, and any related provisions of law, court decisions or administrative guidance.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“Fees”: </w:t>
      </w:r>
      <w:r>
        <w:rPr>
          <w:rFonts w:ascii="Arial" w:cs="Arial" w:eastAsia="Arial" w:hAnsi="Arial"/>
          <w:sz w:val="18"/>
          <w:szCs w:val="18"/>
          <w:color w:val="auto"/>
        </w:rPr>
        <w:t>as defined in Section 2.06(a).</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“Federal Funds Effective Rate”: </w:t>
      </w:r>
      <w:r>
        <w:rPr>
          <w:rFonts w:ascii="Arial" w:cs="Arial" w:eastAsia="Arial" w:hAnsi="Arial"/>
          <w:sz w:val="17"/>
          <w:szCs w:val="17"/>
          <w:color w:val="auto"/>
        </w:rPr>
        <w:t>for any day, a rate per annum (expressed as a decimal, rounded upwards, if necessary, to the next higher 1/100 of</w:t>
      </w:r>
      <w:r>
        <w:rPr>
          <w:rFonts w:ascii="Arial" w:cs="Arial" w:eastAsia="Arial" w:hAnsi="Arial"/>
          <w:sz w:val="17"/>
          <w:szCs w:val="17"/>
          <w:i w:val="1"/>
          <w:iCs w:val="1"/>
          <w:color w:val="auto"/>
        </w:rPr>
        <w:t xml:space="preserve"> </w:t>
      </w:r>
      <w:r>
        <w:rPr>
          <w:rFonts w:ascii="Arial" w:cs="Arial" w:eastAsia="Arial" w:hAnsi="Arial"/>
          <w:sz w:val="17"/>
          <w:szCs w:val="17"/>
          <w:color w:val="auto"/>
        </w:rPr>
        <w:t>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if the day for which such rate is to be determined is not a Business Day, the Federal Funds Effective Rate for such day shall be such rate on such transactions on the next preceding Business Day as so published on the next succeeding Business Day.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as defined in Section 4.10.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“First Year Anniversary Date”: </w:t>
      </w:r>
      <w:r>
        <w:rPr>
          <w:rFonts w:ascii="Arial" w:cs="Arial" w:eastAsia="Arial" w:hAnsi="Arial"/>
          <w:sz w:val="18"/>
          <w:szCs w:val="18"/>
          <w:color w:val="auto"/>
        </w:rPr>
        <w:t>as defined in Section 2.03(a).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“Funding Call”: </w:t>
      </w:r>
      <w:r>
        <w:rPr>
          <w:rFonts w:ascii="Arial" w:cs="Arial" w:eastAsia="Arial" w:hAnsi="Arial"/>
          <w:sz w:val="18"/>
          <w:szCs w:val="18"/>
          <w:color w:val="auto"/>
        </w:rPr>
        <w:t>as defined in Section 6.09.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generally accepted accounting principles set forth in the opinions and pronouncements of the Accounting Principles Board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the government of the United States of America, any other nation or any political subdivision thereof, whether state or</w:t>
      </w:r>
      <w:r>
        <w:rPr>
          <w:rFonts w:ascii="Arial" w:cs="Arial" w:eastAsia="Arial" w:hAnsi="Arial"/>
          <w:sz w:val="18"/>
          <w:szCs w:val="18"/>
          <w:i w:val="1"/>
          <w:iCs w:val="1"/>
          <w:color w:val="auto"/>
        </w:rPr>
        <w:t xml:space="preserve"> </w:t>
      </w:r>
      <w:r>
        <w:rPr>
          <w:rFonts w:ascii="Arial" w:cs="Arial" w:eastAsia="Arial" w:hAnsi="Arial"/>
          <w:sz w:val="18"/>
          <w:szCs w:val="18"/>
          <w:color w:val="auto"/>
        </w:rPr>
        <w:t>local, and any agency, authority, instrumentality, regulatory body, court, central bank or other entity exercising executive, legislative, judicial, taxing, regulatory or administrative powers or functions of or pertaining to government.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the Subsidiary Guarantee.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collectively, the Subsidiary Guarantors.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“Hazardous Materials”: </w:t>
      </w:r>
      <w:r>
        <w:rPr>
          <w:rFonts w:ascii="Arial" w:cs="Arial" w:eastAsia="Arial" w:hAnsi="Arial"/>
          <w:sz w:val="17"/>
          <w:szCs w:val="17"/>
          <w:color w:val="auto"/>
        </w:rPr>
        <w:t>all explosive or radioactive substances or wastes and all hazardous or toxic substances, wastes or other pollutants,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or petroleum distillates, asbestos or asbestos containing materials, polychlorinated biphenyls, radon gas, infectious or medical wastes and all other substances or wastes of any nature (or any extract, component or derivative thereof) regulated pursuant to any Environmental Law, including, but not limited to, (i) those substances, materials, and wastes listed in the United States Department of Transportation Hazardous Materials Table (49 CFR 172.101) or by the Environmental Protection Agency as hazardous substances (40 CFR Part 302) and amendments thereto and replacements thereof and (ii) any substance, pollutant or material defined as, or designated in, any Environmental Law as a “hazardous substance,” “toxic substance,” “hazardous material,” “hazardous waste,” “restricted hazardous waste,” “pollutant,” “toxic pollutant” or words of similar import.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to any Person, at a particular time, all items which constitute, without duplication, (i) indebtedness for borrowed money or the</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purchase price of Property (other than payables incurred in the ordinary course of business), (ii) indebtedness evidenced by notes, bonds, debentures or similar instruments, (iii) obligations with respect to any conditional sale or title retention agreement, (iv) indebtedness arising under acceptance and letter of credit facilities and the amount available to be drawn under all letters of credit issued for the account of such Person, (v) all liabilities secured by any Lien on any Property owned by such Person (other than landlords’, carriers’, warehousemen’s, mechanics’, repairmen’s or other like non-consensual statutory Liens arising in the ordinary course of business with respect to obligations which are not past due), (vi) all guarantees or other liabilities with respect to any Indebtedness of any other Person and (vii) all lease obligations which are required to be capitalized under GAAP.</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“Indemnified Taxes”: </w:t>
      </w:r>
      <w:r>
        <w:rPr>
          <w:rFonts w:ascii="Arial" w:cs="Arial" w:eastAsia="Arial" w:hAnsi="Arial"/>
          <w:sz w:val="17"/>
          <w:szCs w:val="17"/>
          <w:color w:val="auto"/>
        </w:rPr>
        <w:t>as to any Person, any Tax, except (i) a Tax imposed on or measured by the income or profits of such Person; (ii) any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fees or penalties for late payment thereof imposed on such Person; (iii) any U.S. federal withholding tax resulting from a failure by any Person to provide to the Borrower, (A) on or before the date on which such Person becomes a party to the Agreement, a properly completed applicable IRS Form W-9 or W-8 (together with appropriate attachments and, if applicable, a certificate(s) establishing that such Person is entitled to an exemption for portfolio interest under Section 881(c) and/or Section 871(h) or (B) any other documentation prescribed by law or reasonably requested by Borrower, properly completed and executed, as will permit payments made to such Person to be made without or at a reduced rate of withholding; (iv) if such Person is a Lender, U.S. federal withholding Taxes imposed on amounts payable to or for the account of such Lender pursuant to a law in effect on the date on which such Lender becomes a party to this Agreement; and (v) any U.S. federal withholding Taxes imposed under FATCA.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as defined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“Letter of Intent” </w:t>
      </w:r>
      <w:r>
        <w:rPr>
          <w:rFonts w:ascii="Arial" w:cs="Arial" w:eastAsia="Arial" w:hAnsi="Arial"/>
          <w:sz w:val="18"/>
          <w:szCs w:val="18"/>
          <w:color w:val="auto"/>
        </w:rPr>
        <w:t>as defined in Section 3.02.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with respect to any asset, (i) any mortgage, deed of trust, lien (statutory or other), pledge, hypothecation, encumbrance, deposit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preferential arrangement, charge or security interest in, on or of such asset, (ii) the interest of a vendor or a lessor under any conditional sale agreement, capital lease or title retention agreement relating to such asset and (iii) in the case of securities, any purchase option, call or similar right of a third party with respect to such securities.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“Loan Documents”: </w:t>
      </w:r>
      <w:r>
        <w:rPr>
          <w:rFonts w:ascii="Arial" w:cs="Arial" w:eastAsia="Arial" w:hAnsi="Arial"/>
          <w:sz w:val="18"/>
          <w:szCs w:val="18"/>
          <w:color w:val="auto"/>
        </w:rPr>
        <w:t>collectively, this Agreement, the Note, the Guarantee, the Security Agreement, the Warrant and any other document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as defined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“Make Whole Fee”: </w:t>
      </w:r>
      <w:r>
        <w:rPr>
          <w:rFonts w:ascii="Arial" w:cs="Arial" w:eastAsia="Arial" w:hAnsi="Arial"/>
          <w:sz w:val="18"/>
          <w:szCs w:val="18"/>
          <w:color w:val="auto"/>
        </w:rPr>
        <w:t>as defined in Section 2.03(a).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“Management Agreement”: </w:t>
      </w:r>
      <w:r>
        <w:rPr>
          <w:rFonts w:ascii="Arial" w:cs="Arial" w:eastAsia="Arial" w:hAnsi="Arial"/>
          <w:sz w:val="18"/>
          <w:szCs w:val="18"/>
          <w:color w:val="auto"/>
        </w:rPr>
        <w:t>the Management Agreement dated as of February 15, 2012, as amended, restated or otherwise modified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among the Borrower, Mistral Holdings and Mistral Capital Management, LLC.</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“Management Fees”: </w:t>
      </w:r>
      <w:r>
        <w:rPr>
          <w:rFonts w:ascii="Arial" w:cs="Arial" w:eastAsia="Arial" w:hAnsi="Arial"/>
          <w:sz w:val="17"/>
          <w:szCs w:val="17"/>
          <w:color w:val="auto"/>
        </w:rPr>
        <w:t>means all fees, charges and other amounts (including salaries and any other compensation such as bonuses, pensions and profit</w:t>
      </w:r>
      <w:r>
        <w:rPr>
          <w:rFonts w:ascii="Arial" w:cs="Arial" w:eastAsia="Arial" w:hAnsi="Arial"/>
          <w:sz w:val="17"/>
          <w:szCs w:val="17"/>
          <w:i w:val="1"/>
          <w:iCs w:val="1"/>
          <w:color w:val="auto"/>
        </w:rPr>
        <w:t xml:space="preserve"> </w:t>
      </w:r>
      <w:r>
        <w:rPr>
          <w:rFonts w:ascii="Arial" w:cs="Arial" w:eastAsia="Arial" w:hAnsi="Arial"/>
          <w:sz w:val="17"/>
          <w:szCs w:val="17"/>
          <w:color w:val="auto"/>
        </w:rPr>
        <w:t>sharing payments) payable to Mistral Capital Management, LLC pursuant to the Management Agreement, provided, that the foregoing shall not include any expenses that are reimbursable to Mistral Capital Management, LLC in accordance with the Management Agreement.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“Managing Person”: </w:t>
      </w:r>
      <w:r>
        <w:rPr>
          <w:rFonts w:ascii="Arial" w:cs="Arial" w:eastAsia="Arial" w:hAnsi="Arial"/>
          <w:sz w:val="18"/>
          <w:szCs w:val="18"/>
          <w:color w:val="auto"/>
        </w:rPr>
        <w:t>with respect to any Person that is (i) a corporation, its board of directors, (ii) a limited liability company, its board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or members, (iii) a limited partnership, its general partner, (iv) a general partnership or a limited liability partnership, its managing partner or executive committee or (v) any other Person, the managing body thereof or other Person analogous to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“Margin Stock”: </w:t>
      </w:r>
      <w:r>
        <w:rPr>
          <w:rFonts w:ascii="Arial" w:cs="Arial" w:eastAsia="Arial" w:hAnsi="Arial"/>
          <w:sz w:val="18"/>
          <w:szCs w:val="18"/>
          <w:color w:val="auto"/>
        </w:rPr>
        <w:t>any “margin stock”, as defined in Regulation U of the Board of Governors of the Federal Reserve System, as the same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“Massage Envy Transaction”: </w:t>
      </w:r>
      <w:r>
        <w:rPr>
          <w:rFonts w:ascii="Arial" w:cs="Arial" w:eastAsia="Arial" w:hAnsi="Arial"/>
          <w:sz w:val="18"/>
          <w:szCs w:val="18"/>
          <w:color w:val="auto"/>
        </w:rPr>
        <w:t>(i) the acquisition of certain assets of the Borrower and/or its Subsidiaries by Massage Envy Spa, (ii) an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Capital Stock of the Borrower by Massage Envy Spa or (iii) a substantially similar transaction to either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“Material Adverse Change”: </w:t>
      </w:r>
      <w:r>
        <w:rPr>
          <w:rFonts w:ascii="Arial" w:cs="Arial" w:eastAsia="Arial" w:hAnsi="Arial"/>
          <w:sz w:val="17"/>
          <w:szCs w:val="17"/>
          <w:color w:val="auto"/>
        </w:rPr>
        <w:t>any event, development or circumstance that has had or reasonably could be expected to have a Material Adverse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a material adverse effect on (i) the business, assets, operations or condition, financial or otherwise, of the Borrower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taken as a whole, (ii) the ability of the Borrower to perform any of its obligations under any Loan Document or (iii) the rights of or benefits available to the Lender under any Loan Document.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the date occurring on the second anniversary of the Effective Date, or such earlier date on which the outstanding Loan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due and payable, whether by acceleration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“Mistral Holdings”: </w:t>
      </w:r>
      <w:r>
        <w:rPr>
          <w:rFonts w:ascii="Arial" w:cs="Arial" w:eastAsia="Arial" w:hAnsi="Arial"/>
          <w:sz w:val="18"/>
          <w:szCs w:val="18"/>
          <w:color w:val="auto"/>
        </w:rPr>
        <w:t>Mistral Spa Holdings,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as defined in Section 2.02.</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“Obligations”: </w:t>
      </w:r>
      <w:r>
        <w:rPr>
          <w:rFonts w:ascii="Arial" w:cs="Arial" w:eastAsia="Arial" w:hAnsi="Arial"/>
          <w:sz w:val="17"/>
          <w:szCs w:val="17"/>
          <w:color w:val="auto"/>
        </w:rPr>
        <w:t>(i) the due and punctual payment of (A) principal of and premium, if any, and interest (including interest accruing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pendency of any bankruptcy, insolvency, receivership or other similar proceeding, regardless of whether allowed or allowable in such proceeding) on the Loan, when and as due, whether at maturity, by acceleration, upon one or more dates set for prepayment or otherwise, and (B) all other monetary obligations, including fees, commissions,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Borrower or any other Credit Party to the Lender, or that are otherwise payable to the Lender, under this Agreement and the other Loan Documents, and (ii) the due and punctual performance of all covenants, agreements, obligations and liabilities of the Borrower or any other Credit Party under or pursuant to this Agreement and the other Loan Documents.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“Operating Agreement”: </w:t>
      </w:r>
      <w:r>
        <w:rPr>
          <w:rFonts w:ascii="Arial" w:cs="Arial" w:eastAsia="Arial" w:hAnsi="Arial"/>
          <w:sz w:val="18"/>
          <w:szCs w:val="18"/>
          <w:color w:val="auto"/>
        </w:rPr>
        <w:t>the Fourth Amended and Restated Limited Liability Company Operating Agreement of the Borrower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as amended, restated or otherwise modified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“Organizational Documents”: </w:t>
      </w:r>
      <w:r>
        <w:rPr>
          <w:rFonts w:ascii="Arial" w:cs="Arial" w:eastAsia="Arial" w:hAnsi="Arial"/>
          <w:sz w:val="18"/>
          <w:szCs w:val="18"/>
          <w:color w:val="auto"/>
        </w:rPr>
        <w:t>as to any Person which is (i) a corporation, the certificate or articles of incorporation and by-laws of such Person, (ii)</w:t>
      </w:r>
      <w:r>
        <w:rPr>
          <w:rFonts w:ascii="Arial" w:cs="Arial" w:eastAsia="Arial" w:hAnsi="Arial"/>
          <w:sz w:val="18"/>
          <w:szCs w:val="18"/>
          <w:i w:val="1"/>
          <w:iCs w:val="1"/>
          <w:color w:val="auto"/>
        </w:rPr>
        <w:t xml:space="preserve"> </w:t>
      </w:r>
      <w:r>
        <w:rPr>
          <w:rFonts w:ascii="Arial" w:cs="Arial" w:eastAsia="Arial" w:hAnsi="Arial"/>
          <w:sz w:val="18"/>
          <w:szCs w:val="18"/>
          <w:color w:val="auto"/>
        </w:rPr>
        <w:t>a limited liability company, the certificate of formation or articles of organization and the limited liability company agreement or similar agreement of such Person, (iii) a partnership, the partnership agreement or similar agreement of such Person, or (iv) any other form of entity or organization, the organizational documents analogous to the foregoing.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Taxes”: </w:t>
      </w:r>
      <w:r>
        <w:rPr>
          <w:rFonts w:ascii="Arial" w:cs="Arial" w:eastAsia="Arial" w:hAnsi="Arial"/>
          <w:sz w:val="18"/>
          <w:szCs w:val="18"/>
          <w:color w:val="auto"/>
        </w:rPr>
        <w:t>any and all current or future stamp or documentary taxes or any other excise or property taxes, charges or similar levies that arise</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payment made hereunder or from the execution, delivery, registration or enforcement of, or any amendment, supplement or modification of, or any waiver or consent under or in respect of, the Loan Documents or otherwise with respect to, the Loan Documents.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“PBGC’: </w:t>
      </w:r>
      <w:r>
        <w:rPr>
          <w:rFonts w:ascii="Arial" w:cs="Arial" w:eastAsia="Arial" w:hAnsi="Arial"/>
          <w:sz w:val="17"/>
          <w:szCs w:val="17"/>
          <w:color w:val="auto"/>
        </w:rPr>
        <w:t>the Pension Benefit Guaranty Corporation referred to and defined in ERISA and any successor entity performing similar functions.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Liens”: </w:t>
      </w:r>
      <w:r>
        <w:rPr>
          <w:rFonts w:ascii="Arial" w:cs="Arial" w:eastAsia="Arial" w:hAnsi="Arial"/>
          <w:sz w:val="18"/>
          <w:szCs w:val="18"/>
          <w:color w:val="auto"/>
        </w:rPr>
        <w:t>as defined in Section 7.02.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any natural person, corporation, limited liability company, trust, joint venture, association, company, partnership, Governmental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any employee pension benefit plan (other than a Multiemployer Plan) subject to the provisions of Title IV of ERISA or Section 412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or Section 302 of ERISA, and in respect of which the Borrower, any Subsidiary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all types of real, personal, tangible, intangible or mixed property.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“Regulation T”: </w:t>
      </w:r>
      <w:r>
        <w:rPr>
          <w:rFonts w:ascii="Arial" w:cs="Arial" w:eastAsia="Arial" w:hAnsi="Arial"/>
          <w:sz w:val="18"/>
          <w:szCs w:val="18"/>
          <w:color w:val="auto"/>
        </w:rPr>
        <w:t>Regulation T of the Board of Governors of the Federal Reserve System of the United States of America as from time to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all official rulings and interpretations thereunder or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“Regulation U”: </w:t>
      </w:r>
      <w:r>
        <w:rPr>
          <w:rFonts w:ascii="Arial" w:cs="Arial" w:eastAsia="Arial" w:hAnsi="Arial"/>
          <w:sz w:val="18"/>
          <w:szCs w:val="18"/>
          <w:color w:val="auto"/>
        </w:rPr>
        <w:t>Regulation U of the Board of Governors of the Federal Reserve System of the United States of America as from time to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“Regulation X’: </w:t>
      </w:r>
      <w:r>
        <w:rPr>
          <w:rFonts w:ascii="Arial" w:cs="Arial" w:eastAsia="Arial" w:hAnsi="Arial"/>
          <w:sz w:val="18"/>
          <w:szCs w:val="18"/>
          <w:color w:val="auto"/>
        </w:rPr>
        <w:t>Regulation X of the Board of Governors of the Federal Reserve System of the United States of America as from time to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all official rulings and interpretations thereunder or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revenues, of Borrower and its Subsidiaries on a Consolidated basis, in accordance with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Standard &amp; Poor’s Ratings Group,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“Security Agreement”: </w:t>
      </w:r>
      <w:r>
        <w:rPr>
          <w:rFonts w:ascii="Arial" w:cs="Arial" w:eastAsia="Arial" w:hAnsi="Arial"/>
          <w:sz w:val="18"/>
          <w:szCs w:val="18"/>
          <w:color w:val="auto"/>
        </w:rPr>
        <w:t>as defined in Section 2.07.</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any corporation or other Person, at least a majority of the outstanding Capital Stock of which is owned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Guarantee”: </w:t>
      </w:r>
      <w:r>
        <w:rPr>
          <w:rFonts w:ascii="Arial" w:cs="Arial" w:eastAsia="Arial" w:hAnsi="Arial"/>
          <w:sz w:val="18"/>
          <w:szCs w:val="18"/>
          <w:color w:val="auto"/>
        </w:rPr>
        <w:t>as defined in Section 2.08.</w:t>
      </w:r>
      <w:r>
        <w:rPr>
          <w:rFonts w:ascii="Arial" w:cs="Arial" w:eastAsia="Arial" w:hAnsi="Arial"/>
          <w:sz w:val="18"/>
          <w:szCs w:val="18"/>
          <w:i w:val="1"/>
          <w:iCs w:val="1"/>
          <w:color w:val="auto"/>
        </w:rPr>
        <w:t xml:space="preserve"> “Subsidiary Guarantors”: </w:t>
      </w:r>
      <w:r>
        <w:rPr>
          <w:rFonts w:ascii="Arial" w:cs="Arial" w:eastAsia="Arial" w:hAnsi="Arial"/>
          <w:sz w:val="18"/>
          <w:szCs w:val="18"/>
          <w:color w:val="auto"/>
        </w:rPr>
        <w:t>as defined in Section 2.08.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any and all current or future taxes, levies, imposts, duties, deductions, charges or withholdings imposed by any Governmental Authority.</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“USA Patriot Act”: </w:t>
      </w:r>
      <w:r>
        <w:rPr>
          <w:rFonts w:ascii="Arial" w:cs="Arial" w:eastAsia="Arial" w:hAnsi="Arial"/>
          <w:sz w:val="18"/>
          <w:szCs w:val="18"/>
          <w:color w:val="auto"/>
        </w:rPr>
        <w:t>the Uniting and Strengthening America by Providing Appropriate Tools Required to Intercept and Obstruct Terrorism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2001,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“Warrant”: </w:t>
      </w:r>
      <w:r>
        <w:rPr>
          <w:rFonts w:ascii="Arial" w:cs="Arial" w:eastAsia="Arial" w:hAnsi="Arial"/>
          <w:sz w:val="18"/>
          <w:szCs w:val="18"/>
          <w:color w:val="auto"/>
        </w:rPr>
        <w:t>as defined in Section 2.08.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liability to a Multiemployer Plan as a result of a complete or partial withdrawal from such Multiemployer Plan,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are defined in Part I of Subtitle E of Title IV of ERISA.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left="720"/>
        <w:spacing w:after="0"/>
        <w:tabs>
          <w:tab w:leader="none" w:pos="18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Principles of Construction</w:t>
      </w:r>
    </w:p>
    <w:p>
      <w:pPr>
        <w:spacing w:after="0" w:line="225" w:lineRule="exact"/>
        <w:rPr>
          <w:sz w:val="20"/>
          <w:szCs w:val="20"/>
          <w:color w:val="auto"/>
        </w:rPr>
      </w:pPr>
    </w:p>
    <w:p>
      <w:pPr>
        <w:jc w:val="both"/>
        <w:ind w:left="60" w:firstLine="648"/>
        <w:spacing w:after="0" w:line="269" w:lineRule="auto"/>
        <w:rPr>
          <w:sz w:val="20"/>
          <w:szCs w:val="20"/>
          <w:color w:val="auto"/>
        </w:rPr>
      </w:pPr>
      <w:r>
        <w:rPr>
          <w:rFonts w:ascii="Arial" w:cs="Arial" w:eastAsia="Arial" w:hAnsi="Arial"/>
          <w:sz w:val="17"/>
          <w:szCs w:val="17"/>
          <w:color w:val="auto"/>
        </w:rPr>
        <w:t xml:space="preserve">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i w:val="1"/>
          <w:iCs w:val="1"/>
          <w:color w:val="auto"/>
        </w:rPr>
        <w:t>“include”, “includes”</w:t>
      </w:r>
      <w:r>
        <w:rPr>
          <w:rFonts w:ascii="Arial" w:cs="Arial" w:eastAsia="Arial" w:hAnsi="Arial"/>
          <w:sz w:val="17"/>
          <w:szCs w:val="17"/>
          <w:color w:val="auto"/>
        </w:rPr>
        <w:t xml:space="preserve"> and </w:t>
      </w:r>
      <w:r>
        <w:rPr>
          <w:rFonts w:ascii="Arial" w:cs="Arial" w:eastAsia="Arial" w:hAnsi="Arial"/>
          <w:sz w:val="17"/>
          <w:szCs w:val="17"/>
          <w:i w:val="1"/>
          <w:iCs w:val="1"/>
          <w:color w:val="auto"/>
        </w:rPr>
        <w:t>“including”</w:t>
      </w:r>
      <w:r>
        <w:rPr>
          <w:rFonts w:ascii="Arial" w:cs="Arial" w:eastAsia="Arial" w:hAnsi="Arial"/>
          <w:sz w:val="17"/>
          <w:szCs w:val="17"/>
          <w:color w:val="auto"/>
        </w:rPr>
        <w:t xml:space="preserve"> shall be deemed to be followed by the phrase “without limitation”. The word </w:t>
      </w:r>
      <w:r>
        <w:rPr>
          <w:rFonts w:ascii="Arial" w:cs="Arial" w:eastAsia="Arial" w:hAnsi="Arial"/>
          <w:sz w:val="17"/>
          <w:szCs w:val="17"/>
          <w:i w:val="1"/>
          <w:iCs w:val="1"/>
          <w:color w:val="auto"/>
        </w:rPr>
        <w:t>“will ”</w:t>
      </w:r>
      <w:r>
        <w:rPr>
          <w:rFonts w:ascii="Arial" w:cs="Arial" w:eastAsia="Arial" w:hAnsi="Arial"/>
          <w:sz w:val="17"/>
          <w:szCs w:val="17"/>
          <w:color w:val="auto"/>
        </w:rPr>
        <w:t xml:space="preserve">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(b) any reference herein to any Person shall be construed to include such Person’s successors and assigns, (c) the words </w:t>
      </w:r>
      <w:r>
        <w:rPr>
          <w:rFonts w:ascii="Arial" w:cs="Arial" w:eastAsia="Arial" w:hAnsi="Arial"/>
          <w:sz w:val="17"/>
          <w:szCs w:val="17"/>
          <w:i w:val="1"/>
          <w:iCs w:val="1"/>
          <w:color w:val="auto"/>
        </w:rPr>
        <w:t>“herein”, “hereof</w:t>
      </w:r>
      <w:r>
        <w:rPr>
          <w:rFonts w:ascii="Arial" w:cs="Arial" w:eastAsia="Arial" w:hAnsi="Arial"/>
          <w:sz w:val="17"/>
          <w:szCs w:val="17"/>
          <w:color w:val="auto"/>
        </w:rPr>
        <w:t xml:space="preserve"> and </w:t>
      </w:r>
      <w:r>
        <w:rPr>
          <w:rFonts w:ascii="Arial" w:cs="Arial" w:eastAsia="Arial" w:hAnsi="Arial"/>
          <w:sz w:val="17"/>
          <w:szCs w:val="17"/>
          <w:i w:val="1"/>
          <w:iCs w:val="1"/>
          <w:color w:val="auto"/>
        </w:rPr>
        <w:t>“hereunder”,</w:t>
      </w:r>
      <w:r>
        <w:rPr>
          <w:rFonts w:ascii="Arial" w:cs="Arial" w:eastAsia="Arial" w:hAnsi="Arial"/>
          <w:sz w:val="17"/>
          <w:szCs w:val="17"/>
          <w:color w:val="auto"/>
        </w:rPr>
        <w:t xml:space="preserve">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w:t>
      </w:r>
      <w:r>
        <w:rPr>
          <w:rFonts w:ascii="Arial" w:cs="Arial" w:eastAsia="Arial" w:hAnsi="Arial"/>
          <w:sz w:val="17"/>
          <w:szCs w:val="17"/>
          <w:i w:val="1"/>
          <w:iCs w:val="1"/>
          <w:color w:val="auto"/>
        </w:rPr>
        <w:t>“asset”</w:t>
      </w:r>
      <w:r>
        <w:rPr>
          <w:rFonts w:ascii="Arial" w:cs="Arial" w:eastAsia="Arial" w:hAnsi="Arial"/>
          <w:sz w:val="17"/>
          <w:szCs w:val="17"/>
          <w:color w:val="auto"/>
        </w:rPr>
        <w:t xml:space="preserve"> and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shall be construed to have the same meaning and effect and to refer to any and all tangible and intangible assets and properties, including cash, securities, accounts and contract rights and (f) whenever any “consent” or “written consent” is required under this Agreement, such consent may be provided by electronic correspondence or any method of notice permitted by Section 9.02.</w:t>
      </w:r>
    </w:p>
    <w:p>
      <w:pPr>
        <w:spacing w:after="0" w:line="183" w:lineRule="exact"/>
        <w:rPr>
          <w:sz w:val="20"/>
          <w:szCs w:val="20"/>
          <w:color w:val="auto"/>
        </w:rPr>
      </w:pPr>
    </w:p>
    <w:p>
      <w:pPr>
        <w:ind w:left="720"/>
        <w:spacing w:after="0"/>
        <w:tabs>
          <w:tab w:leader="none" w:pos="18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Accounting Terms; GAAP</w:t>
      </w:r>
    </w:p>
    <w:p>
      <w:pPr>
        <w:spacing w:after="0" w:line="225" w:lineRule="exact"/>
        <w:rPr>
          <w:sz w:val="20"/>
          <w:szCs w:val="20"/>
          <w:color w:val="auto"/>
        </w:rPr>
      </w:pPr>
    </w:p>
    <w:p>
      <w:pPr>
        <w:jc w:val="both"/>
        <w:ind w:left="60" w:firstLine="648"/>
        <w:spacing w:after="0" w:line="272" w:lineRule="auto"/>
        <w:rPr>
          <w:sz w:val="20"/>
          <w:szCs w:val="20"/>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Borrower notifies the Lender that the Borrower requests an amendment to any provision hereof to eliminate the effect of any change occurring after the date hereof in GAAP or in the application thereof on the operation of such provision (or if the Lender notifies the Borrower that the Lender requires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Unless the context otherwise requires, any reference to a fiscal period shall refer to the relevant fiscal period of the Borrower.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b w:val="1"/>
          <w:bCs w:val="1"/>
          <w:u w:val="single" w:color="auto"/>
          <w:color w:val="auto"/>
        </w:rPr>
        <w:t>AMOUNT AND TERMS OF THE LOAN</w:t>
      </w:r>
    </w:p>
    <w:p>
      <w:pPr>
        <w:spacing w:after="0" w:line="229" w:lineRule="exact"/>
        <w:rPr>
          <w:sz w:val="20"/>
          <w:szCs w:val="20"/>
          <w:color w:val="auto"/>
        </w:rPr>
      </w:pPr>
    </w:p>
    <w:p>
      <w:pPr>
        <w:ind w:left="720"/>
        <w:spacing w:after="0"/>
        <w:tabs>
          <w:tab w:leader="none" w:pos="18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7"/>
          <w:szCs w:val="17"/>
          <w:u w:val="single" w:color="auto"/>
          <w:color w:val="auto"/>
        </w:rPr>
        <w:t>Loan</w:t>
      </w:r>
    </w:p>
    <w:p>
      <w:pPr>
        <w:spacing w:after="0" w:line="225" w:lineRule="exact"/>
        <w:rPr>
          <w:sz w:val="20"/>
          <w:szCs w:val="20"/>
          <w:color w:val="auto"/>
        </w:rPr>
      </w:pPr>
    </w:p>
    <w:p>
      <w:pPr>
        <w:jc w:val="both"/>
        <w:ind w:left="60" w:firstLine="648"/>
        <w:spacing w:after="0" w:line="277" w:lineRule="auto"/>
        <w:rPr>
          <w:sz w:val="20"/>
          <w:szCs w:val="20"/>
          <w:color w:val="auto"/>
        </w:rPr>
      </w:pPr>
      <w:r>
        <w:rPr>
          <w:rFonts w:ascii="Arial" w:cs="Arial" w:eastAsia="Arial" w:hAnsi="Arial"/>
          <w:sz w:val="18"/>
          <w:szCs w:val="18"/>
          <w:color w:val="auto"/>
        </w:rPr>
        <w:t xml:space="preserve">Subject to the terms and conditions of this Agreement, the Lender agrees to make a loan (the </w:t>
      </w:r>
      <w:r>
        <w:rPr>
          <w:rFonts w:ascii="Arial" w:cs="Arial" w:eastAsia="Arial" w:hAnsi="Arial"/>
          <w:sz w:val="18"/>
          <w:szCs w:val="18"/>
          <w:i w:val="1"/>
          <w:iCs w:val="1"/>
          <w:color w:val="auto"/>
        </w:rPr>
        <w:t>“Loan’)</w:t>
      </w:r>
      <w:r>
        <w:rPr>
          <w:rFonts w:ascii="Arial" w:cs="Arial" w:eastAsia="Arial" w:hAnsi="Arial"/>
          <w:sz w:val="18"/>
          <w:szCs w:val="18"/>
          <w:color w:val="auto"/>
        </w:rPr>
        <w:t xml:space="preserve"> to the Borrower through a single advance on the Effective Date in an amount equal to the Commitment Amount.</w:t>
      </w:r>
    </w:p>
    <w:p>
      <w:pPr>
        <w:spacing w:after="0" w:line="170" w:lineRule="exact"/>
        <w:rPr>
          <w:sz w:val="20"/>
          <w:szCs w:val="20"/>
          <w:color w:val="auto"/>
        </w:rPr>
      </w:pPr>
    </w:p>
    <w:p>
      <w:pPr>
        <w:ind w:left="720"/>
        <w:spacing w:after="0"/>
        <w:tabs>
          <w:tab w:leader="none" w:pos="18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u w:val="single" w:color="auto"/>
          <w:color w:val="auto"/>
        </w:rPr>
        <w:t>Note</w:t>
      </w:r>
    </w:p>
    <w:p>
      <w:pPr>
        <w:spacing w:after="0" w:line="225" w:lineRule="exact"/>
        <w:rPr>
          <w:sz w:val="20"/>
          <w:szCs w:val="20"/>
          <w:color w:val="auto"/>
        </w:rPr>
      </w:pPr>
    </w:p>
    <w:p>
      <w:pPr>
        <w:jc w:val="both"/>
        <w:ind w:left="60" w:firstLine="648"/>
        <w:spacing w:after="0" w:line="277" w:lineRule="auto"/>
        <w:rPr>
          <w:sz w:val="20"/>
          <w:szCs w:val="20"/>
          <w:color w:val="auto"/>
        </w:rPr>
      </w:pPr>
      <w:r>
        <w:rPr>
          <w:rFonts w:ascii="Arial" w:cs="Arial" w:eastAsia="Arial" w:hAnsi="Arial"/>
          <w:sz w:val="18"/>
          <w:szCs w:val="18"/>
          <w:color w:val="auto"/>
        </w:rPr>
        <w:t xml:space="preserve">The Loan shall be evidenced by a promissory note of the Borrower, substantially in the form of Exhibit A, (as indorsed or modified from time to time, including all replacements thereof and substitutions therefor, the </w:t>
      </w:r>
      <w:r>
        <w:rPr>
          <w:rFonts w:ascii="Arial" w:cs="Arial" w:eastAsia="Arial" w:hAnsi="Arial"/>
          <w:sz w:val="18"/>
          <w:szCs w:val="18"/>
          <w:i w:val="1"/>
          <w:iCs w:val="1"/>
          <w:color w:val="auto"/>
        </w:rPr>
        <w:t>“Note”),</w:t>
      </w:r>
      <w:r>
        <w:rPr>
          <w:rFonts w:ascii="Arial" w:cs="Arial" w:eastAsia="Arial" w:hAnsi="Arial"/>
          <w:sz w:val="18"/>
          <w:szCs w:val="18"/>
          <w:color w:val="auto"/>
        </w:rPr>
        <w:t xml:space="preserve"> payable to the order of the Lender and representing the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180" w:top="908"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obligation of the Borrower to pay the aggregate outstanding principal balance of the Loan, with interest thereon as prescribed in Section 3.01.</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Payments of the Loan</w:t>
      </w:r>
    </w:p>
    <w:p>
      <w:pPr>
        <w:spacing w:after="0" w:line="225" w:lineRule="exact"/>
        <w:rPr>
          <w:sz w:val="20"/>
          <w:szCs w:val="20"/>
          <w:color w:val="auto"/>
        </w:rPr>
      </w:pPr>
    </w:p>
    <w:p>
      <w:pPr>
        <w:jc w:val="both"/>
        <w:ind w:firstLine="1305"/>
        <w:spacing w:after="0" w:line="286" w:lineRule="auto"/>
        <w:tabs>
          <w:tab w:leader="none" w:pos="1892"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The Borrower may, at its option, prepay the Loan in full or in part at any time and from time to time by notifying the Lender in writing not later than the date of such prepayment specifying the principal amount of the Loan to be prepaid and the date of prepayment. Each such notice shall be irrevocable and the amount specified in each such notice shall be due and payable on the date specified. Each partial prepayment of the Loan pursuant to this Subsection shall be in an aggregate principal amount of $100,000 or an integral multiple of $50,000 in excess thereof, or, if less, the outstanding principal balance of the Loan. In the event any such prepayment that is not in connection with the Massage Envy Transaction occurs before the date that is one year following the Effective Date (the </w:t>
      </w:r>
      <w:r>
        <w:rPr>
          <w:rFonts w:ascii="Arial" w:cs="Arial" w:eastAsia="Arial" w:hAnsi="Arial"/>
          <w:sz w:val="16"/>
          <w:szCs w:val="16"/>
          <w:i w:val="1"/>
          <w:iCs w:val="1"/>
          <w:color w:val="auto"/>
        </w:rPr>
        <w:t>“First Year Anniversary Date”),</w:t>
      </w:r>
      <w:r>
        <w:rPr>
          <w:rFonts w:ascii="Arial" w:cs="Arial" w:eastAsia="Arial" w:hAnsi="Arial"/>
          <w:sz w:val="16"/>
          <w:szCs w:val="16"/>
          <w:color w:val="auto"/>
        </w:rPr>
        <w:t xml:space="preserve"> Borrower shall pay (i) a premium of four percent (4%) of the outstanding principal amount of the Loan subject to such prepayment plus (ii) the remaining Base Monthly Interest and the Accrued Monthly Interest that would have been due and payable with respect to such prepaid principal amount of the Loan for the period between the date following such prepayment and the First Year Anniversary Date (the payment described in this clause (ii), the </w:t>
      </w:r>
      <w:r>
        <w:rPr>
          <w:rFonts w:ascii="Arial" w:cs="Arial" w:eastAsia="Arial" w:hAnsi="Arial"/>
          <w:sz w:val="16"/>
          <w:szCs w:val="16"/>
          <w:i w:val="1"/>
          <w:iCs w:val="1"/>
          <w:color w:val="auto"/>
        </w:rPr>
        <w:t>“Make Whole Fee”).</w:t>
      </w:r>
      <w:r>
        <w:rPr>
          <w:rFonts w:ascii="Arial" w:cs="Arial" w:eastAsia="Arial" w:hAnsi="Arial"/>
          <w:sz w:val="16"/>
          <w:szCs w:val="16"/>
          <w:color w:val="auto"/>
        </w:rPr>
        <w:t xml:space="preserve"> In the event that Borrower prepays the Loan in connection with the Massage Envy Transaction within ninety (90) days following the Effective Date, the Borrower shall pay the outstanding principal balance of the Note (without any premium) plus the Make Whole Fee. In the event Borrower prepays the Loan in full on or after the First Year Anniversary Date and before the date that is fifteen (15) Business Days prior to the Maturity Date, Borrower shall pay a premium of four percent (4%) of the outstanding principal amount of the Note that is so prepaid. Notwithstanding anything to the contrary in the foregoing or in any other Loan Document, there shall be no premium or penalty payable by Borrower in the event that Borrower either (y) prepays the Loan in full on or after the date that is fifteen (15) Business Days prior to the Maturity Date and before the Maturity Date or (z) repays the Loan in full on the Maturity Date.</w:t>
      </w:r>
    </w:p>
    <w:p>
      <w:pPr>
        <w:spacing w:after="0" w:line="168" w:lineRule="exact"/>
        <w:rPr>
          <w:rFonts w:ascii="Arial" w:cs="Arial" w:eastAsia="Arial" w:hAnsi="Arial"/>
          <w:sz w:val="16"/>
          <w:szCs w:val="16"/>
          <w:color w:val="auto"/>
        </w:rPr>
      </w:pPr>
    </w:p>
    <w:p>
      <w:pPr>
        <w:ind w:firstLine="1305"/>
        <w:spacing w:after="0" w:line="277" w:lineRule="auto"/>
        <w:tabs>
          <w:tab w:leader="none" w:pos="192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Simultaneously with each prepayment of the Loan, the Borrower shall prepay all accrued and unpaid interest on the amount prepaid through the date of prepayment.</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Treatment and Application of Payments</w:t>
      </w:r>
    </w:p>
    <w:p>
      <w:pPr>
        <w:spacing w:after="0" w:line="225" w:lineRule="exact"/>
        <w:rPr>
          <w:sz w:val="20"/>
          <w:szCs w:val="20"/>
          <w:color w:val="auto"/>
        </w:rPr>
      </w:pPr>
    </w:p>
    <w:p>
      <w:pPr>
        <w:jc w:val="both"/>
        <w:ind w:firstLine="1305"/>
        <w:spacing w:after="0" w:line="273" w:lineRule="auto"/>
        <w:tabs>
          <w:tab w:leader="none" w:pos="1997"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Each payment, including each prepayment, of principal and interest on the Loan, and of all fees to be paid to the Lender in connection with this Agreement (the </w:t>
      </w:r>
      <w:r>
        <w:rPr>
          <w:rFonts w:ascii="Arial" w:cs="Arial" w:eastAsia="Arial" w:hAnsi="Arial"/>
          <w:sz w:val="17"/>
          <w:szCs w:val="17"/>
          <w:i w:val="1"/>
          <w:iCs w:val="1"/>
          <w:color w:val="auto"/>
        </w:rPr>
        <w:t>“Fees”)</w:t>
      </w:r>
      <w:r>
        <w:rPr>
          <w:rFonts w:ascii="Arial" w:cs="Arial" w:eastAsia="Arial" w:hAnsi="Arial"/>
          <w:sz w:val="17"/>
          <w:szCs w:val="17"/>
          <w:color w:val="auto"/>
        </w:rPr>
        <w:t xml:space="preserve"> shall be made by the Borrower prior to 1:00 p.m. on the date such payment is due, in lawful money of the United States, in funds immediately available to the Lender and without set-off or counterclaim, at the Lender’s office set forth in Section 9.02 or such other location as the Lender shall instruct the Borrower in writing. The failure of the Borrower to make any such payment by such time shall not constitute a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 is made on such due date, but any such payment made after 1:00 p.m. on such due date shall be deemed to have been made prior to 1:00 p.m. on the next Business Day for the purpose of calculating interest.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jc w:val="both"/>
        <w:ind w:firstLine="1305"/>
        <w:spacing w:after="0" w:line="264" w:lineRule="auto"/>
        <w:tabs>
          <w:tab w:leader="none" w:pos="18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any payment shall be due and payable on a day which is not a Business Day, the due date thereof shall be extended to the next Business Day and interest shall be payable at the applicable rate specified herein during such extension,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next Business Day is after the Maturity Date, any such payment shall be due on the immediately preceding Business Day.</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Borrower agrees that the proceeds of the Loan shall be used solely, directly or indirectly, (i) to refinance existing indebtedness of the Borrower,</w:t>
      </w:r>
    </w:p>
    <w:p>
      <w:pPr>
        <w:spacing w:after="0" w:line="46" w:lineRule="exact"/>
        <w:rPr>
          <w:sz w:val="20"/>
          <w:szCs w:val="20"/>
          <w:color w:val="auto"/>
        </w:rPr>
      </w:pPr>
    </w:p>
    <w:p>
      <w:pPr>
        <w:jc w:val="both"/>
        <w:ind w:firstLine="8"/>
        <w:spacing w:after="0" w:line="273" w:lineRule="auto"/>
        <w:tabs>
          <w:tab w:leader="none" w:pos="276"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the payment of certain fees and expenses in connection with the transactions contemplated by this Agreement relating to the Loan, (iii) for working capital and (iv) for general corporate purposes. Notwithstanding anything to the contrary contained in any Loan Document, the Borrower agrees that no part of the proceeds of the Loan will be used, directly or indirectly, for a purpose which violates any law, rule or regulation of any Governmental Authority, including, without limitation, the provisions of Regulations T, U or X of the Board of Governors of the Federal Reserve System, as amended.</w:t>
      </w:r>
    </w:p>
    <w:p>
      <w:pPr>
        <w:spacing w:after="0" w:line="17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Guarantee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All obligations of the Borrower hereunder shall be unconditionally, jointly and severally guaranteed by each wholly-owned Active Domestic Subsidiary of the Borrower (each a </w:t>
      </w:r>
      <w:r>
        <w:rPr>
          <w:rFonts w:ascii="Arial" w:cs="Arial" w:eastAsia="Arial" w:hAnsi="Arial"/>
          <w:sz w:val="17"/>
          <w:szCs w:val="17"/>
          <w:i w:val="1"/>
          <w:iCs w:val="1"/>
          <w:color w:val="auto"/>
        </w:rPr>
        <w:t>“Subsidiary Guarantor”</w:t>
      </w:r>
      <w:r>
        <w:rPr>
          <w:rFonts w:ascii="Arial" w:cs="Arial" w:eastAsia="Arial" w:hAnsi="Arial"/>
          <w:sz w:val="17"/>
          <w:szCs w:val="17"/>
          <w:color w:val="auto"/>
        </w:rPr>
        <w:t xml:space="preserve"> and collectively, the </w:t>
      </w:r>
      <w:r>
        <w:rPr>
          <w:rFonts w:ascii="Arial" w:cs="Arial" w:eastAsia="Arial" w:hAnsi="Arial"/>
          <w:sz w:val="17"/>
          <w:szCs w:val="17"/>
          <w:i w:val="1"/>
          <w:iCs w:val="1"/>
          <w:color w:val="auto"/>
        </w:rPr>
        <w:t>“Subsidiary Guarantors’)</w:t>
      </w:r>
      <w:r>
        <w:rPr>
          <w:rFonts w:ascii="Arial" w:cs="Arial" w:eastAsia="Arial" w:hAnsi="Arial"/>
          <w:sz w:val="17"/>
          <w:szCs w:val="17"/>
          <w:color w:val="auto"/>
        </w:rPr>
        <w:t xml:space="preserve"> pursuant to the terms of a Guarantee Agreement in the form of Exhibit B (as the same may be amended, supplemented or otherwise modified from time to time, the </w:t>
      </w:r>
      <w:r>
        <w:rPr>
          <w:rFonts w:ascii="Arial" w:cs="Arial" w:eastAsia="Arial" w:hAnsi="Arial"/>
          <w:sz w:val="17"/>
          <w:szCs w:val="17"/>
          <w:i w:val="1"/>
          <w:iCs w:val="1"/>
          <w:color w:val="auto"/>
        </w:rPr>
        <w:t>“Subsidiary Guarantee”).</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Security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All obligations of the Borrower hereunder and of the Subsidiary Guarantors under the Subsidiary Guarantee shall be secured pursuant to the terms of a Security Agreement in the form of Exhibit C (as the same may be amended, supplemented or otherwise modified from time to time, the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u w:val="single" w:color="auto"/>
          <w:color w:val="auto"/>
        </w:rPr>
        <w:t>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connection with the funding of the Loan on the Effective Date, and for no additional consideration, the Borrower shall issue a Warrant to the Lender in the form of Exhibit D (as the same may be amended, supplemented or otherwise modified from time to time, the </w:t>
      </w:r>
      <w:r>
        <w:rPr>
          <w:rFonts w:ascii="Arial" w:cs="Arial" w:eastAsia="Arial" w:hAnsi="Arial"/>
          <w:sz w:val="18"/>
          <w:szCs w:val="18"/>
          <w:i w:val="1"/>
          <w:iCs w:val="1"/>
          <w:color w:val="auto"/>
        </w:rPr>
        <w:t>“Warrant”).</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Conversion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any time after the date that is ninety (90) days following the Effective Date, the Lender shall have the right, but not the obligation, to convert all or a portion of the outstanding principal amount of the Loan, up to an amount equal to Three Million Dollars ($3,000,000), into common units of the Borrower on the terms and conditions set forth in the Note. Following any such conversion and notwithstanding anything to the contrary in any Loan Document, the outstanding principal amount of the Loan shall automatically be reduced by an amount equal to the portion of the principal amount of the Loan subject to such conversion.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b w:val="1"/>
          <w:bCs w:val="1"/>
          <w:u w:val="single" w:color="auto"/>
          <w:color w:val="auto"/>
        </w:rPr>
        <w:t>INTEREST, FEES, ETC.</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Interest Rate and Payment Dates</w:t>
      </w:r>
    </w:p>
    <w:p>
      <w:pPr>
        <w:spacing w:after="0" w:line="225" w:lineRule="exact"/>
        <w:rPr>
          <w:sz w:val="20"/>
          <w:szCs w:val="20"/>
          <w:color w:val="auto"/>
        </w:rPr>
      </w:pPr>
    </w:p>
    <w:p>
      <w:pPr>
        <w:jc w:val="both"/>
        <w:ind w:firstLine="1305"/>
        <w:spacing w:after="0" w:line="257" w:lineRule="auto"/>
        <w:tabs>
          <w:tab w:leader="none" w:pos="186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Prior to Maturity.</w:t>
      </w:r>
      <w:r>
        <w:rPr>
          <w:rFonts w:ascii="Arial" w:cs="Arial" w:eastAsia="Arial" w:hAnsi="Arial"/>
          <w:sz w:val="18"/>
          <w:szCs w:val="18"/>
          <w:color w:val="auto"/>
        </w:rPr>
        <w:t xml:space="preserve"> Except as otherwise provided in Section 3.01(b), prior to maturity, the outstanding principal balance of the Loan shall bear interest at the rate of twelve percent (12%) per annum. Interest only on the Loan shall be payable monthly as follows: (i) ten percent (10%) annual interest, calculated on a monthly basis, which shall be payable in arrears on the last Business Day of each month (the “Base Monthly Interest”) plus (ii) two percent (2%) annual interest, calculated on a monthly basis, which shall accrue monthly and become due and payable on the first and second anniversaries of the Effective Date (the “Accrued Monthly Interest”).</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86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Notwithstanding the foregoing, after the occurrence and during the continuance of an Event of Default, then, so long as such Event of Default is continuing, all principal of the Loan and each fee and other amount then due and payable by the Borrower hereunder (whether at the stated maturity thereof, by acceleration or otherwise) shall bear interest at a rate per annum equal to six percent (6.00%)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rate otherwise applicable to the Loan.</w:t>
      </w:r>
    </w:p>
    <w:p>
      <w:pPr>
        <w:spacing w:after="0" w:line="186" w:lineRule="exact"/>
        <w:rPr>
          <w:rFonts w:ascii="Arial" w:cs="Arial" w:eastAsia="Arial" w:hAnsi="Arial"/>
          <w:sz w:val="18"/>
          <w:szCs w:val="18"/>
          <w:color w:val="auto"/>
        </w:rPr>
      </w:pPr>
    </w:p>
    <w:p>
      <w:pPr>
        <w:ind w:firstLine="1305"/>
        <w:spacing w:after="0" w:line="277" w:lineRule="auto"/>
        <w:tabs>
          <w:tab w:leader="none" w:pos="189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All interest hereunder shall be computed on the basis of a year of 360 days, and in each case shall be payable for the actual number of days elapsed (including the first day but excluding the last day).</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Borrower agrees to pay to the Lender a fee of $120,000, half of which was paid in connection with the signing of that certain letter of intent between the Borrower and the Lender, dated as of March 17, 2015 (the </w:t>
      </w:r>
      <w:r>
        <w:rPr>
          <w:rFonts w:ascii="Arial" w:cs="Arial" w:eastAsia="Arial" w:hAnsi="Arial"/>
          <w:sz w:val="18"/>
          <w:szCs w:val="18"/>
          <w:i w:val="1"/>
          <w:iCs w:val="1"/>
          <w:color w:val="auto"/>
        </w:rPr>
        <w:t>“Letter of Intent”)</w:t>
      </w:r>
      <w:r>
        <w:rPr>
          <w:rFonts w:ascii="Arial" w:cs="Arial" w:eastAsia="Arial" w:hAnsi="Arial"/>
          <w:sz w:val="18"/>
          <w:szCs w:val="18"/>
          <w:color w:val="auto"/>
        </w:rPr>
        <w:t xml:space="preserve"> and the balance of which shall be due and payable on the Effective Date.</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u w:val="single" w:color="auto"/>
          <w:color w:val="auto"/>
        </w:rPr>
        <w:t>Taxes; Net Payments</w:t>
      </w:r>
    </w:p>
    <w:p>
      <w:pPr>
        <w:spacing w:after="0" w:line="225" w:lineRule="exact"/>
        <w:rPr>
          <w:sz w:val="20"/>
          <w:szCs w:val="20"/>
          <w:color w:val="auto"/>
        </w:rPr>
      </w:pPr>
    </w:p>
    <w:p>
      <w:pPr>
        <w:jc w:val="both"/>
        <w:ind w:firstLine="1305"/>
        <w:spacing w:after="0" w:line="270" w:lineRule="auto"/>
        <w:tabs>
          <w:tab w:leader="none" w:pos="1807"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payments by or on account of the Borrower under any Loan Document to the Lender shall be made free and clear of, and without any deduction or withholding for or on account of, any and all present or future Taxes, except if required by applicable law, rule, regulation, order, directive, treaty or guideline. If the Borrower or any other Person is required by any law, rule, regulation, order, directive, treaty or guideline to make any deduction or withholding in respect of any Tax from any amount required to be paid by the Borrower to the Lender under any Loan Document (each, a “Required Payment”), then (i) the Borrower shall notify the Lender of any such requirement or any change in any such requirement as soon as the Borrower becomes aware thereof, (ii) the Borrower shall be entitled to make such deduction or withholding and shall pay such Tax to the relevant Governmental Authority prior to the date on which penalties attach thereto, such payment to be made (to the extent that the liability to pay is imposed on the Borrower) for its own account or (to the extent that the liability to pay is imposed on the Lender) on behalf and in the name of the Lender, (iii) if such Tax is an Indemnified Tax or Other Tax, the Borrower shall pay to the Lender an additional amount such that the Lender shall receive on the due date therefor an amount equal to the Required Payment had no such</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ind w:right="220"/>
        <w:spacing w:after="0" w:line="277" w:lineRule="auto"/>
        <w:rPr>
          <w:sz w:val="20"/>
          <w:szCs w:val="20"/>
          <w:color w:val="auto"/>
        </w:rPr>
      </w:pPr>
      <w:r>
        <w:rPr>
          <w:rFonts w:ascii="Arial" w:cs="Arial" w:eastAsia="Arial" w:hAnsi="Arial"/>
          <w:sz w:val="18"/>
          <w:szCs w:val="18"/>
          <w:color w:val="auto"/>
        </w:rPr>
        <w:t>deduction or withholding been made or required, and (iv) the Borrower shall, within 30 days after paying such Indemnified Tax or Other Tax, deliver to the Lender satisfactory evidence of such payment to the relevant Governmental Authority.</w:t>
      </w:r>
    </w:p>
    <w:p>
      <w:pPr>
        <w:spacing w:after="0" w:line="170" w:lineRule="exact"/>
        <w:rPr>
          <w:sz w:val="20"/>
          <w:szCs w:val="20"/>
          <w:color w:val="auto"/>
        </w:rPr>
      </w:pPr>
    </w:p>
    <w:p>
      <w:pPr>
        <w:jc w:val="both"/>
        <w:ind w:firstLine="1305"/>
        <w:spacing w:after="0" w:line="270" w:lineRule="auto"/>
        <w:tabs>
          <w:tab w:leader="none" w:pos="183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Borrower shall reimburse the Lender, within 15 days after written demand therefor, for the full amount of all Indemnified Taxes or Other Taxes paid by the Lender on or with respect to any payment by or on account of any obligation of the Borrower under the Loan Documents (including Indemnified Taxes or Other Taxes imposed or asserted on or attributable to amounts payable under this section) and any penalties, interest and reasonable expenses arising therefrom or with respect thereto (other than any such penalties, interest or expenses that are incurred by the Lender’s unreasonably taking or omitting to take action with respect to such Indemnified Taxes or Other Taxes), whether or not such Indemnified Taxes or Other Taxes were correctly or legally imposed or asserted by the relevant Governmental Authority. A certificate as to the amount of such payment or liability delivered to the Borrower by the Lender shall be conclusive absent manifest error. In the event that the Lender determines that it received a refund or credit for Indemnified Taxes or Other Taxes paid by the Borrower under this section, the Lender shall promptly notify the Borrower of such fact and shall remit to the Borrower the amount of such refund or credit.</w:t>
      </w:r>
    </w:p>
    <w:p>
      <w:pPr>
        <w:spacing w:after="0" w:line="18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Lender’s Records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Lender’s records with respect to the Loan, the interest rates applicable thereto, each payment and prepayment by the Borrower of principal and interest on the Loan and fees, expenses and any other amounts due and payable in connection with this Agreement shall be presumed correct absent manifest error.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order to induce the Lender to enter into this Agreement and to make the Loan, the Borrower makes the following representations and warranties to the Lender:</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Subsidiaries; Capitalization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the Effective Date, Schedule 4.01 sets forth the name, jurisdiction of organization or formation and type of organization of each Subsidiary and the authorized, issued and outstanding Capital Stock of the Borrower and each Subsidiary. Except as set forth on Schedule 4.01, the Borrower does not have any Subsidiaries. As of the Effective Date, except as set forth on Schedule 4.01, (i) the Borrower has not issued any securities convertible into, or options or warrants for, any common or preferred equity securities thereof, and (ii) there are no agreements, voting trusts or understandings binding upon the Borrower with respect to the voting securities of the Borrower or affecting in any manner the sale, pledge, assignment or other disposition thereof, including any right of first refusal, option, redemption, call or other right with respect thereto, whether similar or dissimilar to any of the foregoing.</w:t>
      </w:r>
    </w:p>
    <w:p>
      <w:pPr>
        <w:spacing w:after="0" w:line="1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Existence and Power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is a duly formed and validly existing limited liability company, in good standing under the laws of the State of Delaware. Each Domestic Subsidiary is a duly formed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spacing w:after="0" w:line="279" w:lineRule="auto"/>
        <w:rPr>
          <w:sz w:val="20"/>
          <w:szCs w:val="20"/>
          <w:color w:val="auto"/>
        </w:rPr>
      </w:pPr>
      <w:r>
        <w:rPr>
          <w:rFonts w:ascii="Arial" w:cs="Arial" w:eastAsia="Arial" w:hAnsi="Arial"/>
          <w:sz w:val="17"/>
          <w:szCs w:val="17"/>
          <w:color w:val="auto"/>
        </w:rPr>
        <w:t>and validly existing limited liability company, in good standing under the laws of the State of New York. Each of the Borrower and each Domestic Subsidiary has all requisite power and authority to own its Property and to carry on its business as now conducted, and is in good standing and authorized to do business in each jurisdiction in which the nature of the business conducted therein or the Property owned by it therein makes such qualification necessary, except where such failure to qualify could not reasonably be expected to have a Material Adverse Effect.</w:t>
      </w:r>
    </w:p>
    <w:p>
      <w:pPr>
        <w:spacing w:after="0" w:line="17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Authority and Execution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Borrower and each Domestic Subsidiary has full legal power and authority to enter into, execute, deliver and perform the terms of the Loan Documents to which it is a party, all of which have been duly authorized by all proper and necessary corporate, partnership or other applicable action and are in full compliance with its Organizational Documents. Each of the Borrower and each Domestic Subsidiary has duly executed and delivered the Loan Documents to which it is a party.</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Binding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Documents (other than the Note and the Warrant) constitute, and the Note and the Warrant, when issued and delivered pursuant hereto for value received, will constitute, the valid and legally binding obligations of each Credit Party, in each case, to the extent it is a party thereto, enforceable in accordance with their respective terms, except as such enforceability may be limited by applicable bankruptcy, insolvency, reorganization or other similar laws affecting the enforcement of creditors’ rights generally.</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Absence of Defaults; No Conflicting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Neither the Borrower, nor any other Credit Party, is in default under any mortgage, indenture, contract or agreement to which it is a party or by which it or any of its Property is bound, the effect of which default could reasonably be expected to have a Material Adverse Effect. The execution, delivery or carrying out of the terms of the Loan Documents will not constitute a default under any such mortgage, indenture, contract or agreement, or result in the creation or imposition of, or obligation to create, any Lien upon any Property of the Borrower or any other Credit Party, except for Liens created pursuant to the Loan Documents, or result in a breach of or require the mandatory repayment of or other acceleration of payment under or pursuant to the terms of any such mortgage, indenture, contract or agreement.</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5"/>
          <w:szCs w:val="15"/>
          <w:u w:val="single" w:color="auto"/>
          <w:color w:val="auto"/>
        </w:rPr>
        <w:t>Consents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consent, authorization or approval of, filing with, notice to, or exemption by, any Governmental Authority or any other Person is required to authorize, or is required in connection with the execution, delivery and performance by any Credit Party of the Loan Documents and the transactions contemplated thereby, or is required as a condition to the validity or enforceability of the Loan Documents, other than the filing or amendment of financing statements to perfect the Liens granted to the Lender pursuant to the Security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ind w:left="660"/>
        <w:spacing w:after="0"/>
        <w:tabs>
          <w:tab w:leader="none" w:pos="180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7"/>
          <w:szCs w:val="17"/>
          <w:u w:val="single" w:color="auto"/>
          <w:color w:val="auto"/>
        </w:rPr>
        <w:t>Litigation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on Schedule 4.07, there are no actions, suits or proceedings at law or in equity or by or before any Governmental Authority pending or, to the knowledge of the Borrower, threatened against any Credit Party, maintained by any Credit Party or which may affect the Property of any Credit Party, which could reasonably be expected to have a Material Adverse Effect.</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Compliance with Applicable Laws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Borrower, nor any other Credit Party, is in default with respect to any judgment, order, writ, injunction, decree or decision of any Governmental Authority, which default could reasonably be expected to have a Material Adverse Effect. The Borrower, and each other Credit Party, is in compliance in all material respects with all statutes, regulations, rules and orders applicable to it, including, without limitation, Environmental Laws, a violation of which could reasonably be expected to have a Material Adverse Effect.</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Borrower has filed or caused to be filed all tax returns required to be filed and has paid, or has made adequate provision for the payment of, all taxes shown to be due and payable on said returns or in any assessments made against it, and no tax Liens have been filed and no claims are being asserted with respect to such taxes.</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Financial Statements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Borrower has heretofore delivered to the Lender its audited Consolidated balance sheet as of December 31, 2014 and the related Consolidated statements of operations, members’ equity and cash flows for the fiscal year then ended (the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which (a) fairly present the Borrower’s financial condition on such date and results of operations for the year ended on such date, and (b) have been prepared in conformity with GAAP. Except as reflected in the Financial Statements or in the notes thereto, the Borrower has no obligation or liability of any kind (whether fixed, accrued, contingent, unmatured or otherwise) which, in accordance with GAAP, should have been shown on the Financial Statements and was not. Since the date of the Financial Statements, the Borrower has conducted its business only in the ordinary course and there has been no Material Adverse Change.</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Investment Company Status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Neither the Borrower nor any of the Domestic Subsidiaries are an </w:t>
      </w:r>
      <w:r>
        <w:rPr>
          <w:rFonts w:ascii="Arial" w:cs="Arial" w:eastAsia="Arial" w:hAnsi="Arial"/>
          <w:sz w:val="18"/>
          <w:szCs w:val="18"/>
          <w:i w:val="1"/>
          <w:iCs w:val="1"/>
          <w:color w:val="auto"/>
        </w:rPr>
        <w:t>“investment company”</w:t>
      </w:r>
      <w:r>
        <w:rPr>
          <w:rFonts w:ascii="Arial" w:cs="Arial" w:eastAsia="Arial" w:hAnsi="Arial"/>
          <w:sz w:val="18"/>
          <w:szCs w:val="18"/>
          <w:color w:val="auto"/>
        </w:rPr>
        <w:t xml:space="preserve"> as defined in, or subject to regulation under, the Investment Company Act of 1940, or is subject to any statute or regulation which prohibits or restricts the incurrence of Indebtedness.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Federal Reserve Regulations; Use of Loan Proceeds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Borrower is not engaged principally, or as one of its important activities, in the business of extending credit for the purpose of purchasing or carrying any Margin Stock. No part of the proceeds of the Loan will be used, directly or indirectly, for a purpose that violates any law,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jc w:val="both"/>
        <w:spacing w:after="0" w:line="264" w:lineRule="auto"/>
        <w:rPr>
          <w:sz w:val="20"/>
          <w:szCs w:val="20"/>
          <w:color w:val="auto"/>
        </w:rPr>
      </w:pPr>
      <w:r>
        <w:rPr>
          <w:rFonts w:ascii="Arial" w:cs="Arial" w:eastAsia="Arial" w:hAnsi="Arial"/>
          <w:sz w:val="18"/>
          <w:szCs w:val="18"/>
          <w:color w:val="auto"/>
        </w:rPr>
        <w:t>rule or regulation of any Governmental Authority, including, without limitation, the provisions of Regulations T, U or X of the Board of Governors of the Federal Reserve System, as amended. After giving effect to the making of the Loan, Margin Stock will constitute less than 25% of the aggregate assets (as determined by any reasonable method) of the Borrower.</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Property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and each Domestic Subsidiary has (i) good and marketable title to all of its Property, title to which is material to it, and (ii) a valid leasehold interest in all Property, a leasehold interest in which is material to it, in each case subject to no Liens, except Permitted Liens.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5"/>
          <w:szCs w:val="15"/>
          <w:u w:val="single" w:color="auto"/>
          <w:color w:val="auto"/>
        </w:rPr>
        <w:t>Plans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Borrower nor any of its ERISA Affiliates is a party to a Multiemployer Plan. The Borrower and its ERISA Affiliates have fulfilled all obligations under the minimum funding standards of ERISA and the Code with respect to each Plan established or maintained by the Borrower or its ERISA Affiliates and with respect to each such Plan are not subject to any material liability to the PBGC under Title IV of ERISA. With respect to each Employee Benefit Plan, the Borrower is in compliance in all material respects with the currently applicable provisions of ERISA and the Code.</w:t>
      </w:r>
    </w:p>
    <w:p>
      <w:pPr>
        <w:spacing w:after="0" w:line="17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Environmental Matters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Borrower and each Domestic Subsidiary is in compliance with all Environmental Laws and regulations applicable to it or its business, assets or properties which, if violated, could reasonably be expected to have a Material Adverse Effect.</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Security Interests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filing of Uniform Commercial Code financing statements in the applicable filing offices, the payment of the fees in respect thereof and the filing of continuation statements when required by applicable law, the security interests granted under the Security Agreement will constitute valid, binding and continuing duly perfected and, other than Permitted Liens, first priority Liens in and to the Collateral, which shall be subject to no other Liens other than Permitted Liens.</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Intellectual Property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 the best knowledge of the Borrower, the Borrower is the owner of or possesses the right to use all necessary patents, trademarks, service marks, copyrights and other intellectual property necessary or useful in the operation of its business, in each case free of any claims or infringements.</w:t>
      </w:r>
    </w:p>
    <w:p>
      <w:pPr>
        <w:spacing w:after="0" w:line="14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u w:val="single" w:color="auto"/>
          <w:color w:val="auto"/>
        </w:rPr>
        <w:t>No Misrepresentation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representation or warranty contained in any Loan Document and no certificate or report from time to time furnished by the Borrower in connection with the transactions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both"/>
        <w:spacing w:after="0" w:line="259" w:lineRule="auto"/>
        <w:rPr>
          <w:sz w:val="20"/>
          <w:szCs w:val="20"/>
          <w:color w:val="auto"/>
        </w:rPr>
      </w:pPr>
      <w:r>
        <w:rPr>
          <w:rFonts w:ascii="Arial" w:cs="Arial" w:eastAsia="Arial" w:hAnsi="Arial"/>
          <w:sz w:val="18"/>
          <w:szCs w:val="18"/>
          <w:color w:val="auto"/>
        </w:rPr>
        <w:t xml:space="preserve">contemplated thereby, contains or will contain a misstatement of material fact, or, to the best knowledge of the Borrower, omits or will omit to state a material fact required to be stated in order to make the statements therein contained not misleading in the light of the circumstances under which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projections or pro-forma financial information contained therein are good faith estimates based upon assumptions believed by the Borrower to be reasonable at the time such estimates are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b w:val="1"/>
          <w:bCs w:val="1"/>
          <w:u w:val="single" w:color="auto"/>
          <w:color w:val="auto"/>
        </w:rPr>
        <w:t>CONDITIONS TO LOAN</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Conditions Precedent to Effectiveness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effectiveness of this Agreement, and the obligation of the Lender to make the Loan on the Effective Date, is subject to the fulfillment of the following conditions prior to or simultaneously therewith:</w:t>
      </w:r>
    </w:p>
    <w:p>
      <w:pPr>
        <w:spacing w:after="0" w:line="170" w:lineRule="exact"/>
        <w:rPr>
          <w:sz w:val="20"/>
          <w:szCs w:val="20"/>
          <w:color w:val="auto"/>
        </w:rPr>
      </w:pPr>
    </w:p>
    <w:p>
      <w:pPr>
        <w:ind w:left="1820" w:hanging="515"/>
        <w:spacing w:after="0"/>
        <w:tabs>
          <w:tab w:leader="none" w:pos="18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Evidence of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Lender shall have received a certificate, dated the Effective Date, of the Secretary or Assistant Secretary or other analogous counterpart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 and each of the Subsidiary Guarantors:</w:t>
      </w:r>
    </w:p>
    <w:p>
      <w:pPr>
        <w:spacing w:after="0" w:line="211" w:lineRule="exact"/>
        <w:rPr>
          <w:sz w:val="20"/>
          <w:szCs w:val="20"/>
          <w:color w:val="auto"/>
        </w:rPr>
      </w:pPr>
    </w:p>
    <w:p>
      <w:pPr>
        <w:jc w:val="both"/>
        <w:ind w:firstLine="1758"/>
        <w:spacing w:after="0" w:line="264" w:lineRule="auto"/>
        <w:tabs>
          <w:tab w:leader="none" w:pos="23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attaching a true and complete copy of the resolutions of its Managing Person and of all documents evidencing all necessary company action (in form and substance satisfactory to the Lender) taken by it to authorize the Loan Documents to which it is a party and the transactions contemplated thereby,</w:t>
      </w:r>
    </w:p>
    <w:p>
      <w:pPr>
        <w:spacing w:after="0" w:line="181" w:lineRule="exact"/>
        <w:rPr>
          <w:rFonts w:ascii="Arial" w:cs="Arial" w:eastAsia="Arial" w:hAnsi="Arial"/>
          <w:sz w:val="18"/>
          <w:szCs w:val="18"/>
          <w:color w:val="auto"/>
        </w:rPr>
      </w:pPr>
    </w:p>
    <w:p>
      <w:pPr>
        <w:ind w:left="2300" w:hanging="542"/>
        <w:spacing w:after="0"/>
        <w:tabs>
          <w:tab w:leader="none" w:pos="2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attaching a true and complete copy of its Organizational Documents,</w:t>
      </w:r>
    </w:p>
    <w:p>
      <w:pPr>
        <w:spacing w:after="0" w:line="225" w:lineRule="exact"/>
        <w:rPr>
          <w:rFonts w:ascii="Arial" w:cs="Arial" w:eastAsia="Arial" w:hAnsi="Arial"/>
          <w:sz w:val="18"/>
          <w:szCs w:val="18"/>
          <w:color w:val="auto"/>
        </w:rPr>
      </w:pPr>
    </w:p>
    <w:p>
      <w:pPr>
        <w:ind w:firstLine="1758"/>
        <w:spacing w:after="0" w:line="277" w:lineRule="auto"/>
        <w:tabs>
          <w:tab w:leader="none" w:pos="23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attaching a certificate of good standing of the secretary of state of the state of its formation or incorporation, issued not more than 30 days prior to the Effective Date, and</w:t>
      </w:r>
    </w:p>
    <w:p>
      <w:pPr>
        <w:spacing w:after="0" w:line="170" w:lineRule="exact"/>
        <w:rPr>
          <w:rFonts w:ascii="Arial" w:cs="Arial" w:eastAsia="Arial" w:hAnsi="Arial"/>
          <w:sz w:val="18"/>
          <w:szCs w:val="18"/>
          <w:color w:val="auto"/>
        </w:rPr>
      </w:pPr>
    </w:p>
    <w:p>
      <w:pPr>
        <w:ind w:firstLine="1758"/>
        <w:spacing w:after="0" w:line="277" w:lineRule="auto"/>
        <w:tabs>
          <w:tab w:leader="none" w:pos="24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setting forth the incumbency of its officer or officers who may sign the Loan Documents to which it is a party, including therein a signature specimen of such officer or officers.</w:t>
      </w:r>
    </w:p>
    <w:p>
      <w:pPr>
        <w:spacing w:after="0" w:line="170" w:lineRule="exact"/>
        <w:rPr>
          <w:sz w:val="20"/>
          <w:szCs w:val="20"/>
          <w:color w:val="auto"/>
        </w:rPr>
      </w:pPr>
    </w:p>
    <w:p>
      <w:pPr>
        <w:ind w:left="1820" w:hanging="515"/>
        <w:spacing w:after="0"/>
        <w:tabs>
          <w:tab w:leader="none" w:pos="18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 shall have received counterparts of this Agreement duly executed by an Authorized Signatory of the Borrower.</w:t>
      </w:r>
    </w:p>
    <w:p>
      <w:pPr>
        <w:spacing w:after="0" w:line="225" w:lineRule="exact"/>
        <w:rPr>
          <w:sz w:val="20"/>
          <w:szCs w:val="20"/>
          <w:color w:val="auto"/>
        </w:rPr>
      </w:pPr>
    </w:p>
    <w:p>
      <w:pPr>
        <w:ind w:left="1820" w:hanging="515"/>
        <w:spacing w:after="0"/>
        <w:tabs>
          <w:tab w:leader="none" w:pos="18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 shall have received the Note, duly executed by an Authorized Signatory of the Borrower.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ind w:left="1820" w:hanging="515"/>
        <w:spacing w:after="0"/>
        <w:tabs>
          <w:tab w:leader="none" w:pos="18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Security Agreement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Lender shall have received the Security Agreement, duly executed by an Authorized Signatory of the Borrower and each Subsidiary Guarantor, together with such other documents as the Lender may require in connection with the perfection of its security interests therein.</w:t>
      </w:r>
    </w:p>
    <w:p>
      <w:pPr>
        <w:spacing w:after="0" w:line="147" w:lineRule="exact"/>
        <w:rPr>
          <w:sz w:val="20"/>
          <w:szCs w:val="20"/>
          <w:color w:val="auto"/>
        </w:rPr>
      </w:pPr>
    </w:p>
    <w:p>
      <w:pPr>
        <w:ind w:left="1820" w:hanging="515"/>
        <w:spacing w:after="0"/>
        <w:tabs>
          <w:tab w:leader="none" w:pos="18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Subsidiary Guarantee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 shall have received the Subsidiary Guarantee, duly executed by an Authorized Signatory of the Subsidiary Guarantors.</w:t>
      </w:r>
    </w:p>
    <w:p>
      <w:pPr>
        <w:spacing w:after="0" w:line="225" w:lineRule="exact"/>
        <w:rPr>
          <w:sz w:val="20"/>
          <w:szCs w:val="20"/>
          <w:color w:val="auto"/>
        </w:rPr>
      </w:pPr>
    </w:p>
    <w:p>
      <w:pPr>
        <w:ind w:left="1800" w:hanging="495"/>
        <w:spacing w:after="0"/>
        <w:tabs>
          <w:tab w:leader="none" w:pos="18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Lender shall have received a certificate, in all respects satisfactory to the Lender, of an officer of the Borrower, dated the Effective Date, certifying that:</w:t>
      </w:r>
    </w:p>
    <w:p>
      <w:pPr>
        <w:spacing w:after="0" w:line="170" w:lineRule="exact"/>
        <w:rPr>
          <w:sz w:val="20"/>
          <w:szCs w:val="20"/>
          <w:color w:val="auto"/>
        </w:rPr>
      </w:pPr>
    </w:p>
    <w:p>
      <w:pPr>
        <w:jc w:val="both"/>
        <w:ind w:firstLine="1758"/>
        <w:spacing w:after="0" w:line="276" w:lineRule="auto"/>
        <w:tabs>
          <w:tab w:leader="none" w:pos="2329"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Absence of Litigation.</w:t>
      </w:r>
      <w:r>
        <w:rPr>
          <w:rFonts w:ascii="Arial" w:cs="Arial" w:eastAsia="Arial" w:hAnsi="Arial"/>
          <w:sz w:val="17"/>
          <w:szCs w:val="17"/>
          <w:color w:val="auto"/>
        </w:rPr>
        <w:t xml:space="preserve"> There is no injunction, writ, preliminary restraining order or other order of any nature by which the Borrower is bound or to which any of its Property is subject issued by any Governmental Authority in any respect affecting the transactions provided for in the Loan Documents and no action or proceeding by or before any Governmental Authority has been commenced against the Borrower or is pending or, to the knowledge of the Borrower, threatened against the Borrower, seeking to prevent or delay the transactions contemplated by the Loan Documents or challenging any other terms and provisions hereof or thereof or seeking any damages in connection therewith.</w:t>
      </w:r>
    </w:p>
    <w:p>
      <w:pPr>
        <w:spacing w:after="0" w:line="172" w:lineRule="exact"/>
        <w:rPr>
          <w:rFonts w:ascii="Arial" w:cs="Arial" w:eastAsia="Arial" w:hAnsi="Arial"/>
          <w:sz w:val="17"/>
          <w:szCs w:val="17"/>
          <w:color w:val="auto"/>
        </w:rPr>
      </w:pPr>
    </w:p>
    <w:p>
      <w:pPr>
        <w:jc w:val="both"/>
        <w:ind w:firstLine="1758"/>
        <w:spacing w:after="0" w:line="286" w:lineRule="auto"/>
        <w:tabs>
          <w:tab w:leader="none" w:pos="2555"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Approvals and Consents.</w:t>
      </w:r>
      <w:r>
        <w:rPr>
          <w:rFonts w:ascii="Arial" w:cs="Arial" w:eastAsia="Arial" w:hAnsi="Arial"/>
          <w:sz w:val="17"/>
          <w:szCs w:val="17"/>
          <w:color w:val="auto"/>
        </w:rPr>
        <w:t xml:space="preserve"> All approvals and consents of all Persons required to be obtained in connection with the consummation by the Borrower of the transactions contemplated by the Loan Documents have been obtained and are in full force and effect, and all notices required to be given by the Borrower have been given and all required waiting periods applicable to the Borrower have expired.</w:t>
      </w:r>
    </w:p>
    <w:p>
      <w:pPr>
        <w:spacing w:after="0" w:line="165" w:lineRule="exact"/>
        <w:rPr>
          <w:rFonts w:ascii="Arial" w:cs="Arial" w:eastAsia="Arial" w:hAnsi="Arial"/>
          <w:sz w:val="17"/>
          <w:szCs w:val="17"/>
          <w:color w:val="auto"/>
        </w:rPr>
      </w:pPr>
    </w:p>
    <w:p>
      <w:pPr>
        <w:ind w:firstLine="1758"/>
        <w:spacing w:after="0" w:line="277" w:lineRule="auto"/>
        <w:tabs>
          <w:tab w:leader="none" w:pos="237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Absence of Material Adverse Change.</w:t>
      </w:r>
      <w:r>
        <w:rPr>
          <w:rFonts w:ascii="Arial" w:cs="Arial" w:eastAsia="Arial" w:hAnsi="Arial"/>
          <w:sz w:val="18"/>
          <w:szCs w:val="18"/>
          <w:color w:val="auto"/>
        </w:rPr>
        <w:t xml:space="preserve"> No Material Adverse Change in the business, assets, liabilities, financial condition or results of operations of the Borrower has occurred since the date of the Financial Statements.</w:t>
      </w:r>
    </w:p>
    <w:p>
      <w:pPr>
        <w:spacing w:after="0" w:line="170" w:lineRule="exact"/>
        <w:rPr>
          <w:rFonts w:ascii="Arial" w:cs="Arial" w:eastAsia="Arial" w:hAnsi="Arial"/>
          <w:sz w:val="18"/>
          <w:szCs w:val="18"/>
          <w:color w:val="auto"/>
        </w:rPr>
      </w:pPr>
    </w:p>
    <w:p>
      <w:pPr>
        <w:ind w:firstLine="1758"/>
        <w:spacing w:after="0" w:line="277" w:lineRule="auto"/>
        <w:tabs>
          <w:tab w:leader="none" w:pos="247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Liens other than Permitted Liens.</w:t>
      </w:r>
      <w:r>
        <w:rPr>
          <w:rFonts w:ascii="Arial" w:cs="Arial" w:eastAsia="Arial" w:hAnsi="Arial"/>
          <w:sz w:val="18"/>
          <w:szCs w:val="18"/>
          <w:color w:val="auto"/>
        </w:rPr>
        <w:t xml:space="preserve"> Upon the making of the Loan on the Effective Date, there exist no Liens on any Property of the Borrower other than Permitted Liens.</w:t>
      </w:r>
    </w:p>
    <w:p>
      <w:pPr>
        <w:spacing w:after="0" w:line="170" w:lineRule="exact"/>
        <w:rPr>
          <w:sz w:val="20"/>
          <w:szCs w:val="20"/>
          <w:color w:val="auto"/>
        </w:rPr>
      </w:pPr>
    </w:p>
    <w:p>
      <w:pPr>
        <w:ind w:left="1820" w:hanging="515"/>
        <w:spacing w:after="0"/>
        <w:tabs>
          <w:tab w:leader="none" w:pos="18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Evidence of Appointment of Bruce Bernstein as Director.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 shall have received evidence of the appointment of Bruce Bernstein as a member of the Borrower’s Board of Directors.</w:t>
      </w:r>
    </w:p>
    <w:p>
      <w:pPr>
        <w:spacing w:after="0" w:line="225" w:lineRule="exact"/>
        <w:rPr>
          <w:sz w:val="20"/>
          <w:szCs w:val="20"/>
          <w:color w:val="auto"/>
        </w:rPr>
      </w:pPr>
    </w:p>
    <w:p>
      <w:pPr>
        <w:ind w:left="1820" w:hanging="515"/>
        <w:spacing w:after="0"/>
        <w:tabs>
          <w:tab w:leader="none" w:pos="18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Amendment to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 shall have received the Fourth Amended and Restated Limited Liability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line="277" w:lineRule="auto"/>
        <w:rPr>
          <w:sz w:val="20"/>
          <w:szCs w:val="20"/>
          <w:color w:val="auto"/>
        </w:rPr>
      </w:pPr>
      <w:r>
        <w:rPr>
          <w:rFonts w:ascii="Arial" w:cs="Arial" w:eastAsia="Arial" w:hAnsi="Arial"/>
          <w:sz w:val="18"/>
          <w:szCs w:val="18"/>
          <w:color w:val="auto"/>
        </w:rPr>
        <w:t>Company Operating Agreement dated the Effective Date duly executed by an Authorized Signatory of the Borrower and members of the Borrower representing at least 60% in Interest (as defined in the Operating Agreement), in form and substance acceptable to the Lender</w:t>
      </w:r>
    </w:p>
    <w:p>
      <w:pPr>
        <w:spacing w:after="0" w:line="170" w:lineRule="exact"/>
        <w:rPr>
          <w:sz w:val="20"/>
          <w:szCs w:val="20"/>
          <w:color w:val="auto"/>
        </w:rPr>
      </w:pPr>
    </w:p>
    <w:p>
      <w:pPr>
        <w:ind w:left="1780" w:hanging="475"/>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Fees owed by the Borrower to the Lender shall have been paid.</w:t>
      </w:r>
    </w:p>
    <w:p>
      <w:pPr>
        <w:spacing w:after="0" w:line="225" w:lineRule="exact"/>
        <w:rPr>
          <w:sz w:val="20"/>
          <w:szCs w:val="20"/>
          <w:color w:val="auto"/>
        </w:rPr>
      </w:pPr>
    </w:p>
    <w:p>
      <w:pPr>
        <w:ind w:left="1780" w:hanging="475"/>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Fees and Expenses of Lender’s Counsel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fees and expenses of the Lender’s counsel in connection with the preparation, negotiation and closing of the Loan Documents shall have been paid. An invoice for such fees and expenses shall be presented to the Borrower on or before the Effective Date</w:t>
      </w:r>
    </w:p>
    <w:p>
      <w:pPr>
        <w:spacing w:after="0" w:line="170" w:lineRule="exact"/>
        <w:rPr>
          <w:sz w:val="20"/>
          <w:szCs w:val="20"/>
          <w:color w:val="auto"/>
        </w:rPr>
      </w:pPr>
    </w:p>
    <w:p>
      <w:pPr>
        <w:ind w:left="1820" w:hanging="515"/>
        <w:spacing w:after="0"/>
        <w:tabs>
          <w:tab w:leader="none" w:pos="18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Other Documents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Lender shall have received such other documents, each in form and substance reasonably satisfactory to the Lender, as the Lender shall reasonably require in connection with the making of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Borrower agrees that, so long as this Agreement is in effect, the Loan remains outstanding and unpaid, or any other amount is owing under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 to the Lender, the Borrower shall:</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Financial and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Maintain a standard system of accounting in accordance with GAAP, and furnish to the Lender:</w:t>
      </w:r>
    </w:p>
    <w:p>
      <w:pPr>
        <w:spacing w:after="0" w:line="225" w:lineRule="exact"/>
        <w:rPr>
          <w:sz w:val="20"/>
          <w:szCs w:val="20"/>
          <w:color w:val="auto"/>
        </w:rPr>
      </w:pPr>
    </w:p>
    <w:p>
      <w:pPr>
        <w:jc w:val="both"/>
        <w:ind w:firstLine="1305"/>
        <w:spacing w:after="0" w:line="273" w:lineRule="auto"/>
        <w:tabs>
          <w:tab w:leader="none" w:pos="184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soon as available, but in any event within 120 days after the end of each fiscal year, the audited Consolidated and consolidating balance sheet and related statements of income, shareholders’ equity and cash flows of the Borrower and its Subsidiaries as of the end of and for such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and consolidating financial statements present fairly in all material respects the financial condition and results of operations of the Borrower and its Subsidiaries on a Consolidated and consolidating basis in accordance with GAAP consistently applied;</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20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end of the first three fiscal quarters of each fiscal year, the Consolidated and consolidating balance sheets and related statements of income and cash flows of the Borrower and its Subsidiaries as of the end of such fiscal quarter and for then elapsed portion of the fiscal year, setting forth in each case in comparative form the figures for the corresponding fiscal period of the previous fiscal year, all in reasonable detail and certified by its chief financial officer as presenting fairly in all material respects the financial condition and results of operations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the Borrower and its Subsidiaries on a Consolidated basis in accordance with GAAP consistently applied, subject to normal year-end adjustments;</w:t>
      </w:r>
    </w:p>
    <w:p>
      <w:pPr>
        <w:spacing w:after="0" w:line="237" w:lineRule="exact"/>
        <w:rPr>
          <w:sz w:val="20"/>
          <w:szCs w:val="20"/>
          <w:color w:val="auto"/>
        </w:rPr>
      </w:pPr>
    </w:p>
    <w:p>
      <w:pPr>
        <w:jc w:val="both"/>
        <w:ind w:firstLine="1305"/>
        <w:spacing w:after="0" w:line="297" w:lineRule="auto"/>
        <w:tabs>
          <w:tab w:leader="none" w:pos="198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As soon as available, but in any event within 30 days after the end of each month of each fiscal year, the Consolidated and consolidating balance sheets and related statements of income and cash flows of the Borrower and its Subsidiaries as of the end of such month and for then elapsed portion of the fiscal year, setting forth in each case in comparative form the figures for the corresponding fiscal period of the previous fiscal year, all in reasonable detail and certified by its chief financial officer as presenting fairly in all material respects the financial condition and results of operations of the Borrower and its Subsidiaries on a Consolidated basis in accordance with GAAP consistently applied, subject to normal year-end adjustments;</w:t>
      </w:r>
    </w:p>
    <w:p>
      <w:pPr>
        <w:spacing w:after="0" w:line="158" w:lineRule="exact"/>
        <w:rPr>
          <w:rFonts w:ascii="Arial" w:cs="Arial" w:eastAsia="Arial" w:hAnsi="Arial"/>
          <w:sz w:val="16"/>
          <w:szCs w:val="16"/>
          <w:color w:val="auto"/>
        </w:rPr>
      </w:pPr>
    </w:p>
    <w:p>
      <w:pPr>
        <w:jc w:val="both"/>
        <w:ind w:firstLine="1305"/>
        <w:spacing w:after="0" w:line="255" w:lineRule="auto"/>
        <w:tabs>
          <w:tab w:leader="none" w:pos="192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Section 6.01(a), 6.01(b) or 6.01(c), a certificate of the President or other Authorized Signatory of the Borrower in a form that is reasonably acceptable to the Lender (the </w:t>
      </w:r>
      <w:r>
        <w:rPr>
          <w:rFonts w:ascii="Arial" w:cs="Arial" w:eastAsia="Arial" w:hAnsi="Arial"/>
          <w:sz w:val="18"/>
          <w:szCs w:val="18"/>
          <w:i w:val="1"/>
          <w:iCs w:val="1"/>
          <w:color w:val="auto"/>
        </w:rPr>
        <w:t>“Compliance Certificate”)</w:t>
      </w:r>
      <w:r>
        <w:rPr>
          <w:rFonts w:ascii="Arial" w:cs="Arial" w:eastAsia="Arial" w:hAnsi="Arial"/>
          <w:sz w:val="18"/>
          <w:szCs w:val="18"/>
          <w:color w:val="auto"/>
        </w:rPr>
        <w:t xml:space="preserve"> (i) certifying as to whether a Default has occurred and, if a Default has occurred, specifying the details thereof and any action taken or proposed to be taken with respect thereto, (ii) setting forth (A) in the certificate delivered concurrently with the financial statements under Sections 6.01(a) or 6.01(b), reasonably detailed calculations demonstrating compliance with Section 7.09 and (B) any change in the Subsidiary Guarantors as of the date of such certificate, and (iii) stating whether any change in GAAP or in the application thereof has occurred since December 31, 2014 and, if any such change has occurred, specifying the effect of such change on the financial statements accompanying such certificate;</w:t>
      </w:r>
    </w:p>
    <w:p>
      <w:pPr>
        <w:spacing w:after="0" w:line="189" w:lineRule="exact"/>
        <w:rPr>
          <w:rFonts w:ascii="Arial" w:cs="Arial" w:eastAsia="Arial" w:hAnsi="Arial"/>
          <w:sz w:val="18"/>
          <w:szCs w:val="18"/>
          <w:color w:val="auto"/>
        </w:rPr>
      </w:pPr>
    </w:p>
    <w:p>
      <w:pPr>
        <w:jc w:val="both"/>
        <w:ind w:firstLine="1305"/>
        <w:spacing w:after="0" w:line="279" w:lineRule="auto"/>
        <w:tabs>
          <w:tab w:leader="none" w:pos="198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Prompt written notice (upon becoming aware thereof) if: (i) any Indebtedness of the Borrower or any Guarantor in excess of $100,000 is declared or shall become due and payable prior to its stated maturity, or is called and not paid when due, (ii) a default shall have occurred under any note in excess of $100,000 (other than the Note) or (iii) the holder of, or any obligee with respect to, any Indebtedness of the Borrower or any Guarantor in excess of $100,000 has the right to declare any such Indebtedness due and payable prior to its stated maturity;</w:t>
      </w:r>
    </w:p>
    <w:p>
      <w:pPr>
        <w:spacing w:after="0" w:line="171" w:lineRule="exact"/>
        <w:rPr>
          <w:rFonts w:ascii="Arial" w:cs="Arial" w:eastAsia="Arial" w:hAnsi="Arial"/>
          <w:sz w:val="17"/>
          <w:szCs w:val="17"/>
          <w:color w:val="auto"/>
        </w:rPr>
      </w:pPr>
    </w:p>
    <w:p>
      <w:pPr>
        <w:jc w:val="both"/>
        <w:ind w:firstLine="1305"/>
        <w:spacing w:after="0" w:line="256" w:lineRule="auto"/>
        <w:tabs>
          <w:tab w:leader="none" w:pos="18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Prompt written notice of: (i) any citation, summons, subpoena, order to show cause or other document naming the Borrower a party to any proceeding before any Governmental Authority that could reasonably be expected to have a Material Adverse Effect or that expressly calls into question the validity or enforceability of any of the Loan Documents,</w:t>
      </w:r>
    </w:p>
    <w:p>
      <w:pPr>
        <w:jc w:val="both"/>
        <w:ind w:firstLine="8"/>
        <w:spacing w:after="0" w:line="255" w:lineRule="auto"/>
        <w:tabs>
          <w:tab w:leader="none" w:pos="2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lapse or other termination of any material license, permit, franchise or other authorization, or (iii) any refusal by any Person or Governmental Authority to renew or extend any such material license, permit, franchise or other authorization, which lapse, termination, refusal or dispute could reasonably be expected to have a Material Adverse Effect;</w:t>
      </w:r>
    </w:p>
    <w:p>
      <w:pPr>
        <w:spacing w:after="0" w:line="190" w:lineRule="exact"/>
        <w:rPr>
          <w:rFonts w:ascii="Arial" w:cs="Arial" w:eastAsia="Arial" w:hAnsi="Arial"/>
          <w:sz w:val="18"/>
          <w:szCs w:val="18"/>
          <w:color w:val="auto"/>
        </w:rPr>
      </w:pPr>
    </w:p>
    <w:p>
      <w:pPr>
        <w:jc w:val="both"/>
        <w:ind w:firstLine="1305"/>
        <w:spacing w:after="0" w:line="312" w:lineRule="auto"/>
        <w:tabs>
          <w:tab w:leader="none" w:pos="183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Prompt written notice of: (i) any development in its business affairs which could reasonably be expected to have a Material Adverse Effect on the Borrower, disclosing the nature thereof, and (ii) any information (coming to its attention) which indicates that any financial statements which are the subject of any representations contained in this Agreement, or which are furnished to the Lender pursuant to this Agreement, fail, to a material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extent, to present fairly the financial condition and results of operations purported to be presented therein, disclosing the nature thereof;</w:t>
      </w:r>
    </w:p>
    <w:p>
      <w:pPr>
        <w:spacing w:after="0" w:line="225" w:lineRule="exact"/>
        <w:rPr>
          <w:sz w:val="20"/>
          <w:szCs w:val="20"/>
          <w:color w:val="auto"/>
        </w:rPr>
      </w:pPr>
    </w:p>
    <w:p>
      <w:pPr>
        <w:jc w:val="both"/>
        <w:ind w:firstLine="1305"/>
        <w:spacing w:after="0" w:line="264" w:lineRule="auto"/>
        <w:tabs>
          <w:tab w:leader="none" w:pos="18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following a request therefor, all documentation and other information that the Lender reasonably requests as necessary in order for it to comply with its ongoing obligations under applicable “know your customer” and anti-money laundering rules and regulations, including the USA Patriot Act.</w:t>
      </w:r>
    </w:p>
    <w:p>
      <w:pPr>
        <w:spacing w:after="0" w:line="181" w:lineRule="exact"/>
        <w:rPr>
          <w:rFonts w:ascii="Arial" w:cs="Arial" w:eastAsia="Arial" w:hAnsi="Arial"/>
          <w:sz w:val="18"/>
          <w:szCs w:val="18"/>
          <w:color w:val="auto"/>
        </w:rPr>
      </w:pPr>
    </w:p>
    <w:p>
      <w:pPr>
        <w:ind w:firstLine="1305"/>
        <w:spacing w:after="0" w:line="277" w:lineRule="auto"/>
        <w:tabs>
          <w:tab w:leader="none" w:pos="18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 written notice of the occurrence of an Event of Default or Default hereunder, setting forth details of such Event of Default or Default and the action which is proposed to be taken with respect thereto; and</w:t>
      </w:r>
    </w:p>
    <w:p>
      <w:pPr>
        <w:spacing w:after="0" w:line="170" w:lineRule="exact"/>
        <w:rPr>
          <w:rFonts w:ascii="Arial" w:cs="Arial" w:eastAsia="Arial" w:hAnsi="Arial"/>
          <w:sz w:val="18"/>
          <w:szCs w:val="18"/>
          <w:color w:val="auto"/>
        </w:rPr>
      </w:pPr>
    </w:p>
    <w:p>
      <w:pPr>
        <w:ind w:firstLine="1305"/>
        <w:spacing w:after="0" w:line="277" w:lineRule="auto"/>
        <w:tabs>
          <w:tab w:leader="none" w:pos="18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Guarantor, or compliance with the terms of the Loan Documents, as the Lender may reasonably request.</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Existence, Maintenance of Properties, Insurance, Licenses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all times (a) preserve and keep in full force its limited liability company existence and rights; (b) observe and comply in all respects with all laws, rules and regulations applicable to it, including, without limitation, ERISA and all Environmental Laws, a violation of which could have a Material Adverse Effect; (c) maintain and preserve all Property necessary in the conduct of its affairs and keep the same in good repair, working order and condition; (d) keep its insurable Properties adequately insured at all times, by financially sound and reputable insurers, and maintain such insurance, to such extent and against such risks, as the Lender may from time to time require or as may be required by law; (e) conduct and operate its affairs in substantially the manner in which they are presently conducted and operated; and (f) maintain, in full force and effect, all material licenses, franchises, permits, authorizations and other rights as are necessary for the conduct of its business.</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Payment of Taxes, Indebtedness, etc.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Pay and discharge when due (i) all taxes, assessments and governmental charges and levies upon, or with respect to the Borrower and upon its Property prior to the date penalties attach thereto, and (ii) all Indebtedness, obligations and claims for labor, materials and supplies or otherwise which, if unpaid, might (x) have a Material Adverse Effect, or (y) result in the imposition of a Lien upon any Property, in each case, unless being contested by the Borrower in good faith by appropriate proceedings, and the Borrower shall have set aside adequate reserves therefor.</w:t>
      </w:r>
    </w:p>
    <w:p>
      <w:pPr>
        <w:spacing w:after="0" w:line="17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Maintenance of Records; Inspection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all times maintain proper books of record and account in which full, true and correct entries are made of all dealings and transactions in relation to its business and activities and, at all reasonable times during normal business hours and as often as the Lender may reasonably request upon reasonable notice, permit any Lender representative to visit and inspect any of the properties of the Borrower, and to make extracts from its books and to discuss its affairs,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finances and accounts with its officers and its independent certified public accountants or other parties preparing statements for or on behalf of the Borrower.</w:t>
      </w:r>
    </w:p>
    <w:p>
      <w:pPr>
        <w:spacing w:after="0" w:line="24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Use the proceeds of the Loan solely (i) to refinance existing indebtedness of the Borrower, (ii) for the payment of certain fees and expenses in connection with the transactions contemplated by this Agreement relating to the Loan, (iii) for working capital and (iv) for general corporate purposes. No part of the proceeds of any Loan shall be used, whether directly or indirectly, and whether immediately, incidentally or ultimately, to purchase, acquire or carry any Margin Stock or for any purpose that entails a violation of any of the regulations of the Board of Governors of the Federal Reserve System of the United States of America, including Regulations T, U and X.</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color w:val="auto"/>
        </w:rPr>
        <w:t>[Intentionally Left Blank]</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Environmental Matters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Take all actions reasonably necessary to comply in all material respects with all Environmental Laws and regulations applicable to it or its business, assets or properties, and shall not knowingly permit or suffer any violation of Environmental Laws and regulations by any third party lessee in connection with the lease of its assets or properties, which Environmental Laws and regulations, if violated, or which violation, as the case may be, could reasonably be expected to have a Material Adverse Effect.</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Subsidiaries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wholly-owned Domestic Subsidiary is formed or acquired after the Effective Date, notify the Lender in writing thereof within ten (10) Business Days after the date on which such wholly-owned Domestic Subsidiary is formed or acquired and becomes an Active Domestic Subsidiary and (i) cause such wholly-owned Active Domestic Subsidiary (within ten (10) Business Days of becoming such) to (A) execute and deliver the Subsidiary Guarantee (or otherwise become a party thereto in the manner provided therein) and (B) become a party to the Security Agreement and each other applicable security document in the manner provided therein, and (ii) promptly take such actions to create and perfect Liens on such wholly-owned Active Domestic Subsidiary’s assets to secure the Obligations as the Lender shall reasonably request.</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7"/>
          <w:szCs w:val="17"/>
          <w:u w:val="single" w:color="auto"/>
          <w:color w:val="auto"/>
        </w:rPr>
        <w:t>Funding Call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At any time before the First Year Anniversary Date, Lender shall have the right but not the obligation, to deliver a written notice to the Borrower which shall require the Borrower to obtain from its members capital contributions in an aggregate amount not less than (i) $5,000,000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any amounts invested by Our Crowd (or any investment vehicle advised by Our Crowd or its Affiliates) (the </w:t>
      </w:r>
      <w:r>
        <w:rPr>
          <w:rFonts w:ascii="Arial" w:cs="Arial" w:eastAsia="Arial" w:hAnsi="Arial"/>
          <w:sz w:val="18"/>
          <w:szCs w:val="18"/>
          <w:i w:val="1"/>
          <w:iCs w:val="1"/>
          <w:color w:val="auto"/>
        </w:rPr>
        <w:t>“Funding Call”).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ind w:left="660"/>
        <w:spacing w:after="0"/>
        <w:tabs>
          <w:tab w:leader="none" w:pos="18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Further Assurances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Execute, and shall cause each Guarantor to, execute any and all further documents, agreements and instruments, and take all such further actions (including the filing and recording of financing statements, fixture filings, and other documents), that may be required under any applicable law, or which the Lender may reasonably request, to effectuate the transactions contemplated by the Loan Documents or to grant, preserve, protect or perfect the Liens created or intended to be created by the Loan Documents or the validity or priority of any such Lien, all at the expense of the Borrower. The Borrower shall provide to the Lender, from time to time upon request, evidence reasonably satisfactory to the Lender as to the perfection and priority of the Liens created or intended to be created by the Loan Documents.</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7"/>
          <w:szCs w:val="17"/>
          <w:u w:val="single" w:color="auto"/>
          <w:color w:val="auto"/>
        </w:rPr>
        <w:t>Director Appointment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Maintain Bruce Bernstein’s appointment as a member of the Borrower’s Board of Directors unless such person dies, is incapacitated, or is otherwise unable to continue to serve as a member of the Borrower’s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Borrower agrees that, so long as this Agreement is in effect, the Loan remains outstanding and unpaid, or any other amount is owing under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Document to the Lender, the Borrower shall not, directly or indirectly, and shall not permit any Subsidiary Guarantor to, directly or indirectly:</w:t>
      </w:r>
    </w:p>
    <w:p>
      <w:pPr>
        <w:spacing w:after="0" w:line="22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Create, incur, assume or permit to exist any Indebtedness, except: (i) Indebtedness due under the Loan Documents, (ii) other Indebtedness to the Lender, Indebtedness of the Borrower incurred to finance the acquisition, construction or improvement of any fixed or capital assets, including obligations in respect of capital leases, and any Indebtedness assumed in connection with the acquisition of any such assets or secured by a Lien on any such assets prior to the acquisition thereof (and not created in contemplation of such acquisition), and Indebtedness secured by a Lien incurred in connection with any conditional sale or other title retention agreement or a capital 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incurred prior to or within 90 days after such acquisition or completion of such construction or improvement, (B) such Indebtedness does not exceed the cost of acquiring, constructing or improving such assets, and (C) both before and after giving effect to the incurrence of such Indebtedness, no Default shall have occurred and be continuing, (iii) Indebtedness of the Borrower or any of its Subsidiaries in respect of performance bonds, bid bonds, appeal bonds, surety bonds and similar obligations, in each case provided in the ordinary course of business, (iv) unfunded pension fund and other employee benefit plan obligations and liabilities to the extent such obligations and liabilities are permitted to remain unfunded under applicable law, (v) any unsecured Indebtedness not to exceed $1,000,000 at any time outstanding, (vi) Convertible Notes in an aggregate original principal amount not to exceed $5,000,000 at any time outstanding, (vii) Indebtedness of the Borrower and/or its Subsidiaries in respect of letters of credit, bank guarantees or similar instruments in the ordinary course of business relating to leases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and any cash collateral provided by the Borrower and/or its Subsidiaries with respect to the foregoing and (viii) other Indebtedness set forth on Schedule 7.01.</w:t>
      </w:r>
    </w:p>
    <w:p>
      <w:pPr>
        <w:spacing w:after="0" w:line="24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Liens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Create, incur, assume or suffer to exist any Lien upon any of its Property, whether now owned or hereafter acquired, except: (i) Liens in favor of the Lender, (ii) Liens for taxes, assessments or similar charges incurred in the ordinary course of business which are not delinquent or are being contested in good faith by appropriate proceedings, (iii) Liens in connection with workers’ compensation, unemployment insurance or other social security obligations (but not ERISA), (iv) Liens arising by operation of law such as landlords’, mechanics’, materialmen’s, carriers’, and warehousemen’s liens incurred in the ordinary course of business which are not overdue by more than forty-five (45) days or are being contested in good faith by appropriate proceedings, (v) judgment liens in existence less than 45 days after the entry thereof or with respect to which execution has been stayed, (vi) unexercised banker’s Liens, (vii) Liens on fixed or capital assets acquired, constructed or improved by the Borrower or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with respect to this clause (vii), (A) such security interests secure Indebtedness permitted by clause (iii) of Section 7.01, (B) such security interests and the Indebtedness secured thereby are incurred prior to or within 90 days after such acquisition or the completion of such construction or improvement, (C) the Indebtedness secured thereby does not exceed the cost of acquiring, constructing or improving such fixed or capital assets and (D) such security interests shall not apply to any other property or assets of the Borrower or any Subsidiary), (viii) Liens to the extent arising solely from the filing of protective Uniform Commercial Code financing statements in respect of equipment leased to the Borrower or any Subsidiary in the ordinary course of its business under true, as opposed to finance, leases, (ix) Liens securing the performance of bids, trade contracts, leases, statutory obligations, surety and appeal bonds, performance bonds, and other obligations of like nature, in each case in the ordinary course of business, (x) any interest or title of a lessor secured by a lessor’s interest under any lease permitted by this Agreement, (xi)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the business and (xii) Liens in connection with Indebtedness permitted by Section 7.01(vii) (the Liens described in the foregoing clauses (i) through (xii), collectively, </w:t>
      </w:r>
      <w:r>
        <w:rPr>
          <w:rFonts w:ascii="Arial" w:cs="Arial" w:eastAsia="Arial" w:hAnsi="Arial"/>
          <w:sz w:val="17"/>
          <w:szCs w:val="17"/>
          <w:i w:val="1"/>
          <w:iCs w:val="1"/>
          <w:color w:val="auto"/>
        </w:rPr>
        <w:t>“Permitted Liens”).</w:t>
      </w:r>
    </w:p>
    <w:p>
      <w:pPr>
        <w:spacing w:after="0" w:line="19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Sale of Assets, Nature of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Liquidate, wind up or dissolve or sell, lease or otherwise dispose of any of its Property, except in the ordinary course of business, or materially change the nature of its business from that of operating retail establishments (whether as a tenant under an airport concession lease agreement or otherwise) relating to, or otherwise being engaged in activities relating to, the sale of health and wellness products or services, </w:t>
      </w:r>
      <w:r>
        <w:rPr>
          <w:rFonts w:ascii="Arial" w:cs="Arial" w:eastAsia="Arial" w:hAnsi="Arial"/>
          <w:sz w:val="17"/>
          <w:szCs w:val="17"/>
          <w:i w:val="1"/>
          <w:iCs w:val="1"/>
          <w:color w:val="auto"/>
        </w:rPr>
        <w:t>except</w:t>
      </w:r>
      <w:r>
        <w:rPr>
          <w:rFonts w:ascii="Arial" w:cs="Arial" w:eastAsia="Arial" w:hAnsi="Arial"/>
          <w:sz w:val="17"/>
          <w:szCs w:val="17"/>
          <w:color w:val="auto"/>
        </w:rPr>
        <w:t xml:space="preserve"> (i) that the Borrower may liquidate, wind up, dissolve or sell all or substantially all of the Property or Capital Stock of one or more Subsidiary Guarantors;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thereof and immediately after giving effect thereto, no Default shall have occurred and be continuing, (ii) that any of the Subsidiaries may consummate a DBE Equity Issuance if in the reasonable business judgment of the Borrower such DBE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spacing w:after="0" w:line="277" w:lineRule="auto"/>
        <w:rPr>
          <w:sz w:val="20"/>
          <w:szCs w:val="20"/>
          <w:color w:val="auto"/>
        </w:rPr>
      </w:pPr>
      <w:r>
        <w:rPr>
          <w:rFonts w:ascii="Arial" w:cs="Arial" w:eastAsia="Arial" w:hAnsi="Arial"/>
          <w:sz w:val="18"/>
          <w:szCs w:val="18"/>
          <w:color w:val="auto"/>
        </w:rPr>
        <w:t>Equity Issuance is necessary or desirable to further develop its business operations or to comply with applicable requirements of law and (iii) in connection with the Massage Envy Transaction.</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Investments</w:t>
      </w:r>
    </w:p>
    <w:p>
      <w:pPr>
        <w:spacing w:after="0" w:line="225" w:lineRule="exact"/>
        <w:rPr>
          <w:sz w:val="20"/>
          <w:szCs w:val="20"/>
          <w:color w:val="auto"/>
        </w:rPr>
      </w:pPr>
    </w:p>
    <w:p>
      <w:pPr>
        <w:ind w:firstLine="1305"/>
        <w:spacing w:after="0" w:line="277" w:lineRule="auto"/>
        <w:tabs>
          <w:tab w:leader="none" w:pos="19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Make any loan or advance to, or enter into any arrangement for the purpose of providing funds or credit to, or make any other investment, by capital contribution or otherwise, in or with any Person (each of the foregoing, an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except:</w:t>
      </w:r>
    </w:p>
    <w:p>
      <w:pPr>
        <w:spacing w:after="0" w:line="170" w:lineRule="exact"/>
        <w:rPr>
          <w:rFonts w:ascii="Arial" w:cs="Arial" w:eastAsia="Arial" w:hAnsi="Arial"/>
          <w:sz w:val="18"/>
          <w:szCs w:val="18"/>
          <w:color w:val="auto"/>
        </w:rPr>
      </w:pPr>
    </w:p>
    <w:p>
      <w:pPr>
        <w:jc w:val="both"/>
        <w:ind w:firstLine="1758"/>
        <w:spacing w:after="0" w:line="264" w:lineRule="auto"/>
        <w:tabs>
          <w:tab w:leader="none" w:pos="235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in direct obligations of the United States of America, or in debt Investments which are guaranteed as to both principal and interest by the full faith and credit of the United States of America, in either case, maturing in twelve months or less from the date of acquisition thereof;</w:t>
      </w:r>
    </w:p>
    <w:p>
      <w:pPr>
        <w:spacing w:after="0" w:line="181" w:lineRule="exact"/>
        <w:rPr>
          <w:rFonts w:ascii="Arial" w:cs="Arial" w:eastAsia="Arial" w:hAnsi="Arial"/>
          <w:sz w:val="18"/>
          <w:szCs w:val="18"/>
          <w:color w:val="auto"/>
        </w:rPr>
      </w:pPr>
    </w:p>
    <w:p>
      <w:pPr>
        <w:ind w:left="2300" w:hanging="542"/>
        <w:spacing w:after="0"/>
        <w:tabs>
          <w:tab w:leader="none" w:pos="2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in commercial paper carrying one of the two highest ratings of S &amp; P or Moody’s;</w:t>
      </w:r>
    </w:p>
    <w:p>
      <w:pPr>
        <w:spacing w:after="0" w:line="225" w:lineRule="exact"/>
        <w:rPr>
          <w:rFonts w:ascii="Arial" w:cs="Arial" w:eastAsia="Arial" w:hAnsi="Arial"/>
          <w:sz w:val="18"/>
          <w:szCs w:val="18"/>
          <w:color w:val="auto"/>
        </w:rPr>
      </w:pPr>
    </w:p>
    <w:p>
      <w:pPr>
        <w:ind w:left="2340" w:hanging="582"/>
        <w:spacing w:after="0"/>
        <w:tabs>
          <w:tab w:leader="none" w:pos="23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money market account or money market mutual funds;</w:t>
      </w:r>
    </w:p>
    <w:p>
      <w:pPr>
        <w:spacing w:after="0" w:line="225" w:lineRule="exact"/>
        <w:rPr>
          <w:rFonts w:ascii="Arial" w:cs="Arial" w:eastAsia="Arial" w:hAnsi="Arial"/>
          <w:sz w:val="18"/>
          <w:szCs w:val="18"/>
          <w:color w:val="auto"/>
        </w:rPr>
      </w:pPr>
    </w:p>
    <w:p>
      <w:pPr>
        <w:ind w:left="2380" w:hanging="622"/>
        <w:spacing w:after="0"/>
        <w:tabs>
          <w:tab w:leader="none" w:pos="23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normal business banking accounts and short-term certificates of deposit and time deposits in, or issued by, federally insured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institutions;</w:t>
      </w:r>
    </w:p>
    <w:p>
      <w:pPr>
        <w:spacing w:after="0" w:line="210" w:lineRule="exact"/>
        <w:rPr>
          <w:rFonts w:ascii="Arial" w:cs="Arial" w:eastAsia="Arial" w:hAnsi="Arial"/>
          <w:sz w:val="16"/>
          <w:szCs w:val="16"/>
          <w:color w:val="auto"/>
        </w:rPr>
      </w:pPr>
    </w:p>
    <w:p>
      <w:pPr>
        <w:ind w:firstLine="1758"/>
        <w:spacing w:after="0" w:line="277" w:lineRule="auto"/>
        <w:tabs>
          <w:tab w:leader="none" w:pos="245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made by the Borrower in the Capital Stock of its Domestic Subsidiaries or another Person that becomes a Domestic Subsidiary as a result of such Investment;</w:t>
      </w:r>
    </w:p>
    <w:p>
      <w:pPr>
        <w:spacing w:after="0" w:line="170" w:lineRule="exact"/>
        <w:rPr>
          <w:rFonts w:ascii="Arial" w:cs="Arial" w:eastAsia="Arial" w:hAnsi="Arial"/>
          <w:sz w:val="18"/>
          <w:szCs w:val="18"/>
          <w:color w:val="auto"/>
        </w:rPr>
      </w:pPr>
    </w:p>
    <w:p>
      <w:pPr>
        <w:ind w:left="2340" w:hanging="582"/>
        <w:spacing w:after="0"/>
        <w:tabs>
          <w:tab w:leader="none" w:pos="23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Investments existing on the Effective Date as set forth on Schedule 7.04; and</w:t>
      </w:r>
    </w:p>
    <w:p>
      <w:pPr>
        <w:spacing w:after="0" w:line="225" w:lineRule="exact"/>
        <w:rPr>
          <w:rFonts w:ascii="Arial" w:cs="Arial" w:eastAsia="Arial" w:hAnsi="Arial"/>
          <w:sz w:val="18"/>
          <w:szCs w:val="18"/>
          <w:color w:val="auto"/>
        </w:rPr>
      </w:pPr>
    </w:p>
    <w:p>
      <w:pPr>
        <w:ind w:left="2560" w:hanging="802"/>
        <w:spacing w:after="0"/>
        <w:tabs>
          <w:tab w:leader="none" w:pos="25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Investments in Subsidiaries of the Borrower that are not Domestic Subsidiaries in an aggregate amount not to exceed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$2,500,000.</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Compliance with ERISA</w:t>
      </w:r>
    </w:p>
    <w:p>
      <w:pPr>
        <w:spacing w:after="0" w:line="225" w:lineRule="exact"/>
        <w:rPr>
          <w:sz w:val="20"/>
          <w:szCs w:val="20"/>
          <w:color w:val="auto"/>
        </w:rPr>
      </w:pPr>
    </w:p>
    <w:p>
      <w:pPr>
        <w:jc w:val="both"/>
        <w:ind w:firstLine="656"/>
        <w:spacing w:after="0" w:line="259" w:lineRule="auto"/>
        <w:tabs>
          <w:tab w:leader="none" w:pos="8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Terminate, or permit any ERISA Affiliate to teiminate, any Plan so as to result in any material liability to the Borrower, or (ii) permit, with respect to any Employee Benefit Plan any prohibited transaction or prohibited transactions under ERISA or the Code, resulting in any material liability to the Borrower, or (iii) permit to exist any occurrence of any reportable event as defined in Section 4043(c) of ERISA with respect to a Plan if with respect to such reportable event there is or would be any material liability of the Borrower.</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Restricted Payments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Declare or pay any dividends in cash or otherwise, or set apart any sum for the payment of dividends on, or make any other distribution by reduction of capital or otherwise in respect of any shares of its stock of any class or any other equity interest or warrant or right, except that (i) the Borrower may declare and pay dividends with respect to its equity securities payable in additional shares of its equity securities, (ii) any Subsidiary may declare and pay dividends to the Borrower or any other Subsidiary and (iii) the Borrower may declare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jc w:val="both"/>
        <w:spacing w:after="0" w:line="342" w:lineRule="auto"/>
        <w:rPr>
          <w:sz w:val="20"/>
          <w:szCs w:val="20"/>
          <w:color w:val="auto"/>
        </w:rPr>
      </w:pPr>
      <w:r>
        <w:rPr>
          <w:rFonts w:ascii="Arial" w:cs="Arial" w:eastAsia="Arial" w:hAnsi="Arial"/>
          <w:sz w:val="16"/>
          <w:szCs w:val="16"/>
          <w:color w:val="auto"/>
        </w:rPr>
        <w:t>and pay dividends or distributions at such times and in such amounts as are necessary to permit distributions (which may only be paid so long as no Event of Default under Section 8.01(a) or 8.01(b) is then outstanding) to allow Borrower’s members to meet their tax obligations on such income in a timely manner.</w:t>
      </w:r>
    </w:p>
    <w:p>
      <w:pPr>
        <w:spacing w:after="0" w:line="1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Fundamental Changes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Merge into or consolidate with any other Person, or permit any other Person to merge into or consolidate with it, or sell, transfer, lease or otherwise dispose of (in one transaction or in a series of transactions) all or substantially all of its assets,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if at the time thereof and immediately after giving effect thereto, no Default shall have occurred and be continuing, (i) any direct or indirect wholly-owned Subsidiary of the Borrower may merge or consolidate with the Borrower or any other direct or indirect wholly-owned Subsidiary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Lender shall have received ten (10) days prior written notice and (y) in the event of a merger of the Borrower and a wholly-owned Subsidiary, the Borrower shall be the survivor; (ii) any Subsidiary may sell, transfer, lease or otherwise dispose of its assets to the Borrower or to any other Subsidiary; and (iii) the Borrower and any Subsidiary Guarantor may liquidate, wind up or dissolve or sell, lease or otherwise dispose of any of its Property to the extent permitted by Section 7.03.</w:t>
      </w:r>
    </w:p>
    <w:p>
      <w:pPr>
        <w:spacing w:after="0" w:line="16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Transactions with Affiliates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Enter into any transactions, including without limitation, the purchase, sale or exchange of property or the rendering of any service, with any Affiliate except: (a) in the ordinary course of and pursuant to the reasonable requirements of its business and upon fair and reasonable terms no less favorable to the Borrower as would obtain in any arm’s-length transaction with a Person not an Affiliate, (b) the payment of Management Fees; provided, that, with respect to this clause (b), (i) no Event of Default shall exist at the time of, or would result from, any such payment that is made in cash (it being understood that if a payment cannot be made in cash as a result of this proviso, the applicable fee may continue to accrue (without interest) and may be paid at a future time after such applicable Event of Default has been cured or waived, subject to this proviso), and (ii) the Management Agreement shall not be amended, supplemented, restated or otherwise modified to increase the amount of Management Fees without the prior written consent of the Lender; (c) the reimbursement of expenses to Mistral Capital Management, LLC in accordance with the Management Agreement; (d) any equity issuance of the Borrower to any of its Affiliates, and (e) any transactions in connection with the Convertible Notes.</w:t>
      </w:r>
    </w:p>
    <w:p>
      <w:pPr>
        <w:spacing w:after="0" w:line="18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u w:val="single" w:color="auto"/>
          <w:color w:val="auto"/>
        </w:rPr>
        <w:t>Financial Covenants</w:t>
      </w:r>
    </w:p>
    <w:p>
      <w:pPr>
        <w:spacing w:after="0" w:line="225" w:lineRule="exact"/>
        <w:rPr>
          <w:sz w:val="20"/>
          <w:szCs w:val="20"/>
          <w:color w:val="auto"/>
        </w:rPr>
      </w:pPr>
    </w:p>
    <w:p>
      <w:pPr>
        <w:ind w:firstLine="1305"/>
        <w:spacing w:after="0" w:line="277" w:lineRule="auto"/>
        <w:tabs>
          <w:tab w:leader="none" w:pos="18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Permit unrestricted cash of the Borrower and its Subsidiaries on a Consolidated basis to be an amount less than ten percent (10%) of the outstanding principal amount of the Loan as of the last day of each fiscal quarter of the Borrower.</w:t>
      </w:r>
    </w:p>
    <w:p>
      <w:pPr>
        <w:spacing w:after="0" w:line="170" w:lineRule="exact"/>
        <w:rPr>
          <w:rFonts w:ascii="Arial" w:cs="Arial" w:eastAsia="Arial" w:hAnsi="Arial"/>
          <w:sz w:val="18"/>
          <w:szCs w:val="18"/>
          <w:color w:val="auto"/>
        </w:rPr>
      </w:pPr>
    </w:p>
    <w:p>
      <w:pPr>
        <w:ind w:right="20" w:firstLine="1305"/>
        <w:spacing w:after="0" w:line="277" w:lineRule="auto"/>
        <w:tabs>
          <w:tab w:leader="none" w:pos="184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Permit Revenues as of the last day of each fiscal month of the Borrower for twelve consecutive month fiscal period of the Borrower ending on such last day to be less than $30,000,000.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ind w:left="660"/>
        <w:spacing w:after="0"/>
        <w:tabs>
          <w:tab w:leader="none" w:pos="18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Amendment of Operating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 amend its Organizational Documents in any manner adverse, or that could reasonably be expected to be adverse, to the Lender, in its capacity as a holder of common units of the Borrower, except (a) to the extent such modification or amendment is similarly adverse to all other holders of common units of the Borrower or (b) in its capacity as a lender of the Borrower, without, in each case of the foregoing clauses (a) and (b), the prior written consent of the Lender.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b w:val="1"/>
          <w:bCs w:val="1"/>
          <w:u w:val="single" w:color="auto"/>
          <w:color w:val="auto"/>
        </w:rPr>
        <w:t>DEFAULT</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hereunder:</w:t>
      </w:r>
    </w:p>
    <w:p>
      <w:pPr>
        <w:spacing w:after="0" w:line="225" w:lineRule="exact"/>
        <w:rPr>
          <w:sz w:val="20"/>
          <w:szCs w:val="20"/>
          <w:color w:val="auto"/>
        </w:rPr>
      </w:pPr>
    </w:p>
    <w:p>
      <w:pPr>
        <w:ind w:left="1820" w:hanging="515"/>
        <w:spacing w:after="0"/>
        <w:tabs>
          <w:tab w:leader="none" w:pos="18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failure of the Borrower to make any payment of principal on the Loan on the date when due and payable; or</w:t>
      </w:r>
    </w:p>
    <w:p>
      <w:pPr>
        <w:spacing w:after="0" w:line="225" w:lineRule="exact"/>
        <w:rPr>
          <w:rFonts w:ascii="Arial" w:cs="Arial" w:eastAsia="Arial" w:hAnsi="Arial"/>
          <w:sz w:val="18"/>
          <w:szCs w:val="18"/>
          <w:color w:val="auto"/>
        </w:rPr>
      </w:pPr>
    </w:p>
    <w:p>
      <w:pPr>
        <w:ind w:firstLine="1305"/>
        <w:spacing w:after="0" w:line="277" w:lineRule="auto"/>
        <w:tabs>
          <w:tab w:leader="none" w:pos="188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failure of the Borrower to make any payment of interest, Fees, expenses or other amounts payable under any Loan Document which failure shall have continued unremedied for a period of three Business Days after the date when due and payable;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failure of the Borrower to observe or perform any covenant or agreement contained in Article 7; or</w:t>
      </w:r>
    </w:p>
    <w:p>
      <w:pPr>
        <w:spacing w:after="0" w:line="225" w:lineRule="exact"/>
        <w:rPr>
          <w:rFonts w:ascii="Arial" w:cs="Arial" w:eastAsia="Arial" w:hAnsi="Arial"/>
          <w:sz w:val="18"/>
          <w:szCs w:val="18"/>
          <w:color w:val="auto"/>
        </w:rPr>
      </w:pPr>
    </w:p>
    <w:p>
      <w:pPr>
        <w:ind w:firstLine="1305"/>
        <w:spacing w:after="0" w:line="277" w:lineRule="auto"/>
        <w:tabs>
          <w:tab w:leader="none" w:pos="188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failure of any Credit Party to observe or perform any other term, covenant, or agreement contained in any Loan Document to which it is a party, which failure shall have continued unremedied for a period of 30 days after the occurrence thereof; or</w:t>
      </w:r>
    </w:p>
    <w:p>
      <w:pPr>
        <w:spacing w:after="0" w:line="170" w:lineRule="exact"/>
        <w:rPr>
          <w:rFonts w:ascii="Arial" w:cs="Arial" w:eastAsia="Arial" w:hAnsi="Arial"/>
          <w:sz w:val="18"/>
          <w:szCs w:val="18"/>
          <w:color w:val="auto"/>
        </w:rPr>
      </w:pPr>
    </w:p>
    <w:p>
      <w:pPr>
        <w:jc w:val="both"/>
        <w:ind w:right="20" w:firstLine="1305"/>
        <w:spacing w:after="0" w:line="264" w:lineRule="auto"/>
        <w:tabs>
          <w:tab w:leader="none" w:pos="186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representation, warranty, certification or statement made by any Credit Party (or any of its officers) in any Loan Document to which it is a party, or in any certificate, financial statement or other document delivered or to be delivered by it pursuant thereto, shall prove to have been incorrect or misleading in any material respect when made or deemed made; or</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84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 Any Indebtedness of the Borrower or any Subsidiary Guarantor (other than its obligations hereunder) in an amount in excess of $100,000, whether as principal, guarantor, surety or other obligor (x) shall become or shall be declared to be due and payable prior to the expressed maturity thereof, or (y) shall not be paid when due or within any grace period for the payment thereof, or (ii) any holder of any obligation referred to in clause (i) of this Subsection (f) shall have the right to declare such obligation due and payable prior to the expressed maturity thereof; or</w:t>
      </w:r>
    </w:p>
    <w:p>
      <w:pPr>
        <w:spacing w:after="0" w:line="171" w:lineRule="exact"/>
        <w:rPr>
          <w:rFonts w:ascii="Arial" w:cs="Arial" w:eastAsia="Arial" w:hAnsi="Arial"/>
          <w:sz w:val="17"/>
          <w:szCs w:val="17"/>
          <w:color w:val="auto"/>
        </w:rPr>
      </w:pPr>
    </w:p>
    <w:p>
      <w:pPr>
        <w:ind w:left="1840" w:hanging="535"/>
        <w:spacing w:after="0"/>
        <w:tabs>
          <w:tab w:leader="none" w:pos="18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Borrower or any Subsidiary Guarantor shall (i) except as permitted by Section 7.03 or 7.07, suspend or discontinue its business,</w:t>
      </w:r>
    </w:p>
    <w:p>
      <w:pPr>
        <w:spacing w:after="0" w:line="46" w:lineRule="exact"/>
        <w:rPr>
          <w:rFonts w:ascii="Arial" w:cs="Arial" w:eastAsia="Arial" w:hAnsi="Arial"/>
          <w:sz w:val="16"/>
          <w:szCs w:val="16"/>
          <w:color w:val="auto"/>
        </w:rPr>
      </w:pPr>
    </w:p>
    <w:p>
      <w:pPr>
        <w:ind w:firstLine="8"/>
        <w:spacing w:after="0" w:line="323" w:lineRule="auto"/>
        <w:tabs>
          <w:tab w:leader="none" w:pos="27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make an assignment for the benefit of creditors, (iii) generally not be paying its debts as such debts become due, (iv) admit in writing its inability to pay its debts as they become due, (v) file a voluntary petition in bankruptcy, (vi) become insolvent (however such insolvency shall be evidenced), (vii) file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jc w:val="both"/>
        <w:ind w:firstLine="1297"/>
        <w:spacing w:after="0" w:line="288" w:lineRule="auto"/>
        <w:rPr>
          <w:sz w:val="20"/>
          <w:szCs w:val="20"/>
          <w:color w:val="auto"/>
        </w:rPr>
      </w:pPr>
      <w:r>
        <w:rPr>
          <w:rFonts w:ascii="Arial" w:cs="Arial" w:eastAsia="Arial" w:hAnsi="Arial"/>
          <w:sz w:val="16"/>
          <w:szCs w:val="16"/>
          <w:color w:val="auto"/>
        </w:rPr>
        <w:t>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60 days,</w:t>
      </w:r>
    </w:p>
    <w:p>
      <w:pPr>
        <w:jc w:val="both"/>
        <w:ind w:firstLine="8"/>
        <w:spacing w:after="0" w:line="271" w:lineRule="auto"/>
        <w:tabs>
          <w:tab w:leader="none" w:pos="26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60 days, or (xii) take any formal action for the purpose of effecting any of the foregoing or looking to the liquidation or dissolution of the Borrower or any Subsidiary Guarantor; or</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93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 An order for relief is entered under the United States bankruptcy laws, or (ii) any other decree or order is entered by a court having jurisdiction (A) adjudging the Borrower or any Subsidiary Guarantor bankrupt or insolvent, (B) approving as properly filed a petition seeking reorganization, liquidation, arrangement, adjustment or composition of or in respect of the Borrower or any Subsidiary Guarantor under the United States bankruptcy laws or any other applicable Federal or state law, (C) appointing a receiver, liquidator, assignee, trustee, custodian, sequestrator (or other similar official) of the Borrower or any Subsidiary Guarantor or of any substantial part of the Property thereof, or (D) ordering the winding up or liquidation of the affairs of the Borrower or any Subsidiary Guarantor, and any such decree or order under this clause (ii) continues unstayed and in effect for a period of 60 days; or</w:t>
      </w:r>
    </w:p>
    <w:p>
      <w:pPr>
        <w:spacing w:after="0" w:line="189" w:lineRule="exact"/>
        <w:rPr>
          <w:rFonts w:ascii="Arial" w:cs="Arial" w:eastAsia="Arial" w:hAnsi="Arial"/>
          <w:sz w:val="18"/>
          <w:szCs w:val="18"/>
          <w:color w:val="auto"/>
        </w:rPr>
      </w:pPr>
    </w:p>
    <w:p>
      <w:pPr>
        <w:ind w:firstLine="1305"/>
        <w:spacing w:after="0" w:line="308" w:lineRule="auto"/>
        <w:tabs>
          <w:tab w:leader="none" w:pos="178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Judgments or other orders for the payment of money aggregating in excess of $150,000 shall be rendered against the Borrower or any Subsidiary Guarantor and shall remain unpaid, unstayed on appeal, undischarged, unbonded or undismissed for a period of 30 days; or</w:t>
      </w:r>
    </w:p>
    <w:p>
      <w:pPr>
        <w:spacing w:after="0" w:line="146" w:lineRule="exact"/>
        <w:rPr>
          <w:rFonts w:ascii="Arial" w:cs="Arial" w:eastAsia="Arial" w:hAnsi="Arial"/>
          <w:sz w:val="17"/>
          <w:szCs w:val="17"/>
          <w:color w:val="auto"/>
        </w:rPr>
      </w:pPr>
    </w:p>
    <w:p>
      <w:pPr>
        <w:ind w:firstLine="1305"/>
        <w:spacing w:after="0" w:line="277" w:lineRule="auto"/>
        <w:tabs>
          <w:tab w:leader="none" w:pos="186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Loan Document shall cease, for any reason, to be in full force and effect, or the Borrower or any obligor thereunder shall so assert in writing or shall disavow any of its obligations thereunder or hereunder; or</w:t>
      </w:r>
    </w:p>
    <w:p>
      <w:pPr>
        <w:spacing w:after="0" w:line="170" w:lineRule="exact"/>
        <w:rPr>
          <w:rFonts w:ascii="Arial" w:cs="Arial" w:eastAsia="Arial" w:hAnsi="Arial"/>
          <w:sz w:val="18"/>
          <w:szCs w:val="18"/>
          <w:color w:val="auto"/>
        </w:rPr>
      </w:pPr>
    </w:p>
    <w:p>
      <w:pPr>
        <w:ind w:right="20" w:firstLine="1305"/>
        <w:spacing w:after="0" w:line="277" w:lineRule="auto"/>
        <w:tabs>
          <w:tab w:leader="none" w:pos="182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 or</w:t>
      </w:r>
    </w:p>
    <w:p>
      <w:pPr>
        <w:spacing w:after="0" w:line="170" w:lineRule="exact"/>
        <w:rPr>
          <w:sz w:val="20"/>
          <w:szCs w:val="20"/>
          <w:color w:val="auto"/>
        </w:rPr>
      </w:pPr>
    </w:p>
    <w:p>
      <w:pPr>
        <w:ind w:left="1820" w:hanging="515"/>
        <w:spacing w:after="0"/>
        <w:tabs>
          <w:tab w:leader="none" w:pos="1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Material Adverse Change shall have occurred; or</w:t>
      </w:r>
    </w:p>
    <w:p>
      <w:pPr>
        <w:spacing w:after="0" w:line="225" w:lineRule="exact"/>
        <w:rPr>
          <w:sz w:val="20"/>
          <w:szCs w:val="20"/>
          <w:color w:val="auto"/>
        </w:rPr>
      </w:pPr>
    </w:p>
    <w:p>
      <w:pPr>
        <w:ind w:left="1820" w:hanging="515"/>
        <w:spacing w:after="0"/>
        <w:tabs>
          <w:tab w:leader="none" w:pos="1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Change in Control shall have occurred; or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Change in Management shall have occurred; or</w:t>
      </w:r>
    </w:p>
    <w:p>
      <w:pPr>
        <w:spacing w:after="0" w:line="225" w:lineRule="exact"/>
        <w:rPr>
          <w:rFonts w:ascii="Arial" w:cs="Arial" w:eastAsia="Arial" w:hAnsi="Arial"/>
          <w:sz w:val="18"/>
          <w:szCs w:val="18"/>
          <w:color w:val="auto"/>
        </w:rPr>
      </w:pPr>
    </w:p>
    <w:p>
      <w:pPr>
        <w:ind w:firstLine="1305"/>
        <w:spacing w:after="0" w:line="277" w:lineRule="auto"/>
        <w:tabs>
          <w:tab w:leader="none" w:pos="19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failure by the members of the Borrower to fund any Funding Call on or before the date that is twenty (20) Business Days’ following the date of delivery of written notice from the Borrower to such members of such Funding Call.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ind w:left="660"/>
        <w:spacing w:after="0"/>
        <w:tabs>
          <w:tab w:leader="none" w:pos="18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Remedies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occurrence of an Event of Default or at any time thereafter during the continuance thereof, (a) if such event is an Event of Default specified in Section 8.01(g) or Section 8.01(h), (i) the Loan, all accrued and unpaid interest thereon and all other amounts owing under the Loan Documents shall immediately become due and payable, (ii) the Commitment shall immediately terminate and (iii) the Lender may exercise any and all remedies and other rights provided in the Loan Documents, and (b) if such event is any other Event of Default, any or all of the following actions may be taken: (i) the Lender may by notice to the Borrower, (x) declare the Loan, all accrued and unpaid interest thereon and all other amounts owing under any Loan Documents to be due and payable, whereupon the same shall immediately become due and payable, and (y) declare the Commitment to be immediately terminated, and (ii) the Lender may exercise any and all remedies and other rights provided in the Loan Documents, presentment, demand, protest and all other notices of any kind being in each case hereby expressly waived by the Borrower.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b w:val="1"/>
          <w:bCs w:val="1"/>
          <w:u w:val="single" w:color="auto"/>
          <w:color w:val="auto"/>
        </w:rPr>
        <w:t>OTHER PROVISIONS</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Modifications; Consents and Waivers; Entire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modification or waiver of or with respect to any provision of this Agreement, the Note, or any other agreement, instrument or document delivered pursuant hereto or thereto, nor consent to any departure by the Borrower from any of the terms or conditions thereof, shall in any event be effective unless it shall be in writing and signed by the Borrower and the Lender, and then such waiver or consent shall be effective only in the specific instance and for the purpose for which given. No notice to or demand on the Borrower (not otherwise required by the terms hereof) shall, of itself, entitle the Borrower to any other or further notice or demand in similar or other circumstances. This Agreement embodies the entire agreement and understanding between the Lender and the Borrower and supersedes all prior agreements and understandings relating to the subject matter hereof, including without limitation, the Letter of Intent.</w:t>
      </w:r>
    </w:p>
    <w:p>
      <w:pPr>
        <w:spacing w:after="0" w:line="18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notices, requests, reports and other communications pursuant to this Loan Agreement shall be in writing, either by letter (delivered by nationally recognized overnight courier service or sent by registered or certified mail, return receipt requested), facsimile transmission or other electronic means, addressed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XpresSpa Holdings, LLC</w:t>
      </w:r>
    </w:p>
    <w:p>
      <w:pPr>
        <w:ind w:left="1300"/>
        <w:spacing w:after="0" w:line="195" w:lineRule="auto"/>
        <w:rPr>
          <w:sz w:val="20"/>
          <w:szCs w:val="20"/>
          <w:color w:val="auto"/>
        </w:rPr>
      </w:pPr>
      <w:r>
        <w:rPr>
          <w:rFonts w:ascii="Arial" w:cs="Arial" w:eastAsia="Arial" w:hAnsi="Arial"/>
          <w:sz w:val="18"/>
          <w:szCs w:val="18"/>
          <w:color w:val="auto"/>
        </w:rPr>
        <w:t>3 East 54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Moreton Binn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212-750-9595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212-750-8607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E-mail: binn@xpresspa.com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Mistral Equity Partners, LP</w:t>
      </w:r>
    </w:p>
    <w:p>
      <w:pPr>
        <w:ind w:left="1360"/>
        <w:spacing w:after="0" w:line="195" w:lineRule="auto"/>
        <w:rPr>
          <w:sz w:val="20"/>
          <w:szCs w:val="20"/>
          <w:color w:val="auto"/>
        </w:rPr>
      </w:pPr>
      <w:r>
        <w:rPr>
          <w:rFonts w:ascii="Arial" w:cs="Arial" w:eastAsia="Arial" w:hAnsi="Arial"/>
          <w:sz w:val="18"/>
          <w:szCs w:val="18"/>
          <w:color w:val="auto"/>
        </w:rPr>
        <w:t>650 Fifth Avenue,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New York 10019</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William Phoenix</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Telephone: 212-616-9600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Facsimile: 212-616-9601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E-mail: WPhoenix@mistralequity.com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1251 Avenue of the Americas, 27th Floor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Attn: Sidney Burke, Esq.</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Telephone: 212.335.4509</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Facsimile: 212.884.8729</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Email: sidney.burke@dlapiper.com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Rockmore Investment Master Fund Ltd.</w:t>
      </w:r>
    </w:p>
    <w:p>
      <w:pPr>
        <w:ind w:left="1360"/>
        <w:spacing w:after="0" w:line="195" w:lineRule="auto"/>
        <w:rPr>
          <w:sz w:val="20"/>
          <w:szCs w:val="20"/>
          <w:color w:val="auto"/>
        </w:rPr>
      </w:pPr>
      <w:r>
        <w:rPr>
          <w:rFonts w:ascii="Arial" w:cs="Arial" w:eastAsia="Arial" w:hAnsi="Arial"/>
          <w:sz w:val="18"/>
          <w:szCs w:val="18"/>
          <w:color w:val="auto"/>
        </w:rPr>
        <w:t>150 East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28</w:t>
      </w:r>
      <w:r>
        <w:rPr>
          <w:rFonts w:ascii="Arial" w:cs="Arial" w:eastAsia="Arial" w:hAnsi="Arial"/>
          <w:sz w:val="30"/>
          <w:szCs w:val="30"/>
          <w:color w:val="auto"/>
          <w:vertAlign w:val="superscript"/>
        </w:rPr>
        <w:t>1</w:t>
      </w:r>
      <w:r>
        <w:rPr>
          <w:rFonts w:ascii="Arial" w:cs="Arial" w:eastAsia="Arial" w:hAnsi="Arial"/>
          <w:sz w:val="18"/>
          <w:szCs w:val="18"/>
          <w:color w:val="auto"/>
        </w:rPr>
        <w:t>” Floor</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New York 10155</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Bruce Bernstein, Managing Partner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Telephone: 212-258-2301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E-mail: BB@Rockmorecapital.com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Sills Cummis &amp; Gross P.C.</w:t>
      </w:r>
    </w:p>
    <w:p>
      <w:pPr>
        <w:ind w:left="1360"/>
        <w:spacing w:after="0" w:line="195" w:lineRule="auto"/>
        <w:rPr>
          <w:sz w:val="20"/>
          <w:szCs w:val="20"/>
          <w:color w:val="auto"/>
        </w:rPr>
      </w:pPr>
      <w:r>
        <w:rPr>
          <w:rFonts w:ascii="Arial" w:cs="Arial" w:eastAsia="Arial" w:hAnsi="Arial"/>
          <w:sz w:val="18"/>
          <w:szCs w:val="18"/>
          <w:color w:val="auto"/>
        </w:rPr>
        <w:t>101 Park Avenue,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 York, New York 10178</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Brian A. Haskel, Esq.</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Telephone: 212-500-1541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Facsimile: 212-643-6500</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E-mail: Bhaskel@sillscummis.com</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notice, request, demand or other communication hereunder shall be deemed to have been given on: (x) the day on which it is sent by facsimile transmission or other electronic means to such party at its facsimile number or email address specified above (provided such notice shall be effective only if followed by one of the other methods of delivery set forth herein) or delivered by a nationally recognized overnight courier service to such party at its address specified above, or (y) on the third Business Day after the day deposited in the mail, postage prepaid, if sent by mail. 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1" w:name="page132"/>
    <w:bookmarkEnd w:id="131"/>
    <w:p>
      <w:pPr>
        <w:ind w:right="20"/>
        <w:spacing w:after="0" w:line="308" w:lineRule="auto"/>
        <w:rPr>
          <w:sz w:val="20"/>
          <w:szCs w:val="20"/>
          <w:color w:val="auto"/>
        </w:rPr>
      </w:pPr>
      <w:r>
        <w:rPr>
          <w:rFonts w:ascii="Arial" w:cs="Arial" w:eastAsia="Arial" w:hAnsi="Arial"/>
          <w:sz w:val="17"/>
          <w:szCs w:val="17"/>
          <w:color w:val="auto"/>
        </w:rPr>
        <w:t xml:space="preserve">party hereto may change the Person, address or facsimile number to whom or which notices are to be given hereunder, by notice duly given hereunder;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notice shall be deemed to have been given hereunder only when actually received by the party to which it is addressed.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Successors and Assigns; Participation; Pledge</w:t>
      </w:r>
    </w:p>
    <w:p>
      <w:pPr>
        <w:spacing w:after="0" w:line="225" w:lineRule="exact"/>
        <w:rPr>
          <w:sz w:val="20"/>
          <w:szCs w:val="20"/>
          <w:color w:val="auto"/>
        </w:rPr>
      </w:pPr>
    </w:p>
    <w:p>
      <w:pPr>
        <w:jc w:val="both"/>
        <w:ind w:firstLine="1305"/>
        <w:spacing w:after="0" w:line="264" w:lineRule="auto"/>
        <w:tabs>
          <w:tab w:leader="none" w:pos="186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Borrower, the Lender, all future holders of the Note and their respective successors and permitted assigns, except that the Borrower may not assign or transfer any of its rights under this Agreement without prior written consent of the Lender.</w:t>
      </w:r>
    </w:p>
    <w:p>
      <w:pPr>
        <w:spacing w:after="0" w:line="181" w:lineRule="exact"/>
        <w:rPr>
          <w:rFonts w:ascii="Arial" w:cs="Arial" w:eastAsia="Arial" w:hAnsi="Arial"/>
          <w:sz w:val="18"/>
          <w:szCs w:val="18"/>
          <w:color w:val="auto"/>
        </w:rPr>
      </w:pPr>
    </w:p>
    <w:p>
      <w:pPr>
        <w:jc w:val="both"/>
        <w:ind w:firstLine="1305"/>
        <w:spacing w:after="0" w:line="285" w:lineRule="auto"/>
        <w:tabs>
          <w:tab w:leader="none" w:pos="183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Lender shall have the right at any time or from time to time, with the prior written consent of the Borrower (such consent not to be unreasonably withheld or delayed), to assign all or any portion of its rights and obligations hereunder to one or more Lenders or other financial institutions (each, an </w:t>
      </w:r>
      <w:r>
        <w:rPr>
          <w:rFonts w:ascii="Arial" w:cs="Arial" w:eastAsia="Arial" w:hAnsi="Arial"/>
          <w:sz w:val="16"/>
          <w:szCs w:val="16"/>
          <w:i w:val="1"/>
          <w:iCs w:val="1"/>
          <w:color w:val="auto"/>
        </w:rPr>
        <w:t>“Assignee”); provided</w:t>
      </w:r>
      <w:r>
        <w:rPr>
          <w:rFonts w:ascii="Arial" w:cs="Arial" w:eastAsia="Arial" w:hAnsi="Arial"/>
          <w:sz w:val="16"/>
          <w:szCs w:val="16"/>
          <w:color w:val="auto"/>
        </w:rPr>
        <w:t xml:space="preserve"> that no consent of the Borrower shall be required if an Event of Default has occurred and is continuing, and the Borrower agrees that it shall execute or cause to be executed, such documents, including, without limitation, amendments to this Agreement and to any other documents, instruments and agreements executed in connection herewith as the Lender shall deem necessary to effect the foregoing. In addition, at the request of the Lender and any such Assignee, the Borrower shall issue one or more new promissory notes, as applicable, to any such Assignee and, if the Lender has retained any of its rights and obligations hereunder following such assignment, to the Lender, which new promissory notes shall be issued in replacement of, but not in discharge of, the liability evidenced by the promissory note held by the Lender prior to such assignment and shall reflect the amount of the respective commitments and loans held by such Assignee and the Lender after giving effect to such assignment. Upon the execution and delivery of appropriate assignment documentation, amendments and any other documentation required by the Lender and which is reasonable acceptable to the Borrower in connection with such assignment, the payment by the Assignee of the purchase price agreed to by the Lender, and such Assignee, and the recordation of the assignment in the Register pursuant to Section 9.03(e), such Assignee shall be a party to this Agreement and shall have all of the rights and obligations of the Lender hereunder (and under any and all other guaranties, documents, instruments and agreements executed in connection therewith) to the extent that such rights and obligations have been assigned by the Lender pursuant to the assignment documentation between the Lender and such Assignee, and the Lender shall be released from its obligations hereunder and thereunder to a corresponding extent. The Borrower may furnish any information concerning the Borrower in its possession from time to time to prospective Assignees, provided that the Lender shall require any such prospective Assignees to agree in writing to maintain the confidentiality of such information pursuant to a confidentiality agreement reasonably acceptable to the Borrower.</w:t>
      </w:r>
    </w:p>
    <w:p>
      <w:pPr>
        <w:spacing w:after="0" w:line="175" w:lineRule="exact"/>
        <w:rPr>
          <w:rFonts w:ascii="Arial" w:cs="Arial" w:eastAsia="Arial" w:hAnsi="Arial"/>
          <w:sz w:val="16"/>
          <w:szCs w:val="16"/>
          <w:color w:val="auto"/>
        </w:rPr>
      </w:pPr>
    </w:p>
    <w:p>
      <w:pPr>
        <w:jc w:val="both"/>
        <w:ind w:firstLine="1305"/>
        <w:spacing w:after="0" w:line="257" w:lineRule="auto"/>
        <w:tabs>
          <w:tab w:leader="none" w:pos="18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Lender shall have the unrestricted right at any time and from time to time, and without the consent of, or notice to, the Borrower, to grant to one or more Lenders or other financial institutions (each, a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participating interests in the Lender’s obligation to lend hereunder and/or any or all of the Loan held by the Lender hereunder. In the event of any such grant by the Lender of a participating interest to a Participant, whether or not upon notice to the Borrower, the Lender shall remain responsible for the performance of its obligations hereunder and the Borrower shall continue to deal solely and directly with the Lender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jc w:val="both"/>
        <w:ind w:right="20"/>
        <w:spacing w:after="0" w:line="264" w:lineRule="auto"/>
        <w:rPr>
          <w:sz w:val="20"/>
          <w:szCs w:val="20"/>
          <w:color w:val="auto"/>
        </w:rPr>
      </w:pPr>
      <w:r>
        <w:rPr>
          <w:rFonts w:ascii="Arial" w:cs="Arial" w:eastAsia="Arial" w:hAnsi="Arial"/>
          <w:sz w:val="18"/>
          <w:szCs w:val="18"/>
          <w:color w:val="auto"/>
        </w:rPr>
        <w:t xml:space="preserve">in connection with the Lender’s rights and obligations hereunder, the Lender may furnish any information concerning the Borrower in its possession from time to time to prospective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Lender shall require any such prospective Participant to agree in writing to maintain the confidentiality of such information pursuant to a confidentiality agreement reasonably acceptable to the Borrower.</w:t>
      </w:r>
    </w:p>
    <w:p>
      <w:pPr>
        <w:spacing w:after="0" w:line="181" w:lineRule="exact"/>
        <w:rPr>
          <w:sz w:val="20"/>
          <w:szCs w:val="20"/>
          <w:color w:val="auto"/>
        </w:rPr>
      </w:pPr>
    </w:p>
    <w:p>
      <w:pPr>
        <w:jc w:val="both"/>
        <w:ind w:firstLine="1305"/>
        <w:spacing w:after="0" w:line="264" w:lineRule="auto"/>
        <w:tabs>
          <w:tab w:leader="none" w:pos="18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Lender may at any time pledge all or any portion of its rights under the Loan Documents including any portion of any Note to any of the twelve (12) Federal Reserve Banks organized under Section 4 of the Federal Reserve Act, 12 U.S.C. Section 341. No such pledge or enforcement thereof shall release the Lender from its obligations under any of the Loan Documents.</w:t>
      </w:r>
    </w:p>
    <w:p>
      <w:pPr>
        <w:spacing w:after="0" w:line="181" w:lineRule="exact"/>
        <w:rPr>
          <w:rFonts w:ascii="Arial" w:cs="Arial" w:eastAsia="Arial" w:hAnsi="Arial"/>
          <w:sz w:val="18"/>
          <w:szCs w:val="18"/>
          <w:color w:val="auto"/>
        </w:rPr>
      </w:pPr>
    </w:p>
    <w:p>
      <w:pPr>
        <w:jc w:val="both"/>
        <w:ind w:firstLine="1305"/>
        <w:spacing w:after="0" w:line="297" w:lineRule="auto"/>
        <w:tabs>
          <w:tab w:leader="none" w:pos="185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Lender, as agent for the Borrower, shall maintain at its address referred to in Section 9.02 a copy of the documents evidencing each assignment and a register for the recordation of the names and addresses of the Lenders and principal amount of the Loan owing to, each Lender from time to time (the </w:t>
      </w:r>
      <w:r>
        <w:rPr>
          <w:rFonts w:ascii="Arial" w:cs="Arial" w:eastAsia="Arial" w:hAnsi="Arial"/>
          <w:sz w:val="16"/>
          <w:szCs w:val="16"/>
          <w:i w:val="1"/>
          <w:iCs w:val="1"/>
          <w:color w:val="auto"/>
        </w:rPr>
        <w:t>“Register”).</w:t>
      </w:r>
      <w:r>
        <w:rPr>
          <w:rFonts w:ascii="Arial" w:cs="Arial" w:eastAsia="Arial" w:hAnsi="Arial"/>
          <w:sz w:val="16"/>
          <w:szCs w:val="16"/>
          <w:color w:val="auto"/>
        </w:rPr>
        <w:t xml:space="preserve"> The entries in the Register shall be conclusive and binding for all purposes, absent manifest error, and the Borrower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5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No Waiver; Cumulative Remedies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failure to exercise and no delay in exercising, on the part of the Lender, any right, remedy, power or privilege hereunder, shall operate as a waiver thereof; nor shall any single or partial exercise of any right, remedy, power or privilege hereunder preclude any other or further exercise thereof or the exercise of any other right.</w:t>
      </w:r>
    </w:p>
    <w:p>
      <w:pPr>
        <w:spacing w:after="0" w:line="18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Survival of Representations and Warranties and Certain Obligations</w:t>
      </w:r>
    </w:p>
    <w:p>
      <w:pPr>
        <w:spacing w:after="0" w:line="225" w:lineRule="exact"/>
        <w:rPr>
          <w:sz w:val="20"/>
          <w:szCs w:val="20"/>
          <w:color w:val="auto"/>
        </w:rPr>
      </w:pPr>
    </w:p>
    <w:p>
      <w:pPr>
        <w:ind w:right="20" w:firstLine="1305"/>
        <w:spacing w:after="0" w:line="277" w:lineRule="auto"/>
        <w:tabs>
          <w:tab w:leader="none" w:pos="19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representations and warranties made hereunder and in any document, certificate or statement delivered pursuant hereto or in connection herewith shall survive the execution and delivery of this Agreement, the Note and the other Loan Documents.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5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obligations of the Borrower under Sections 3.03 and 9.06 shall survive the payment of the Loan and all other amounts payable under the Loan Documents. The Lender’s determination of any amount or amounts owed by the Borrower to it under any such Section shall be presumed correct absent manifest error.</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Costs; Expenses and Taxes; Indemnification</w:t>
      </w:r>
    </w:p>
    <w:p>
      <w:pPr>
        <w:spacing w:after="0" w:line="225" w:lineRule="exact"/>
        <w:rPr>
          <w:sz w:val="20"/>
          <w:szCs w:val="20"/>
          <w:color w:val="auto"/>
        </w:rPr>
      </w:pPr>
    </w:p>
    <w:p>
      <w:pPr>
        <w:jc w:val="both"/>
        <w:ind w:firstLine="1305"/>
        <w:spacing w:after="0" w:line="257" w:lineRule="auto"/>
        <w:tabs>
          <w:tab w:leader="none" w:pos="19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 agrees to pay or reimburse all reasonable out-of-pocket costs and expenses of the Lender in connection with the preparation, negotiation, administration and enforcement of this Agreement, the Note, and the other instruments and documents to be delivered hereunder including, without limitation, the reasonable fees and out-of-pocket expenses of legal counsel, independent public accountants and other outside experts retained by the Lender in connection with the enforcement of the Agreement, the Note and the other instruments and documents to be delivered thereunder. In addition, the Borrower shall pay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ind w:right="20"/>
        <w:spacing w:after="0" w:line="308" w:lineRule="auto"/>
        <w:rPr>
          <w:sz w:val="20"/>
          <w:szCs w:val="20"/>
          <w:color w:val="auto"/>
        </w:rPr>
      </w:pPr>
      <w:r>
        <w:rPr>
          <w:rFonts w:ascii="Arial" w:cs="Arial" w:eastAsia="Arial" w:hAnsi="Arial"/>
          <w:sz w:val="17"/>
          <w:szCs w:val="17"/>
          <w:color w:val="auto"/>
        </w:rPr>
        <w:t>and all stamp and other excise taxes, if any, payable or determined to be payable in connection with the execution and delivery of this Agreement, the Note and the other instruments and documents to be delivered hereunder or the consummation of the transactions contemplated hereby.</w:t>
      </w:r>
    </w:p>
    <w:p>
      <w:pPr>
        <w:spacing w:after="0" w:line="147" w:lineRule="exact"/>
        <w:rPr>
          <w:sz w:val="20"/>
          <w:szCs w:val="20"/>
          <w:color w:val="auto"/>
        </w:rPr>
      </w:pPr>
    </w:p>
    <w:p>
      <w:pPr>
        <w:jc w:val="both"/>
        <w:ind w:firstLine="1305"/>
        <w:spacing w:after="0" w:line="273" w:lineRule="auto"/>
        <w:tabs>
          <w:tab w:leader="none" w:pos="185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Borrower agrees to indemnify the Lender and its directors, officers, employees and agents against, and on demand for, any and all liabilities, obligations, losses, damages, penalties, actions, judgments, costs, expenses or disbursements of an kind or nature whatsoever which may at any time be imposed on, incurred by or asserted against the Lender by any third party relating to or arising out of this Agreement and any of the documents executed in connection herewith or any actual or proposed use of any proceeds of the Loan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liable for any of the foregoing to the extent they arise from the gross negligence or willful misconduct of the Lender. Notwithstanding anything in this Agreement to the contrary, the provisions of this Section 9.06 shall survive the termination of this Agreement.</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8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the extent permitted by applicable law, the Borrower shall not assert, and hereby waives, any claim against the Lender and its directors, officers, employees and agents for any special, indirect, consequential or punitive damages (whether accrued and whether known or suspected to exist in its favor) arising out of, in connection with, or as a result of, the Loan Documents, the transactions contemplated thereby, or the Loan or the use of the proceeds thereof</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All amounts due under this Section 9.06 shall be payable promptly but in no event later than thirty days after written demand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therefor.</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7"/>
          <w:szCs w:val="17"/>
          <w:u w:val="single" w:color="auto"/>
          <w:color w:val="auto"/>
        </w:rPr>
        <w:t>Right of Set-Off</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Borrower hereby grants to the Lender a Lien, security interest and a right of setoff as security for all liabilities and obligations to the Lender, whether now existing or hereafter arising, upon and against all deposits, credits, collateral and property, now or hereafter in the possession, custody, safekeeping or control of the Lender or any entity under the control of Lender or in transit to any of them. At any time, without demand or notice, the Lender may set off the same or any part thereof and apply the same to any liability or obligation of the Borrower even though unmatured and regardless of the adequacy of any other collateral security for the Loans. Any and all rights to require the Lender to exercise its rights or remedies with respect to any other collateral which secures the Loans prior to exercising its right of setoff with respect to such deposits, credits or other property of the Borrower, are hereby knowingly, voluntarily and irrevocably waived. The rights of the Lender under this Section 9.07 are in addition to other rights and remedies (including, without limitation, other rights of set-off) which the Lender may have.</w:t>
      </w:r>
    </w:p>
    <w:p>
      <w:pPr>
        <w:spacing w:after="0" w:line="17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Execution in Counterparts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4" w:name="page135"/>
    <w:bookmarkEnd w:id="134"/>
    <w:p>
      <w:pPr>
        <w:ind w:left="660"/>
        <w:spacing w:after="0"/>
        <w:tabs>
          <w:tab w:leader="none" w:pos="180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7"/>
          <w:szCs w:val="17"/>
          <w:u w:val="single" w:color="auto"/>
          <w:color w:val="auto"/>
        </w:rPr>
        <w:t>GOVERNING LAW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AND THE NOTE AND THE RIGHTS AND DUTIES OF THE PARTIES UNDER THIS AGREEMENT AND THE NOTE AND WITH RESPECT TO INTEREST, SHALL BE GOVERNED BY, AND CONSTRUED AND INTERPRETED IN ACCORDANCE WITH, THE INTERNAL LAWS OF THE STATE OF NEW YORK.</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7"/>
          <w:szCs w:val="17"/>
          <w:u w:val="single" w:color="auto"/>
          <w:color w:val="auto"/>
        </w:rPr>
        <w:t>JURISDICTION, ETC.</w:t>
      </w:r>
    </w:p>
    <w:p>
      <w:pPr>
        <w:spacing w:after="0" w:line="225" w:lineRule="exact"/>
        <w:rPr>
          <w:sz w:val="20"/>
          <w:szCs w:val="20"/>
          <w:color w:val="auto"/>
        </w:rPr>
      </w:pPr>
    </w:p>
    <w:p>
      <w:pPr>
        <w:jc w:val="both"/>
        <w:ind w:firstLine="1305"/>
        <w:spacing w:after="0" w:line="252" w:lineRule="auto"/>
        <w:tabs>
          <w:tab w:leader="none" w:pos="18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SUBMITS, FOR ITSELF AND ITS PROPERTY, TO THE NONEXCLUSIVE JURISDICTION OF ANY NEW YORK STATE COURT OR FEDERAL COURT OF THE UNITED STATES OF AMERICA SITTING IN NEW YORK COUNTY, NEW YORK, AND ANY APPELLATE COURT FROM ANY THEREOF, IN ANY ACTION OR PROCEEDING ARISING OUT OF OR RELATING TO THIS AGREEMENT OR ANY OF THE OTHER LOAN DOCUMENTS TO WHICH IT IS A PARTY,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LENDER MAY OTHERWISE HAVE TO BRING ANY ACTION OR PROCEEDING RELATING TO THIS AGREEMENT OR ANY OF THE OTHER LOAN DOCUMENTS IN THE COURTS OF ANY JURISDICTION. EACH PARTY FURTHER IRREVOCABLY CONSENTS TO THE SERVICE OF ANY COMPLAINT, SUMMONS, NOTICE OR OTHER PROCESS RELATING TO ANY SUCH ACTION OR PROCEEDING BY DELIVERY THEREOF TO IT BY HAND OR BY MAIL IN THE MANNER PROVIDED FOR IN SECTION 9.02 HEREOF.</w:t>
      </w:r>
    </w:p>
    <w:p>
      <w:pPr>
        <w:spacing w:after="0" w:line="198" w:lineRule="exact"/>
        <w:rPr>
          <w:rFonts w:ascii="Arial" w:cs="Arial" w:eastAsia="Arial" w:hAnsi="Arial"/>
          <w:sz w:val="18"/>
          <w:szCs w:val="18"/>
          <w:color w:val="auto"/>
        </w:rPr>
      </w:pPr>
    </w:p>
    <w:p>
      <w:pPr>
        <w:jc w:val="both"/>
        <w:ind w:firstLine="1305"/>
        <w:spacing w:after="0" w:line="255" w:lineRule="auto"/>
        <w:tabs>
          <w:tab w:leader="none" w:pos="18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OF THE OTHER LOAN DOCUMENTS TO WHICH IT IS A PARTY IN ANY NEW YORK STATE OR FEDERAL COURT SITTING IN NEW YORK CITY.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5" w:name="page136"/>
    <w:bookmarkEnd w:id="135"/>
    <w:p>
      <w:pPr>
        <w:ind w:left="660"/>
        <w:spacing w:after="0"/>
        <w:tabs>
          <w:tab w:leader="none" w:pos="176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7"/>
          <w:szCs w:val="17"/>
          <w:u w:val="single" w:color="auto"/>
          <w:color w:val="auto"/>
        </w:rPr>
        <w:t>WAIVER OF TRIAL BY JURY.</w:t>
      </w:r>
    </w:p>
    <w:p>
      <w:pPr>
        <w:spacing w:after="0" w:line="225" w:lineRule="exact"/>
        <w:rPr>
          <w:sz w:val="20"/>
          <w:szCs w:val="20"/>
          <w:color w:val="auto"/>
        </w:rPr>
      </w:pPr>
    </w:p>
    <w:p>
      <w:pPr>
        <w:jc w:val="both"/>
        <w:ind w:firstLine="1305"/>
        <w:spacing w:after="0" w:line="272" w:lineRule="auto"/>
        <w:tabs>
          <w:tab w:leader="none" w:pos="201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Interest Rate Limitation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Notwithstanding anything herein to the contrary, if at any time the interest rate applicable to any Loan, together with all fees, charges and other amounts that are treated as interest on such Loan under applicable law (collectively the </w:t>
      </w:r>
      <w:r>
        <w:rPr>
          <w:rFonts w:ascii="Arial" w:cs="Arial" w:eastAsia="Arial" w:hAnsi="Arial"/>
          <w:sz w:val="16"/>
          <w:szCs w:val="16"/>
          <w:i w:val="1"/>
          <w:iCs w:val="1"/>
          <w:color w:val="auto"/>
        </w:rPr>
        <w:t>“charges “),</w:t>
      </w:r>
      <w:r>
        <w:rPr>
          <w:rFonts w:ascii="Arial" w:cs="Arial" w:eastAsia="Arial" w:hAnsi="Arial"/>
          <w:sz w:val="16"/>
          <w:szCs w:val="16"/>
          <w:color w:val="auto"/>
        </w:rPr>
        <w:t xml:space="preserve"> shall exceed the maximum lawful rate (the </w:t>
      </w:r>
      <w:r>
        <w:rPr>
          <w:rFonts w:ascii="Arial" w:cs="Arial" w:eastAsia="Arial" w:hAnsi="Arial"/>
          <w:sz w:val="16"/>
          <w:szCs w:val="16"/>
          <w:i w:val="1"/>
          <w:iCs w:val="1"/>
          <w:color w:val="auto"/>
        </w:rPr>
        <w:t>“maximum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rate”) </w:t>
      </w:r>
      <w:r>
        <w:rPr>
          <w:rFonts w:ascii="Arial" w:cs="Arial" w:eastAsia="Arial" w:hAnsi="Arial"/>
          <w:sz w:val="16"/>
          <w:szCs w:val="16"/>
          <w:color w:val="auto"/>
        </w:rPr>
        <w:t>that may be contracted for, charged, taken, received or reserved by the Lender in accordance with applicable law, the rate of interest payable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Loan hereunder, together with all of the charges payable in respect thereof, shall be limited to the maximum rate and, to the extent lawful, the interest and the charges that would have been payable in respect of such Loan but were not payable as a result of the operation of this Section 9.12 shall be cumulated, and the interest and the charges payable to the Lender in respect of other Loans or periods shall be increased (but not above the maximum rate therefor) until such cumulated amount, together with interest thereon at the Federal Funds Effective Rate to the date of repayment, shall have been received by Lender.</w:t>
      </w:r>
    </w:p>
    <w:p>
      <w:pPr>
        <w:spacing w:after="0" w:line="16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Marshaling; Payments Set Aside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Lender shall not be under any obligation to marshal any assets in favor of the Borrower or any other Person or against or in payment of any or all of the Obligations. To the extent that the Borrower makes a payment or payments to the Lender, or the Lender enforces its Liens or exercises its rights of setoff, and such payment or payments or the proceeds of such enforcement or setoff or any part thereof are subsequently invalidated, declared to be fraudulent or preferential, set aside or required (including pursuant to any settlement entered into by the Lender in its discretion) to be repaid to a trustee, receiver or any other party in connection with any proceeding under any federal, state or foreign bankruptcy, insolvency, reorganization, receivership or similar law now or hereafter in effect, or otherwise, then, to the extent of such recovery, the Obligation or part thereof originally intended to be satisfied shall be revived and continued in full force and effect as if such payment had not been made or such enforcement or setoff had not occurred.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ind w:left="660"/>
        <w:spacing w:after="0"/>
        <w:tabs>
          <w:tab w:leader="none" w:pos="180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6"/>
          <w:szCs w:val="16"/>
          <w:u w:val="single" w:color="auto"/>
          <w:color w:val="auto"/>
        </w:rPr>
        <w:t>No Third Parties Benefited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Agreement is made and entered into for the sole protection and legal benefit of the Borrower and the Lender, and their permitted successors and assigns, and no other Person shall be a direct or indirect legal beneficiary of, or have any direct or indirect cause of action or claim in connection with, this Agreement or any of the other Loan Documents. The Lender shall not have any obligation to any Person not a party to this Agreement or other Loan Documents.</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u w:val="single" w:color="auto"/>
          <w:color w:val="auto"/>
        </w:rPr>
        <w:t>USA Patriot Act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the Lender to identify the Borrower in accordance with the USA Patriot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IN WITNESS WHEREOF, the parties hereto have executed and delivered this Credit Agreement as of the day and year first written above.</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ind w:left="512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Marisol Binn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Marisol Binn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-130810</wp:posOffset>
            </wp:positionV>
            <wp:extent cx="32588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120"/>
        <w:spacing w:after="0"/>
        <w:tabs>
          <w:tab w:leader="none" w:pos="5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ROCKMORE INVESTMENT MASTER FUND LTD.</w:t>
      </w:r>
    </w:p>
    <w:p>
      <w:pPr>
        <w:spacing w:after="0" w:line="225" w:lineRule="exact"/>
        <w:rPr>
          <w:sz w:val="20"/>
          <w:szCs w:val="20"/>
          <w:color w:val="auto"/>
        </w:rPr>
      </w:pPr>
    </w:p>
    <w:p>
      <w:pPr>
        <w:ind w:left="512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Bernstein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-130810</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120"/>
        <w:spacing w:after="0"/>
        <w:tabs>
          <w:tab w:leader="none" w:pos="5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434340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840" w:top="908" w:right="105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 AND WAIVER</w:t>
      </w:r>
    </w:p>
    <w:p>
      <w:pPr>
        <w:spacing w:after="0" w:line="23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THIS FIRST AMENDMENT TO CREDIT AGREEMENT AND CONDITIONAL WAIVER </w:t>
      </w:r>
      <w:r>
        <w:rPr>
          <w:rFonts w:ascii="Arial" w:cs="Arial" w:eastAsia="Arial" w:hAnsi="Arial"/>
          <w:sz w:val="18"/>
          <w:szCs w:val="18"/>
          <w:color w:val="auto"/>
        </w:rPr>
        <w:t>(this “Amendment”) is made as of the 8</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August, 2016, by and between XPRESSPA HOLDINGS, LLC, a Delaware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and ROCKMORE INVESTMENT MASTER FUND LTD. (the </w:t>
      </w:r>
      <w:r>
        <w:rPr>
          <w:rFonts w:ascii="Arial" w:cs="Arial" w:eastAsia="Arial" w:hAnsi="Arial"/>
          <w:sz w:val="18"/>
          <w:szCs w:val="18"/>
          <w:i w:val="1"/>
          <w:iCs w:val="1"/>
          <w:color w:val="auto"/>
        </w:rPr>
        <w:t>“Lender”).</w:t>
      </w:r>
    </w:p>
    <w:p>
      <w:pPr>
        <w:spacing w:after="0" w:line="1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and the Lender are parties to that certain Credit Agreement dated April 22, 2015, as amended or modified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(the “Credit Agreement”), whereby the Lender agreed to provide credit facilities to Borrower, as defined therein, under the terms and conditions thereof, and Borrower agreed to repay loans and advances made thereunder as set forth therein;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Borrower has defaulted and is in default under the Existing Defaults (as defined in Annex A hereto), as to certain of which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Defaults Lender gave written notice effective June 7, 2016 (the “Notice”), and which Existing Defaults remain unremedied;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has requested that Lender waive the Existing Defaults; and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Lender is willing to grant such waiver subject to the terms and conditions contained herein, including, but not limited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a fee of $500,000.00, which fee shall be added to, and form a part of, the outstanding principal amount due under the Credit Agreement and related instruments.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Lender and the Borrowers agree as follows:</w:t>
      </w:r>
    </w:p>
    <w:p>
      <w:pPr>
        <w:spacing w:after="0" w:line="166" w:lineRule="exact"/>
        <w:rPr>
          <w:sz w:val="20"/>
          <w:szCs w:val="20"/>
          <w:color w:val="auto"/>
        </w:rPr>
      </w:pPr>
    </w:p>
    <w:p>
      <w:pPr>
        <w:ind w:firstLine="656"/>
        <w:spacing w:after="0" w:line="282" w:lineRule="auto"/>
        <w:tabs>
          <w:tab w:leader="none" w:pos="1411"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r>
        <w:rPr>
          <w:rFonts w:ascii="Arial" w:cs="Arial" w:eastAsia="Arial" w:hAnsi="Arial"/>
          <w:sz w:val="18"/>
          <w:szCs w:val="18"/>
          <w:color w:val="auto"/>
        </w:rPr>
        <w:t>. Capitalized terms used in this Amendment shall have the same meanings given to them in the Credit Agreement,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Credit Agreement. </w:t>
      </w:r>
      <w:r>
        <w:rPr>
          <w:rFonts w:ascii="Arial" w:cs="Arial" w:eastAsia="Arial" w:hAnsi="Arial"/>
          <w:sz w:val="18"/>
          <w:szCs w:val="18"/>
          <w:color w:val="auto"/>
        </w:rPr>
        <w:t>The Credit Agreement is hereby amended as follows:</w:t>
      </w:r>
    </w:p>
    <w:p>
      <w:pPr>
        <w:spacing w:after="0" w:line="229"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is hereby amended by deleting the definitions corresponding to the following definitions and substituting in their place the following definitions: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“Commitment Amount”: $6,500,000.</w:t>
      </w:r>
    </w:p>
    <w:p>
      <w:pPr>
        <w:spacing w:after="0" w:line="225" w:lineRule="exact"/>
        <w:rPr>
          <w:sz w:val="20"/>
          <w:szCs w:val="20"/>
          <w:color w:val="auto"/>
        </w:rPr>
      </w:pPr>
    </w:p>
    <w:p>
      <w:pPr>
        <w:ind w:left="1960"/>
        <w:spacing w:after="0" w:line="342" w:lineRule="auto"/>
        <w:rPr>
          <w:sz w:val="20"/>
          <w:szCs w:val="20"/>
          <w:color w:val="auto"/>
        </w:rPr>
      </w:pPr>
      <w:r>
        <w:rPr>
          <w:rFonts w:ascii="Arial" w:cs="Arial" w:eastAsia="Arial" w:hAnsi="Arial"/>
          <w:sz w:val="16"/>
          <w:szCs w:val="16"/>
          <w:color w:val="auto"/>
        </w:rPr>
        <w:t>“Indebtedness”: as to any Person, at a particular time, all items which constitute, without duplication, (i) indebtedness for borrowed money or the deferred purchase price of Property (other than payables incurred in the ordinary course of business),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9" w:name="page140"/>
    <w:bookmarkEnd w:id="139"/>
    <w:p>
      <w:pPr>
        <w:jc w:val="both"/>
        <w:ind w:left="760"/>
        <w:spacing w:after="0" w:line="271" w:lineRule="auto"/>
        <w:rPr>
          <w:sz w:val="20"/>
          <w:szCs w:val="20"/>
          <w:color w:val="auto"/>
        </w:rPr>
      </w:pPr>
      <w:r>
        <w:rPr>
          <w:rFonts w:ascii="Arial" w:cs="Arial" w:eastAsia="Arial" w:hAnsi="Arial"/>
          <w:sz w:val="17"/>
          <w:szCs w:val="17"/>
          <w:color w:val="auto"/>
        </w:rPr>
        <w:t>indebtedness evidenced by notes, bonds, debentures or similar instruments, (iii) obligations with respect to any conditional sale or title retention agreement, (iv) indebtedness arising under acceptance and letter of credit facilities and the amount available to be drawn under all letters of credit issued for the account of such Person, (v) all liabilities secured by any Lien on any Property owned by such Person (other than landlords’, carriers’, warehousemen’s, mechanics’, repairmen’s or other like nonconsensual statutory Liens arising in the ordinary course of business with respect to obligations which are not past due), (vi) all guarantees or other liabilities with respect to any Indebtedness of any other Person and (vii) all lease obligations which are required to be capitalized under GAAP; provided that, only such leases that would constitute capital leases in accordance with GAAP as in effect on December 31, 2015 shall constitute Indebtedness hereunder.</w:t>
      </w:r>
    </w:p>
    <w:p>
      <w:pPr>
        <w:spacing w:after="0" w:line="17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“Maturity Date”: May 1, 2018, provided, at Borrower’s request, Lender has the option, in its sole discretion, to extend the Maturity Date until May 1, 2019.</w:t>
      </w:r>
    </w:p>
    <w:p>
      <w:pPr>
        <w:spacing w:after="0" w:line="170"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Section 1.01 Definitions is hereby amended by inserting the following definitions thereto in proper alphabetical order as follows:</w:t>
      </w:r>
    </w:p>
    <w:p>
      <w:pPr>
        <w:spacing w:after="0" w:line="2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“Amendment”: shall mean that certain Amendment to Credit Agreement and Waiver, dated as of August 8, 2016 and effective as of the Amendment Effective Date, by and between Borrower and Lender.</w:t>
      </w:r>
    </w:p>
    <w:p>
      <w:pPr>
        <w:spacing w:after="0" w:line="17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“Amendment Effective Date”: shall mean the date on which the Amendment shall have become effective in accordance with its terms.</w:t>
      </w:r>
    </w:p>
    <w:p>
      <w:pPr>
        <w:spacing w:after="0" w:line="170"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is hereby deleted and replaced with the following:</w:t>
      </w:r>
    </w:p>
    <w:p>
      <w:pPr>
        <w:spacing w:after="0" w:line="22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Subject to the terms and conditions of this Agreement, the Lender agrees to make a loan (the “Loan”) to the Borrower through an advance of $6,000,000 on the Effective Date of this Agreement and $500,000 (which on the Amendment Effective Date shall be immediately added to the Commitment Amount and the principal balance of the Note).</w:t>
      </w:r>
    </w:p>
    <w:p>
      <w:pPr>
        <w:spacing w:after="0" w:line="18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 xml:space="preserve">Section 3.01 (a) </w:t>
      </w:r>
      <w:r>
        <w:rPr>
          <w:rFonts w:ascii="Arial" w:cs="Arial" w:eastAsia="Arial" w:hAnsi="Arial"/>
          <w:sz w:val="16"/>
          <w:szCs w:val="16"/>
          <w:u w:val="single" w:color="auto"/>
          <w:color w:val="auto"/>
        </w:rPr>
        <w:t>Prior to Maturity</w:t>
      </w:r>
      <w:r>
        <w:rPr>
          <w:rFonts w:ascii="Arial" w:cs="Arial" w:eastAsia="Arial" w:hAnsi="Arial"/>
          <w:sz w:val="16"/>
          <w:szCs w:val="16"/>
          <w:color w:val="auto"/>
        </w:rPr>
        <w:t xml:space="preserve"> is hereby deleted and replaced with the following:</w:t>
      </w:r>
    </w:p>
    <w:p>
      <w:pPr>
        <w:spacing w:after="0" w:line="2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Except as otherwise provided in Section 3.01(b), prior to maturity, the outstanding principal balance of the Loan shall bear interest at the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408940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40" w:name="page141"/>
    <w:bookmarkEnd w:id="140"/>
    <w:p>
      <w:pPr>
        <w:jc w:val="both"/>
        <w:ind w:left="760"/>
        <w:spacing w:after="0" w:line="255" w:lineRule="auto"/>
        <w:rPr>
          <w:sz w:val="20"/>
          <w:szCs w:val="20"/>
          <w:color w:val="auto"/>
        </w:rPr>
      </w:pPr>
      <w:r>
        <w:rPr>
          <w:rFonts w:ascii="Arial" w:cs="Arial" w:eastAsia="Arial" w:hAnsi="Arial"/>
          <w:sz w:val="18"/>
          <w:szCs w:val="18"/>
          <w:color w:val="auto"/>
        </w:rPr>
        <w:t>12.00% (or (A) on and after the Amendment Effective Date, 11.24%, or (B) on and after the date the Maturity Date is extended to May 1, 2019 in accordance with the definition thereof, 10.50%) per annum. Interest only on the Loan shall be payable monthly as follows: (i) 10.00% (or (A) on and after the Amendment Effective Date, 9.24%, or (B) on and after the date the Maturity Date is extended to May 1, 2019 in accordance with the definition thereof, 8.50%) annual interest, calculated on a monthly basis, which shall be payable in arrears on the last Business Day of each month (the “Base Monthly Interest”) plus (ii) 2% annual interest, calculated on a monthly basis, which shall accrue monthly and become due and payable on each anniversary of the Effective Date (the “Accrued Monthly Interest”).</w:t>
      </w:r>
    </w:p>
    <w:p>
      <w:pPr>
        <w:spacing w:after="0" w:line="189"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is hereby amended to add the following sentence:</w:t>
      </w:r>
    </w:p>
    <w:p>
      <w:pPr>
        <w:spacing w:after="0" w:line="2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Borrower shall pay on demand all reasonable legal fees, recording expenses and other reasonable and necessary disbursements of the Lender incident to the preparation, execution and delivery of any Amendment to this Agreement.</w:t>
      </w:r>
    </w:p>
    <w:p>
      <w:pPr>
        <w:spacing w:after="0" w:line="170"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The following is hereby added to ARTICLE 6. AFFIRMATIVE COVENANTS:</w:t>
      </w:r>
    </w:p>
    <w:p>
      <w:pPr>
        <w:spacing w:after="0" w:line="225" w:lineRule="exact"/>
        <w:rPr>
          <w:sz w:val="20"/>
          <w:szCs w:val="20"/>
          <w:color w:val="auto"/>
        </w:rPr>
      </w:pPr>
    </w:p>
    <w:p>
      <w:pPr>
        <w:jc w:val="both"/>
        <w:ind w:left="760"/>
        <w:spacing w:after="0" w:line="268"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Agreement to Sell</w:t>
      </w:r>
      <w:r>
        <w:rPr>
          <w:rFonts w:ascii="Arial" w:cs="Arial" w:eastAsia="Arial" w:hAnsi="Arial"/>
          <w:sz w:val="17"/>
          <w:szCs w:val="17"/>
          <w:color w:val="auto"/>
        </w:rPr>
        <w:t>. Borrower shall enter into and provide to Lender a fully executed copy of a binding and (to Borrower’s knowledge) enforceable agreement to sell all or substantially all of its assets or equity interests through a merger or otherwise (as amended, restated or otherwise modified from time to time, the “Acquisition Agreement”) which such Acquisition Agreement is with FORM Holdings, Corp. (or an affiliate thereof) as the acquirer. In the event the transactions contemplated by the Acquisition Agreement fail to close by December 31, 2016 (a “Non-Sale Event”) or the Borrower otherwise breaches the covenants in Section 6.13 (together with the Non-Sale Event, the “Sale Related Defaults”), the Mistral Vehicles (as such term and other terms used in this Section but not defined shall have the meaning set forth in the Operating Agreement, as hereinafter defined) shall, without regard to any defenses of the Borrower or the Mistral Vehicles, pursuant to the attached letter agreement (the “Mistral Letter Agreement”), (a) take all Necessary Action to remove two of the Mistral Directors and to designate as two Mistral Directors, two Directors designated in writing by Lender, and (b) if the Mistral Vehicles fail to do so for any reason at such time or any time in the future, (x) irrevocably grant to, and constitute and appoint, the Lender with full power of substitution, his, her or its true and lawful proxy and attorney-in-fact, to vote, or to give written consent with respect to the designation and/or removal of two of the Mistral Directors in accordance with Section 3.02 of the Operating Agreement, and (y) take all other Necessary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418465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41" w:name="page142"/>
    <w:bookmarkEnd w:id="141"/>
    <w:p>
      <w:pPr>
        <w:jc w:val="both"/>
        <w:ind w:left="1952"/>
        <w:spacing w:after="0" w:line="270" w:lineRule="auto"/>
        <w:rPr>
          <w:sz w:val="20"/>
          <w:szCs w:val="20"/>
          <w:color w:val="auto"/>
        </w:rPr>
      </w:pPr>
      <w:r>
        <w:rPr>
          <w:rFonts w:ascii="Arial" w:cs="Arial" w:eastAsia="Arial" w:hAnsi="Arial"/>
          <w:sz w:val="17"/>
          <w:szCs w:val="17"/>
          <w:color w:val="auto"/>
        </w:rPr>
        <w:t>to enable the Lender to designate and/or remove two of the Mistral Directors. In addition, the Mistral Vehicles shall as a condition to the effectiveness of this Amendment, cause two of the Mistral Directors to tender their resignations to the Lender, which resignations will automatically and without any additional action on behalf of such directors become effective as of the date of the Sale Related Defaults (the “Mistral Director Resignations”), which the Mistral Vehicles agree may be tendered by the Lender at any time following the occurrence of a Sale Related Default regardless of any actions taken or not taken by the Borrower or the Mistral Vehicles. The failure to observe or perform the covenant set forth in Section 6.13, this Section 6.12 or the Mistral Letter Agreement shall constitute an Event of Default immediately and no cure period shall be permitted. Notwithstanding anything contained herein to the contrary, the provisions of this Section 6.12 shall cease to exist and become null and void after the closing of the transactions contemplated by the Acquisition Agreement occurs, if any.</w:t>
      </w:r>
    </w:p>
    <w:p>
      <w:pPr>
        <w:spacing w:after="0" w:line="182" w:lineRule="exact"/>
        <w:rPr>
          <w:sz w:val="20"/>
          <w:szCs w:val="20"/>
          <w:color w:val="auto"/>
        </w:rPr>
      </w:pPr>
    </w:p>
    <w:p>
      <w:pPr>
        <w:jc w:val="both"/>
        <w:ind w:left="1952"/>
        <w:spacing w:after="0" w:line="25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Clean Audit</w:t>
      </w:r>
      <w:r>
        <w:rPr>
          <w:rFonts w:ascii="Arial" w:cs="Arial" w:eastAsia="Arial" w:hAnsi="Arial"/>
          <w:sz w:val="18"/>
          <w:szCs w:val="18"/>
          <w:color w:val="auto"/>
        </w:rPr>
        <w:t>. No later than August 31, 2016, Borrower shall provide to Lender audited financial statements of the Borrower for the fiscal year ended December 31, 2015, reported on by the Accountants (without a “going concern” or like qualification or exception and without any qualification or exception as to the scope of such audit) to the effect that such financial statements present fairly in all material respects the financial condition and results of operations of the Borrower in accordance with GAAP consistently applied.</w:t>
      </w:r>
    </w:p>
    <w:p>
      <w:pPr>
        <w:spacing w:after="0" w:line="184" w:lineRule="exact"/>
        <w:rPr>
          <w:sz w:val="20"/>
          <w:szCs w:val="20"/>
          <w:color w:val="auto"/>
        </w:rPr>
      </w:pPr>
    </w:p>
    <w:p>
      <w:pPr>
        <w:ind w:left="-8" w:firstLine="656"/>
        <w:spacing w:after="0" w:line="282" w:lineRule="auto"/>
        <w:tabs>
          <w:tab w:leader="none" w:pos="1393"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of Existing Default. </w:t>
      </w:r>
      <w:r>
        <w:rPr>
          <w:rFonts w:ascii="Arial" w:cs="Arial" w:eastAsia="Arial" w:hAnsi="Arial"/>
          <w:sz w:val="18"/>
          <w:szCs w:val="18"/>
          <w:color w:val="auto"/>
        </w:rPr>
        <w:t>Upon the Amendment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hereby waives the Existing Defaults and agrees that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 longer bear interest at the Default Rate (collectively, the “Waiver”).</w:t>
      </w:r>
    </w:p>
    <w:p>
      <w:pPr>
        <w:spacing w:after="0" w:line="161" w:lineRule="exact"/>
        <w:rPr>
          <w:rFonts w:ascii="Arial" w:cs="Arial" w:eastAsia="Arial" w:hAnsi="Arial"/>
          <w:sz w:val="18"/>
          <w:szCs w:val="18"/>
          <w:b w:val="1"/>
          <w:bCs w:val="1"/>
          <w:color w:val="auto"/>
        </w:rPr>
      </w:pPr>
    </w:p>
    <w:p>
      <w:pPr>
        <w:jc w:val="both"/>
        <w:ind w:left="-8" w:firstLine="656"/>
        <w:spacing w:after="0" w:line="293" w:lineRule="auto"/>
        <w:tabs>
          <w:tab w:leader="none" w:pos="1445" w:val="left"/>
        </w:tabs>
        <w:numPr>
          <w:ilvl w:val="1"/>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Extent of Waiver. </w:t>
      </w:r>
      <w:r>
        <w:rPr>
          <w:rFonts w:ascii="Arial" w:cs="Arial" w:eastAsia="Arial" w:hAnsi="Arial"/>
          <w:sz w:val="16"/>
          <w:szCs w:val="16"/>
          <w:color w:val="auto"/>
        </w:rPr>
        <w:t>The Waiver is limited to the matters addressed in Section 3 of this Amendment, the Waiver shall not constitute (a) a</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any of the terms, conditions or covenants of the Credit Agreement or any of the Loan Documents, all of which remain in full force and effect,</w:t>
      </w:r>
    </w:p>
    <w:p>
      <w:pPr>
        <w:spacing w:after="0" w:line="1" w:lineRule="exact"/>
        <w:rPr>
          <w:rFonts w:ascii="Arial" w:cs="Arial" w:eastAsia="Arial" w:hAnsi="Arial"/>
          <w:sz w:val="16"/>
          <w:szCs w:val="16"/>
          <w:b w:val="1"/>
          <w:bCs w:val="1"/>
          <w:color w:val="auto"/>
        </w:rPr>
      </w:pPr>
    </w:p>
    <w:p>
      <w:pPr>
        <w:jc w:val="both"/>
        <w:ind w:left="-8" w:firstLine="8"/>
        <w:spacing w:after="0" w:line="290" w:lineRule="auto"/>
        <w:tabs>
          <w:tab w:leader="none" w:pos="25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waiver, release or limitation of the exercise by Lender of any of its rights and remedies thereunder, all of which are hereby expressly reserved, including but not limited to any Board Control Event, as defined in the Fourth Amended and Restated Limited Liability Company Operating Agreement of the Borrower dated as of April 17, 2015, as amended (the “Operating Agreement”) or (c) a waiver of any future defaults, if any. The Waiver shall not relieve or release the Borrower or any guarantor from any of its or their respective duties, obligations, covenants or agreements under the Credit Agreement, the Operating Agreement or any of the Loan Documents or from the consequences of any Events of Default thereunder, except as expressly described herein. The Waiver shall constitute a waiver of any other Events of Default or defaults, whether now existing or which may occur after the date of this Amendment.</w:t>
      </w:r>
    </w:p>
    <w:p>
      <w:pPr>
        <w:spacing w:after="0" w:line="160" w:lineRule="exact"/>
        <w:rPr>
          <w:rFonts w:ascii="Arial" w:cs="Arial" w:eastAsia="Arial" w:hAnsi="Arial"/>
          <w:sz w:val="16"/>
          <w:szCs w:val="16"/>
          <w:color w:val="auto"/>
        </w:rPr>
      </w:pPr>
    </w:p>
    <w:p>
      <w:pPr>
        <w:ind w:left="-8" w:firstLine="656"/>
        <w:spacing w:after="0" w:line="282" w:lineRule="auto"/>
        <w:tabs>
          <w:tab w:leader="none" w:pos="1386"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Representations and Warranties. </w:t>
      </w:r>
      <w:r>
        <w:rPr>
          <w:rFonts w:ascii="Arial" w:cs="Arial" w:eastAsia="Arial" w:hAnsi="Arial"/>
          <w:sz w:val="18"/>
          <w:szCs w:val="18"/>
          <w:color w:val="auto"/>
        </w:rPr>
        <w:t>Lender hereby represents and warrants that, as of the date hereof, to Lender’s knowledge, the</w:t>
      </w:r>
      <w:r>
        <w:rPr>
          <w:rFonts w:ascii="Arial" w:cs="Arial" w:eastAsia="Arial" w:hAnsi="Arial"/>
          <w:sz w:val="18"/>
          <w:szCs w:val="18"/>
          <w:b w:val="1"/>
          <w:bCs w:val="1"/>
          <w:color w:val="auto"/>
        </w:rPr>
        <w:t xml:space="preserve"> </w:t>
      </w:r>
      <w:r>
        <w:rPr>
          <w:rFonts w:ascii="Arial" w:cs="Arial" w:eastAsia="Arial" w:hAnsi="Arial"/>
          <w:sz w:val="18"/>
          <w:szCs w:val="18"/>
          <w:color w:val="auto"/>
        </w:rPr>
        <w:t>only defaults or Events of Default that have occurred and are continuing under the Loan Documents are the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142" w:name="page143"/>
    <w:bookmarkEnd w:id="142"/>
    <w:p>
      <w:pPr>
        <w:jc w:val="both"/>
        <w:spacing w:after="0" w:line="264" w:lineRule="auto"/>
        <w:rPr>
          <w:sz w:val="20"/>
          <w:szCs w:val="20"/>
          <w:color w:val="auto"/>
        </w:rPr>
      </w:pPr>
      <w:r>
        <w:rPr>
          <w:rFonts w:ascii="Arial" w:cs="Arial" w:eastAsia="Arial" w:hAnsi="Arial"/>
          <w:sz w:val="18"/>
          <w:szCs w:val="18"/>
          <w:color w:val="auto"/>
        </w:rPr>
        <w:t>Defaults. Upon a cure by the Borrower of the Existing Defaults as contemplated by Section 6.13 of the Credit Agreement and the grant of the Waiver hereunder, there will be no default or Event of Default continuing under the Loan Documents as a result of the Existing Defaults and Lender waives any right to seek remedial action against the Borrower and its Subsidiaries with respect to the Existing Defaults.</w:t>
      </w:r>
    </w:p>
    <w:p>
      <w:pPr>
        <w:spacing w:after="0" w:line="177" w:lineRule="exact"/>
        <w:rPr>
          <w:sz w:val="20"/>
          <w:szCs w:val="20"/>
          <w:color w:val="auto"/>
        </w:rPr>
      </w:pPr>
    </w:p>
    <w:p>
      <w:pPr>
        <w:ind w:left="1340" w:hanging="684"/>
        <w:spacing w:after="0"/>
        <w:tabs>
          <w:tab w:leader="none" w:pos="134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Assumption of Loan and Consent to Acquisition.</w:t>
      </w:r>
    </w:p>
    <w:p>
      <w:pPr>
        <w:spacing w:after="0" w:line="229" w:lineRule="exact"/>
        <w:rPr>
          <w:sz w:val="20"/>
          <w:szCs w:val="20"/>
          <w:color w:val="auto"/>
        </w:rPr>
      </w:pPr>
    </w:p>
    <w:p>
      <w:pPr>
        <w:jc w:val="both"/>
        <w:ind w:left="1960" w:hanging="647"/>
        <w:spacing w:after="0" w:line="285" w:lineRule="auto"/>
        <w:tabs>
          <w:tab w:leader="none" w:pos="1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Subject to the closing of transactions in accordance with the Acquisition Agreement with FORM Holdings Corp. (“Form”), Lender consents to the assumption of the Loan by the wholly-owned subsidiary of Form which will be the surviving entity pursuant to the terms of the Acquisition Agreement (the “Subsidiary”) and consents to the assumption of the Note and other Loan Documents by the Subsidiary upon such terms and conditions to be set forth in the Loan Documents as approved by Lender. The Subsidiary shall maintain Lender’s first priority secured lien, subject to Permitted Liens, on all of its assets, including any proceeds from the sale thereof. Form shall execute and deliver a guaranty to Lender by which Form shall guaranty in full all of the obligations of the Subsidiary under the Note and the Loan Documents. Form shall provide a first priority secured lien, subject to Permitted Liens, on all of its assets (other than intellectual property),including any proceeds from the sale thereof as permitted by the guaranty; provided however, Form shall, so long as there is not an existing default or event of default and no such default or event of default shall arise by reason of any such sale, have the right to sell, lease or otherwise dispose of any of its assets as it deems necessary or in the event Form enters into a financing for the purpose of supporting its working capital needs or finances its accounts receivables by means of factoring such accounts or otherwise, if doing so would be beneficial to Form, as determined by the board of directors of Form in its sole discretion; provided further, Form shall not have the right (except in the ordinary course of business) to sell, lease or dispose of any assets owned by the Subsidiary without Lender’s prior written consent. Lender agrees to cooperate, at Form’s expense, with Form in providing any required releases, as determined by Form in its sole discretion. Notwithstanding anything to the contrary herein, neither the Subsidiary nor Form shall have any rights or interest in the Loan or the Loan Documents until such time as they have executed the assignment documents, the guaranty and any other loan documents required by Lender on the date of such closing.</w:t>
      </w:r>
    </w:p>
    <w:p>
      <w:pPr>
        <w:spacing w:after="0" w:line="173" w:lineRule="exact"/>
        <w:rPr>
          <w:sz w:val="20"/>
          <w:szCs w:val="20"/>
          <w:color w:val="auto"/>
        </w:rPr>
      </w:pPr>
    </w:p>
    <w:p>
      <w:pPr>
        <w:jc w:val="both"/>
        <w:ind w:left="1960" w:hanging="647"/>
        <w:spacing w:after="0" w:line="257" w:lineRule="auto"/>
        <w:tabs>
          <w:tab w:leader="none" w:pos="1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Subject to and upon the satisfaction of the conditions precedent set forth in Section 7 below, Lender hereby (i) consents to (x) the acquisition of XpresSpa on the terms set forth in the Acquisition Agreement and the documents, agreements and instruments in the forms heretofore provided to Lender and executed and delivered in connection therewith (the foregoing, collectively, the “Acquisition Ancillary Documents” and together with the Acquisition Agreement, the “Acquisition Documents”), (y) the entry by Borrower and its Subsidiaries into all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3" w:name="page144"/>
    <w:bookmarkEnd w:id="143"/>
    <w:p>
      <w:pPr>
        <w:jc w:val="both"/>
        <w:ind w:left="1304"/>
        <w:spacing w:after="0" w:line="288" w:lineRule="auto"/>
        <w:rPr>
          <w:sz w:val="20"/>
          <w:szCs w:val="20"/>
          <w:color w:val="auto"/>
        </w:rPr>
      </w:pPr>
      <w:r>
        <w:rPr>
          <w:rFonts w:ascii="Arial" w:cs="Arial" w:eastAsia="Arial" w:hAnsi="Arial"/>
          <w:sz w:val="16"/>
          <w:szCs w:val="16"/>
          <w:color w:val="auto"/>
        </w:rPr>
        <w:t>Documents to which such entities are party to and the performance by Borrower and its Subsidiaries of all actions and transactions in connection therewith, in each instance solely to the extent substantially consistent with or contemplated by the terms of the Acquisition Documents, (ii) waives any Events of Default which may occur on the date of the closing of the transactions contemplated by the Acquisition Agreement solely as a result of the consummation thereof and any rights that Lender may have under the Loan Documents or applicable law as a result of any such Events of Default and (iii) agrees that all actions taken by Borrower and its Subsidiaries in connection with the closing of the transactions contemplated by the Acquisition Agreement which contemplated by the terms of the Acquisition Documents are permitted under the Loan Documents. For the avoidance of doubt, subject to and upon the satisfaction of the conditions precedent set forth in Section 7 below, Lender hereby acknowledges and agrees that no default or Event or Default or mandatory prepayment or otherwise acceleration of the Obligations shall occur as a result of the closing of the transactions contemplated by the Acquisition Agreement.</w:t>
      </w:r>
    </w:p>
    <w:p>
      <w:pPr>
        <w:spacing w:after="0" w:line="169" w:lineRule="exact"/>
        <w:rPr>
          <w:sz w:val="20"/>
          <w:szCs w:val="20"/>
          <w:color w:val="auto"/>
        </w:rPr>
      </w:pPr>
    </w:p>
    <w:p>
      <w:pPr>
        <w:jc w:val="both"/>
        <w:ind w:left="1304" w:hanging="647"/>
        <w:spacing w:after="0" w:line="271" w:lineRule="auto"/>
        <w:tabs>
          <w:tab w:leader="none" w:pos="1283"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Subject to and upon the satisfaction of the conditions precedent set forth in Section 7 below, Lender and Borrower hereby agree that, upon the closing of the transactions contemplated by the Acquisition Agreement in accordance therewith, (i) Lender shall no longer have a Conversion Right (as defined in the Amended and Restated Note) and the terms and conditions of the Amended and Restated Note related to the Conversion Right shall have no further force and effect and (ii) the Warrant shall automatically be exercised by the holder thereof immediately prior to such closing, on a cashless basis, and Borrower shall issue to such holder, without additional consideration, 300,000 Series B Preferred Units of the Borrower, all of which shall be fully paid and non-assessable, and all of Lender’s rights under the Warrant will terminate (in each of the foregoing subclauses (i) and (ii), without any further action by Lender, Borrower or Form).</w:t>
      </w:r>
    </w:p>
    <w:p>
      <w:pPr>
        <w:spacing w:after="0" w:line="175" w:lineRule="exact"/>
        <w:rPr>
          <w:sz w:val="20"/>
          <w:szCs w:val="20"/>
          <w:color w:val="auto"/>
        </w:rPr>
      </w:pPr>
    </w:p>
    <w:p>
      <w:pPr>
        <w:ind w:left="-656" w:right="20" w:firstLine="656"/>
        <w:spacing w:after="0" w:line="282" w:lineRule="auto"/>
        <w:tabs>
          <w:tab w:leader="none" w:pos="80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Amendment Effective Date</w:t>
      </w:r>
      <w:r>
        <w:rPr>
          <w:rFonts w:ascii="Arial" w:cs="Arial" w:eastAsia="Arial" w:hAnsi="Arial"/>
          <w:sz w:val="18"/>
          <w:szCs w:val="18"/>
          <w:color w:val="auto"/>
        </w:rPr>
        <w:t>. This Amendment shall become effective on the date (the “Amendment Effective Date”) that Lender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received each of the following, in form and substance satisfactory to the Lender:</w:t>
      </w:r>
    </w:p>
    <w:p>
      <w:pPr>
        <w:spacing w:after="0" w:line="165" w:lineRule="exact"/>
        <w:rPr>
          <w:rFonts w:ascii="Arial" w:cs="Arial" w:eastAsia="Arial" w:hAnsi="Arial"/>
          <w:sz w:val="18"/>
          <w:szCs w:val="18"/>
          <w:color w:val="auto"/>
        </w:rPr>
      </w:pPr>
    </w:p>
    <w:p>
      <w:pPr>
        <w:ind w:left="1804" w:hanging="507"/>
        <w:spacing w:after="0"/>
        <w:tabs>
          <w:tab w:leader="none" w:pos="180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One (1) .pdf copy of this Amendment executed by Borrower, the Subsidiary Guarantors and the Lender.</w:t>
      </w:r>
    </w:p>
    <w:p>
      <w:pPr>
        <w:spacing w:after="0" w:line="225" w:lineRule="exact"/>
        <w:rPr>
          <w:rFonts w:ascii="Arial" w:cs="Arial" w:eastAsia="Arial" w:hAnsi="Arial"/>
          <w:sz w:val="18"/>
          <w:szCs w:val="18"/>
          <w:color w:val="auto"/>
        </w:rPr>
      </w:pPr>
    </w:p>
    <w:p>
      <w:pPr>
        <w:ind w:left="1824" w:hanging="527"/>
        <w:spacing w:after="0"/>
        <w:tabs>
          <w:tab w:leader="none" w:pos="182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One (1) .pdf copy of the Amended and Restated Note in the principal amount of $6,500,000 executed by Borrower.</w:t>
      </w:r>
    </w:p>
    <w:p>
      <w:pPr>
        <w:spacing w:after="0" w:line="236" w:lineRule="exact"/>
        <w:rPr>
          <w:rFonts w:ascii="Arial" w:cs="Arial" w:eastAsia="Arial" w:hAnsi="Arial"/>
          <w:sz w:val="17"/>
          <w:szCs w:val="17"/>
          <w:color w:val="auto"/>
        </w:rPr>
      </w:pPr>
    </w:p>
    <w:p>
      <w:pPr>
        <w:ind w:left="1804" w:hanging="507"/>
        <w:spacing w:after="0"/>
        <w:tabs>
          <w:tab w:leader="none" w:pos="180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One (1) .pdf copy of the Mistral Letter Agreement executed by the Mistral Vehicles and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443865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1" w:right="239" w:bottom="1440" w:gutter="0" w:footer="0" w:header="0"/>
        </w:sectPr>
      </w:pPr>
    </w:p>
    <w:bookmarkStart w:id="144" w:name="page145"/>
    <w:bookmarkEnd w:id="144"/>
    <w:p>
      <w:pPr>
        <w:ind w:left="2480" w:hanging="527"/>
        <w:spacing w:after="0"/>
        <w:tabs>
          <w:tab w:leader="none" w:pos="2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One (1) .pdf copy of the Mistral Director Resignations executed by two of the Mistral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and after the Effective Date, all references to the Credit Agreement or other Loan Documents in the Credit Agreement or in any other Loan Document shall mean the Credit Agreement or any other Loan Documents, as the case may be, as amended by this Amendment.</w:t>
      </w:r>
    </w:p>
    <w:p>
      <w:pPr>
        <w:spacing w:after="0" w:line="166" w:lineRule="exact"/>
        <w:rPr>
          <w:sz w:val="20"/>
          <w:szCs w:val="20"/>
          <w:color w:val="auto"/>
        </w:rPr>
      </w:pPr>
    </w:p>
    <w:p>
      <w:pPr>
        <w:ind w:left="1280" w:hanging="624"/>
        <w:spacing w:after="0"/>
        <w:tabs>
          <w:tab w:leader="none" w:pos="12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Accrued Default Interest</w:t>
      </w:r>
      <w:r>
        <w:rPr>
          <w:rFonts w:ascii="Arial" w:cs="Arial" w:eastAsia="Arial" w:hAnsi="Arial"/>
          <w:sz w:val="18"/>
          <w:szCs w:val="18"/>
          <w:color w:val="auto"/>
        </w:rPr>
        <w:t>.</w:t>
      </w:r>
    </w:p>
    <w:p>
      <w:pPr>
        <w:spacing w:after="0" w:line="229"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Borrower and Lender hereby acknowledge and agree that the portion of the Base Monthly Interest payments on the Loan bearing interest at the Default Rate has accrued from June 1, 2016 through the Effective Date and is due and payable in an amount equal to $68,000.00 (such amount, the “Accrued Default Interest”).</w:t>
      </w:r>
    </w:p>
    <w:p>
      <w:pPr>
        <w:spacing w:after="0" w:line="181"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Notwithstanding anything in the Loan Documents to the contrary, on or before the date that is three (3) Business Days following the Amendment Effective Date (or such later date as is consented to by Lender in its sole discretion), the Borrower shall pay (or cause to be paid) to Lender the Accrued Default Interest.</w:t>
      </w:r>
    </w:p>
    <w:p>
      <w:pPr>
        <w:spacing w:after="0" w:line="177" w:lineRule="exact"/>
        <w:rPr>
          <w:sz w:val="20"/>
          <w:szCs w:val="20"/>
          <w:color w:val="auto"/>
        </w:rPr>
      </w:pPr>
    </w:p>
    <w:p>
      <w:pPr>
        <w:jc w:val="both"/>
        <w:ind w:firstLine="656"/>
        <w:spacing w:after="0" w:line="314" w:lineRule="auto"/>
        <w:tabs>
          <w:tab w:leader="none" w:pos="1324"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Defenses. </w:t>
      </w:r>
      <w:r>
        <w:rPr>
          <w:rFonts w:ascii="Arial" w:cs="Arial" w:eastAsia="Arial" w:hAnsi="Arial"/>
          <w:sz w:val="16"/>
          <w:szCs w:val="16"/>
          <w:color w:val="auto"/>
        </w:rPr>
        <w:t>The Borrower acknowledges that its obligations to the Lender pursuant to the Credit Agreement, as amended herein, are due</w:t>
      </w:r>
      <w:r>
        <w:rPr>
          <w:rFonts w:ascii="Arial" w:cs="Arial" w:eastAsia="Arial" w:hAnsi="Arial"/>
          <w:sz w:val="16"/>
          <w:szCs w:val="16"/>
          <w:b w:val="1"/>
          <w:bCs w:val="1"/>
          <w:color w:val="auto"/>
        </w:rPr>
        <w:t xml:space="preserve"> </w:t>
      </w:r>
      <w:r>
        <w:rPr>
          <w:rFonts w:ascii="Arial" w:cs="Arial" w:eastAsia="Arial" w:hAnsi="Arial"/>
          <w:sz w:val="16"/>
          <w:szCs w:val="16"/>
          <w:color w:val="auto"/>
        </w:rPr>
        <w:t>and owing by the Borrower to the Lender without any defenses, set-offs, recoupments, claims or counterclaims of any kind as of the date hereof. To the extent that any defenses, set-offs, recoupments, claims or counterclaims may exist as of the date hereof, the Borrower waives and releases the Lender from the same.</w:t>
      </w:r>
    </w:p>
    <w:p>
      <w:pPr>
        <w:spacing w:after="0" w:line="142" w:lineRule="exact"/>
        <w:rPr>
          <w:rFonts w:ascii="Arial" w:cs="Arial" w:eastAsia="Arial" w:hAnsi="Arial"/>
          <w:sz w:val="16"/>
          <w:szCs w:val="16"/>
          <w:b w:val="1"/>
          <w:bCs w:val="1"/>
          <w:color w:val="auto"/>
        </w:rPr>
      </w:pPr>
    </w:p>
    <w:p>
      <w:pPr>
        <w:jc w:val="both"/>
        <w:ind w:firstLine="656"/>
        <w:spacing w:after="0" w:line="266" w:lineRule="auto"/>
        <w:tabs>
          <w:tab w:leader="none" w:pos="1573"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Reaffirmation and Affirmation of Representations. </w:t>
      </w:r>
      <w:r>
        <w:rPr>
          <w:rFonts w:ascii="Arial" w:cs="Arial" w:eastAsia="Arial" w:hAnsi="Arial"/>
          <w:sz w:val="18"/>
          <w:szCs w:val="18"/>
          <w:color w:val="auto"/>
        </w:rPr>
        <w:t>The Borrower hereby agrees with, affirms, reaffirms and acknowledges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contained in the Loan Documents. The Borrower represents that the representations and warranties contained in the Loan Documents are true and in full force and effect and continue to be true and in full force and effect.</w:t>
      </w:r>
    </w:p>
    <w:p>
      <w:pPr>
        <w:spacing w:after="0" w:line="176" w:lineRule="exact"/>
        <w:rPr>
          <w:rFonts w:ascii="Arial" w:cs="Arial" w:eastAsia="Arial" w:hAnsi="Arial"/>
          <w:sz w:val="18"/>
          <w:szCs w:val="18"/>
          <w:b w:val="1"/>
          <w:bCs w:val="1"/>
          <w:color w:val="auto"/>
        </w:rPr>
      </w:pPr>
    </w:p>
    <w:p>
      <w:pPr>
        <w:jc w:val="both"/>
        <w:ind w:firstLine="656"/>
        <w:spacing w:after="0" w:line="303" w:lineRule="auto"/>
        <w:tabs>
          <w:tab w:leader="none" w:pos="1299"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Ratification of Unchanged Terms</w:t>
      </w:r>
      <w:r>
        <w:rPr>
          <w:rFonts w:ascii="Arial" w:cs="Arial" w:eastAsia="Arial" w:hAnsi="Arial"/>
          <w:sz w:val="16"/>
          <w:szCs w:val="16"/>
          <w:color w:val="auto"/>
        </w:rPr>
        <w:t>. The Borrower affirms, ratifies and reaffirms all terms, covenants, conditions and agreements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Loan Documents, in each case as amended and modified by this Amendment. All terms and conditions of the Credit Agreement and Loan Documents not amended or modified by this Amendment, and any and all Exhibits annexed thereto and all other writings submitted by the Borrowers to the Lender pursuant thereto, and all Liens granted thereunder, shall remain unchanged and in full force and effect, in each case except as amended by this Amendment.</w:t>
      </w:r>
    </w:p>
    <w:p>
      <w:pPr>
        <w:spacing w:after="0" w:line="151" w:lineRule="exact"/>
        <w:rPr>
          <w:rFonts w:ascii="Arial" w:cs="Arial" w:eastAsia="Arial" w:hAnsi="Arial"/>
          <w:sz w:val="16"/>
          <w:szCs w:val="16"/>
          <w:b w:val="1"/>
          <w:bCs w:val="1"/>
          <w:color w:val="auto"/>
        </w:rPr>
      </w:pPr>
    </w:p>
    <w:p>
      <w:pPr>
        <w:jc w:val="both"/>
        <w:ind w:firstLine="656"/>
        <w:spacing w:after="0" w:line="266" w:lineRule="auto"/>
        <w:tabs>
          <w:tab w:leader="none" w:pos="1278"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This Amendment shall not constitute a waiver or modification of any of the Lender’s rights and remedies or of any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warranties, representations, or covenants contained in the Loan Documents, except as specifically set forth above, and the Lender hereby reserves all of its rights and remedies pursuant to the Loan Documents and applicable law.</w:t>
      </w:r>
    </w:p>
    <w:p>
      <w:pPr>
        <w:spacing w:after="0" w:line="176" w:lineRule="exact"/>
        <w:rPr>
          <w:rFonts w:ascii="Arial" w:cs="Arial" w:eastAsia="Arial" w:hAnsi="Arial"/>
          <w:sz w:val="18"/>
          <w:szCs w:val="18"/>
          <w:b w:val="1"/>
          <w:bCs w:val="1"/>
          <w:color w:val="auto"/>
        </w:rPr>
      </w:pPr>
    </w:p>
    <w:p>
      <w:pPr>
        <w:ind w:left="1280" w:hanging="624"/>
        <w:spacing w:after="0"/>
        <w:tabs>
          <w:tab w:leader="none" w:pos="1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This Amendment has been approved by proper corporate authorization and resolution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5" w:name="page146"/>
    <w:bookmarkEnd w:id="145"/>
    <w:p>
      <w:pPr>
        <w:jc w:val="both"/>
        <w:ind w:left="-20" w:firstLine="656"/>
        <w:spacing w:after="0" w:line="266" w:lineRule="auto"/>
        <w:tabs>
          <w:tab w:leader="none" w:pos="127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several counterparts, each of which, when executed and delivered,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together shall constitute one agreement. Any signature delivered by a party by facsimile transmission or by email in “PDF” or similar format shall be deemed to be an original signature hereto.</w:t>
      </w:r>
    </w:p>
    <w:p>
      <w:pPr>
        <w:spacing w:after="0" w:line="176" w:lineRule="exact"/>
        <w:rPr>
          <w:rFonts w:ascii="Arial" w:cs="Arial" w:eastAsia="Arial" w:hAnsi="Arial"/>
          <w:sz w:val="18"/>
          <w:szCs w:val="18"/>
          <w:b w:val="1"/>
          <w:bCs w:val="1"/>
          <w:color w:val="auto"/>
        </w:rPr>
      </w:pPr>
    </w:p>
    <w:p>
      <w:pPr>
        <w:ind w:left="-20" w:firstLine="656"/>
        <w:spacing w:after="0" w:line="282" w:lineRule="auto"/>
        <w:tabs>
          <w:tab w:leader="none" w:pos="1368"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Amendment is governed by and is to be construed and enforced in accordance with the laws of the State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(without regard to the conflicts of law rules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 further text on this page;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146" w:name="page147"/>
    <w:bookmarkEnd w:id="146"/>
    <w:p>
      <w:pPr>
        <w:ind w:left="60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each of the undersigned has executed and delivered this First Amendment to Credit Agreement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Mohammad M. Ali</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Mohammad M. Ali</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SVP Finance, Controller &amp;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ROCKMORE INVESTMENT MASTER FUND LTD.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Bruce Bernstein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Bruce Bernstein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Spa Products Wholesaling,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at Term. 4 JFK,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DFW Kiosk,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Franchising,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Houston Intercontinental,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5,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7,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8,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John Wayne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LaGuardia Terminal 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Las Vegas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LAX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Mobile Services,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MSP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Online Shopping,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Orlando,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Philadelphia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Pittsburgh 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Raleigh-Durham Intl,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S.F. International,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Salt Lake City,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Washington Dulles,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Washington Reagan,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Houston Hobby,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Mohammad M. Ali</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Mohammad M. Ali</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SVP Finance, Controller &amp; Treasurer</w:t>
            </w:r>
          </w:p>
        </w:tc>
      </w:tr>
      <w:tr>
        <w:trPr>
          <w:trHeight w:val="675"/>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Existing Defaults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Credit Parties have defaulted and are in Default under or have failed to comply with, as applicable:</w:t>
      </w:r>
    </w:p>
    <w:p>
      <w:pPr>
        <w:spacing w:after="0" w:line="225" w:lineRule="exact"/>
        <w:rPr>
          <w:sz w:val="20"/>
          <w:szCs w:val="20"/>
          <w:color w:val="auto"/>
        </w:rPr>
      </w:pPr>
    </w:p>
    <w:p>
      <w:pPr>
        <w:jc w:val="both"/>
        <w:ind w:left="720" w:hanging="334"/>
        <w:spacing w:after="0" w:line="264"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Section 6.01(a) of the Credit Agreement due to the failure to provide the audited financial statements for the fiscal year ended December 31, 2015 required thereby within 120 days of the last day of such fiscal year ended, which constitutes an Event of Default under Section 8.01(d) of the Credit Agreement.</w:t>
      </w:r>
    </w:p>
    <w:p>
      <w:pPr>
        <w:spacing w:after="0" w:line="181" w:lineRule="exact"/>
        <w:rPr>
          <w:rFonts w:ascii="Arial" w:cs="Arial" w:eastAsia="Arial" w:hAnsi="Arial"/>
          <w:sz w:val="18"/>
          <w:szCs w:val="18"/>
          <w:color w:val="auto"/>
        </w:rPr>
      </w:pPr>
    </w:p>
    <w:p>
      <w:pPr>
        <w:jc w:val="both"/>
        <w:ind w:left="720" w:hanging="334"/>
        <w:spacing w:after="0" w:line="302" w:lineRule="auto"/>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Sections 6.01(b) and (c) of the Credit Agreement due to the failure to provide the following items with their monthly and quarterly financial statements as required thereby: (i) consolidating balance sheets and related statements of income and cash flows of the Borrower and its Subsidiaries for the applicable fiscal periods then ended, (ii) financial information for then elapsed portion of the fiscal year and (iii) comparisons to the corresponding fiscal period for the prior fiscal year. The foregoing constitutes an Event of Default under 8.01(d) of the Credit Agreement.</w:t>
      </w:r>
    </w:p>
    <w:p>
      <w:pPr>
        <w:spacing w:after="0" w:line="154" w:lineRule="exact"/>
        <w:rPr>
          <w:rFonts w:ascii="Arial" w:cs="Arial" w:eastAsia="Arial" w:hAnsi="Arial"/>
          <w:sz w:val="16"/>
          <w:szCs w:val="16"/>
          <w:color w:val="auto"/>
        </w:rPr>
      </w:pPr>
    </w:p>
    <w:p>
      <w:pPr>
        <w:jc w:val="both"/>
        <w:ind w:left="720" w:hanging="334"/>
        <w:spacing w:after="0" w:line="293" w:lineRule="auto"/>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Section 6.01(d)(iii) of the Credit Agreement, commencing with the delivery of the unaudited financial statements delivered for the fiscal month ended May 31, 2016 and Compliance Certificate in connection therewith, due to the failure to provide a Compliance Certificate with (i) a statement that a change in the application of GAAP has occurred in connection with the preparation of the unaudited financial statements required by Sections 6.01(b) and (c) of the Credit Agreement, which such change is limited to the inclusion of a new line item for “Restricted Cash” on the balance sheet of the Borrower and its Subsidiaries for the applicable fiscal periods then ended, and (ii) information specifying the effect of such change on the financial statements accompanying such certificate. The foregoing constitutes an Event of Default under 8.01(d) of the Credit Agreement.</w:t>
      </w:r>
    </w:p>
    <w:p>
      <w:pPr>
        <w:spacing w:after="0" w:line="164" w:lineRule="exact"/>
        <w:rPr>
          <w:rFonts w:ascii="Arial" w:cs="Arial" w:eastAsia="Arial" w:hAnsi="Arial"/>
          <w:sz w:val="16"/>
          <w:szCs w:val="16"/>
          <w:color w:val="auto"/>
        </w:rPr>
      </w:pPr>
    </w:p>
    <w:p>
      <w:pPr>
        <w:jc w:val="both"/>
        <w:ind w:left="720" w:hanging="334"/>
        <w:spacing w:after="0" w:line="259"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Section 8.01(f) of the Credit Agreement, which constitutes an Event of Default, due to the existence of an event of default under Section 9.1(n) of that certain Business Loan and Security Agreement, by and among American Express Bank, FSB and certain of the Borrower’s Subsidiaries, dated as of April 14, 2016 (the “AmEx Loan Agreement), which such event of default under the AmEx Loan Agreement (the “AmEx Loan Agreement Default”) arose solely due to the existence of defaults under the Credit Agreement.</w:t>
      </w:r>
    </w:p>
    <w:p>
      <w:pPr>
        <w:spacing w:after="0" w:line="186"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Section 6.01(e) of the Credit Agreement due to the failure to provide notice of the AmEx Loan Agreement Default as required thereby, which constitutes an Event of Default under Section 8.01(d) of the Credit Agreement.</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Section 3.01 of the Credit Agreement due to the failure to pay the portion of the Base Monthly Interest payments bearing interest at the Default Rate, which constitutes an Event of Default under Section 8.01(b)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8" w:name="page149"/>
    <w:bookmarkEnd w:id="148"/>
    <w:p>
      <w:pPr>
        <w:ind w:left="720" w:hanging="334"/>
        <w:spacing w:after="0" w:line="277" w:lineRule="auto"/>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Subsidiary Guarantee due to the existence of the foregoing Defaults and Events of Defaults, which constitutes an Event of Default under the Subsidiary Guarantee.</w:t>
      </w:r>
    </w:p>
    <w:p>
      <w:pPr>
        <w:spacing w:after="0" w:line="170" w:lineRule="exact"/>
        <w:rPr>
          <w:rFonts w:ascii="Arial" w:cs="Arial" w:eastAsia="Arial" w:hAnsi="Arial"/>
          <w:sz w:val="18"/>
          <w:szCs w:val="18"/>
          <w:color w:val="auto"/>
        </w:rPr>
      </w:pPr>
    </w:p>
    <w:p>
      <w:pPr>
        <w:ind w:left="720" w:hanging="334"/>
        <w:spacing w:after="0" w:line="342" w:lineRule="auto"/>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Section 6.01(i) of the Credit Agreement due to the failure to provide notice of each of the aforementioned Defaults or Events of Default in accordance with the requirements set forth therein, each of which constitutes an Event of Default under Section 8.01(d) of the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Defaults and Events of Defaults listed in items 1-8 of this Annex A shall be collectively referred to as the “Existing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CREDIT AGREEMENT</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This Second Amendment to Credit Agreement (the “Second Amendment”) is made as of the 10th day of May, 2017 (“Effective Date”) by and between XpresSpa Holdings, LLC, a Delaware limited liability company (the “Borrower”) and B3D, LLC (the “Lender”).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 and Rockmore Investment Master Fund Ltd. (“Rockmore”) entered into (a) a Credit Agreement dated April 22, 2015, whereby Rockmore provided credit facilities to Borrower, and (b) a First Agreement to Credit Agreement and Waiver dated August 8, 2016 (collectively, the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on ________, 2017. Rockmore assigned its rights under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to Lender;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on December 23. 2016. FORM Holdings Corp. (“FORM”) acquired the Borrower; and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Borrower and Lender wish to amend certain terms of the Credit Agreement relating to Borrower’s (a) financial reporting to Lender and (b) Board of Directors (“Borrower BoD”).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Lender and the Borrower agree as follows:</w:t>
      </w:r>
    </w:p>
    <w:p>
      <w:pPr>
        <w:spacing w:after="0" w:line="166" w:lineRule="exact"/>
        <w:rPr>
          <w:sz w:val="20"/>
          <w:szCs w:val="20"/>
          <w:color w:val="auto"/>
        </w:rPr>
      </w:pPr>
    </w:p>
    <w:p>
      <w:pPr>
        <w:ind w:left="1240" w:hanging="584"/>
        <w:spacing w:after="0"/>
        <w:tabs>
          <w:tab w:leader="none" w:pos="12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Maturity Date.</w:t>
      </w: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is hereby amended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deleting the definition corresponding to the following definition and substituting in its place the following definition: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May 1. 2019.</w:t>
      </w:r>
    </w:p>
    <w:p>
      <w:pPr>
        <w:spacing w:after="0" w:line="221" w:lineRule="exact"/>
        <w:rPr>
          <w:sz w:val="20"/>
          <w:szCs w:val="20"/>
          <w:color w:val="auto"/>
        </w:rPr>
      </w:pPr>
    </w:p>
    <w:p>
      <w:pPr>
        <w:jc w:val="both"/>
        <w:ind w:firstLine="656"/>
        <w:spacing w:after="0" w:line="281" w:lineRule="auto"/>
        <w:tabs>
          <w:tab w:leader="none" w:pos="141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Reporting Requirements. </w:t>
      </w:r>
      <w:r>
        <w:rPr>
          <w:rFonts w:ascii="Arial" w:cs="Arial" w:eastAsia="Arial" w:hAnsi="Arial"/>
          <w:sz w:val="17"/>
          <w:szCs w:val="17"/>
          <w:color w:val="auto"/>
        </w:rPr>
        <w:t>So long as FORM owns Borrower, the conditions of Article 6.01(a) and (b) shall be satisfied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providing Lender, on a quarterly basis, FORM’s financial statements filed with the United States Securities and Exchange Commission. So long as Bruce Bernstein (“Bernstein”) or a representative of Lender is a member of FORM’s Board of Directors (“FORM BoD”), the conditions of Article 6.01(c) shall be satisfied by FORM, from time-to-time, providing financial updates regarding Borrower to the FORM BoD.</w:t>
      </w:r>
    </w:p>
    <w:p>
      <w:pPr>
        <w:spacing w:after="0" w:line="164" w:lineRule="exact"/>
        <w:rPr>
          <w:rFonts w:ascii="Arial" w:cs="Arial" w:eastAsia="Arial" w:hAnsi="Arial"/>
          <w:sz w:val="17"/>
          <w:szCs w:val="17"/>
          <w:b w:val="1"/>
          <w:bCs w:val="1"/>
          <w:color w:val="auto"/>
        </w:rPr>
      </w:pPr>
    </w:p>
    <w:p>
      <w:pPr>
        <w:jc w:val="both"/>
        <w:ind w:firstLine="656"/>
        <w:spacing w:after="0" w:line="261" w:lineRule="auto"/>
        <w:tabs>
          <w:tab w:leader="none" w:pos="13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Borrower’s Board of Directors. </w:t>
      </w:r>
      <w:r>
        <w:rPr>
          <w:rFonts w:ascii="Arial" w:cs="Arial" w:eastAsia="Arial" w:hAnsi="Arial"/>
          <w:sz w:val="18"/>
          <w:szCs w:val="18"/>
          <w:color w:val="auto"/>
        </w:rPr>
        <w:t>Unless otherwise stated by Lender in writing to Borrower after the Effective Date of this Agreement, so</w:t>
      </w:r>
      <w:r>
        <w:rPr>
          <w:rFonts w:ascii="Arial" w:cs="Arial" w:eastAsia="Arial" w:hAnsi="Arial"/>
          <w:sz w:val="18"/>
          <w:szCs w:val="18"/>
          <w:b w:val="1"/>
          <w:bCs w:val="1"/>
          <w:color w:val="auto"/>
        </w:rPr>
        <w:t xml:space="preserve"> </w:t>
      </w:r>
      <w:r>
        <w:rPr>
          <w:rFonts w:ascii="Arial" w:cs="Arial" w:eastAsia="Arial" w:hAnsi="Arial"/>
          <w:sz w:val="18"/>
          <w:szCs w:val="18"/>
          <w:color w:val="auto"/>
        </w:rPr>
        <w:t>long as Bernstein is a member of the FORM BoD, the conditions of Article 5.01(g) and 6.11 shall be deemed satisfied and the Borrower shall not be required to appoint Bernstein as a member of or have Bernstein serve as a member of the Borrower BoD; provided, if at any time Bernstein is no longer a member of the FORM BoD, Bernstein will be immediately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t>reappointed as a member of the Borrower BoD. Bernstein being a member of the FORM BoD prior to the Effective Date of this Second Amendment satisfied the conditions of Article 5.01(g) and 6.11.</w:t>
      </w:r>
    </w:p>
    <w:p>
      <w:pPr>
        <w:spacing w:after="0" w:line="166" w:lineRule="exact"/>
        <w:rPr>
          <w:sz w:val="20"/>
          <w:szCs w:val="20"/>
          <w:color w:val="auto"/>
        </w:rPr>
      </w:pPr>
    </w:p>
    <w:p>
      <w:pPr>
        <w:jc w:val="both"/>
        <w:ind w:firstLine="656"/>
        <w:spacing w:after="0" w:line="266" w:lineRule="auto"/>
        <w:tabs>
          <w:tab w:leader="none" w:pos="1301"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This Second Amendment shall not constitute a waiver or modification of any of the Lender’s rights and remedies or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conditions, warranties, representations, or covenants contained in the Loan Documents, except as specifically set forth above, and the Lender hereby reserves all of its rights and remedies pursuant to the Loan Documents and applicable law.</w:t>
      </w:r>
    </w:p>
    <w:p>
      <w:pPr>
        <w:spacing w:after="0" w:line="176" w:lineRule="exact"/>
        <w:rPr>
          <w:rFonts w:ascii="Arial" w:cs="Arial" w:eastAsia="Arial" w:hAnsi="Arial"/>
          <w:sz w:val="18"/>
          <w:szCs w:val="18"/>
          <w:b w:val="1"/>
          <w:bCs w:val="1"/>
          <w:color w:val="auto"/>
        </w:rPr>
      </w:pPr>
    </w:p>
    <w:p>
      <w:pPr>
        <w:ind w:left="1240" w:hanging="584"/>
        <w:spacing w:after="0"/>
        <w:tabs>
          <w:tab w:leader="none" w:pos="12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Authorization. </w:t>
      </w:r>
      <w:r>
        <w:rPr>
          <w:rFonts w:ascii="Arial" w:cs="Arial" w:eastAsia="Arial" w:hAnsi="Arial"/>
          <w:sz w:val="18"/>
          <w:szCs w:val="18"/>
          <w:color w:val="auto"/>
        </w:rPr>
        <w:t>This Second Amendment has been approved by proper corporate authorization and resolution of the Borrower.</w:t>
      </w:r>
    </w:p>
    <w:p>
      <w:pPr>
        <w:spacing w:after="0" w:line="225" w:lineRule="exact"/>
        <w:rPr>
          <w:rFonts w:ascii="Arial" w:cs="Arial" w:eastAsia="Arial" w:hAnsi="Arial"/>
          <w:sz w:val="18"/>
          <w:szCs w:val="18"/>
          <w:b w:val="1"/>
          <w:bCs w:val="1"/>
          <w:color w:val="auto"/>
        </w:rPr>
      </w:pPr>
    </w:p>
    <w:p>
      <w:pPr>
        <w:jc w:val="both"/>
        <w:ind w:firstLine="656"/>
        <w:spacing w:after="0" w:line="266" w:lineRule="auto"/>
        <w:tabs>
          <w:tab w:leader="none" w:pos="1356"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Second Amendment may be executed in several counterparts, each of which, when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agreement. Any signature delivered by a party by facsimile transmission or by email in “PDF” or similar format shall be deemed to be an original signature hereto.</w:t>
      </w:r>
    </w:p>
    <w:p>
      <w:pPr>
        <w:spacing w:after="0" w:line="176" w:lineRule="exact"/>
        <w:rPr>
          <w:rFonts w:ascii="Arial" w:cs="Arial" w:eastAsia="Arial" w:hAnsi="Arial"/>
          <w:sz w:val="18"/>
          <w:szCs w:val="18"/>
          <w:b w:val="1"/>
          <w:bCs w:val="1"/>
          <w:color w:val="auto"/>
        </w:rPr>
      </w:pPr>
    </w:p>
    <w:p>
      <w:pPr>
        <w:jc w:val="both"/>
        <w:ind w:firstLine="656"/>
        <w:spacing w:after="0" w:line="289" w:lineRule="auto"/>
        <w:tabs>
          <w:tab w:leader="none" w:pos="1312"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Second Amendment is governed by and is to be construed and enforced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(without regard to the conflicts of law rules of New York). The parties to this Agreement hereby consent to the exclusive jurisdiction of the federal and state courts of the State of New York in the event of any dispute arising under or in connection with this Agreement.</w:t>
      </w:r>
    </w:p>
    <w:p>
      <w:pPr>
        <w:spacing w:after="0" w:line="162" w:lineRule="exact"/>
        <w:rPr>
          <w:rFonts w:ascii="Arial" w:cs="Arial" w:eastAsia="Arial" w:hAnsi="Arial"/>
          <w:sz w:val="17"/>
          <w:szCs w:val="17"/>
          <w:b w:val="1"/>
          <w:bCs w:val="1"/>
          <w:color w:val="auto"/>
        </w:rPr>
      </w:pPr>
    </w:p>
    <w:p>
      <w:pPr>
        <w:ind w:left="4900"/>
        <w:spacing w:after="0"/>
        <w:rPr>
          <w:rFonts w:ascii="Arial" w:cs="Arial" w:eastAsia="Arial" w:hAnsi="Arial"/>
          <w:sz w:val="17"/>
          <w:szCs w:val="17"/>
          <w:b w:val="1"/>
          <w:bCs w:val="1"/>
          <w:color w:val="auto"/>
        </w:rPr>
      </w:pPr>
      <w:r>
        <w:rPr>
          <w:rFonts w:ascii="Arial" w:cs="Arial" w:eastAsia="Arial" w:hAnsi="Arial"/>
          <w:sz w:val="18"/>
          <w:szCs w:val="18"/>
          <w:color w:val="auto"/>
        </w:rPr>
        <w:t>***</w:t>
      </w:r>
    </w:p>
    <w:p>
      <w:pPr>
        <w:spacing w:after="0" w:line="200" w:lineRule="exact"/>
        <w:rPr>
          <w:rFonts w:ascii="Arial" w:cs="Arial" w:eastAsia="Arial" w:hAnsi="Arial"/>
          <w:sz w:val="17"/>
          <w:szCs w:val="17"/>
          <w:b w:val="1"/>
          <w:bCs w:val="1"/>
          <w:color w:val="auto"/>
        </w:rPr>
      </w:pPr>
    </w:p>
    <w:p>
      <w:pPr>
        <w:spacing w:after="0" w:line="241" w:lineRule="exact"/>
        <w:rPr>
          <w:rFonts w:ascii="Arial" w:cs="Arial" w:eastAsia="Arial" w:hAnsi="Arial"/>
          <w:sz w:val="17"/>
          <w:szCs w:val="17"/>
          <w:b w:val="1"/>
          <w:bCs w:val="1"/>
          <w:color w:val="auto"/>
        </w:rPr>
      </w:pPr>
    </w:p>
    <w:p>
      <w:pPr>
        <w:ind w:left="5680"/>
        <w:spacing w:after="0"/>
        <w:rPr>
          <w:rFonts w:ascii="Arial" w:cs="Arial" w:eastAsia="Arial" w:hAnsi="Arial"/>
          <w:sz w:val="17"/>
          <w:szCs w:val="17"/>
          <w:b w:val="1"/>
          <w:bCs w:val="1"/>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i w:val="1"/>
          <w:iCs w:val="1"/>
          <w:color w:val="auto"/>
        </w:rPr>
        <w:t>[Signature Page to Second Amendment to Credit Agreement]</w:t>
      </w:r>
    </w:p>
    <w:p>
      <w:pPr>
        <w:spacing w:after="0" w:line="221" w:lineRule="exact"/>
        <w:rPr>
          <w:sz w:val="20"/>
          <w:szCs w:val="20"/>
          <w:color w:val="auto"/>
        </w:rPr>
      </w:pPr>
    </w:p>
    <w:p>
      <w:pPr>
        <w:ind w:left="8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and delivered this Second Amendment to Credit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Andrew Perlman</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B3D, LLC</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Bernstein</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Bruce Bernstein</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Controlling Director</w:t>
            </w:r>
          </w:p>
        </w:tc>
      </w:tr>
      <w:tr>
        <w:trPr>
          <w:trHeight w:val="648"/>
        </w:trPr>
        <w:tc>
          <w:tcPr>
            <w:tcW w:w="640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3</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Third Amendment to Credit Agreement (the “Third Amendment”) is made as of the 11th day of May, 2018 (“Effective Date”) by and between XpresSpa Holdings, LLC, a Delaware limited liability company (the “Borrower”) and B3D, LLC (the “Lender”).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 and Rockmore Investment Master Fund Ltd. (“Rockmore”) entered into (a) a Credit Agreement dated April 22, 2015, whereby Rockmore provided credit facilities to Borrower, (b) a First Agreement to Credit Agreement and Waiver dated August 8, 2016, and (c) a Second Amendment to Credit Agreement dated May 10, 2017 (collectively, the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on ________, 2017, Rockmore assigned its rights under the Credit Agreement to Lender;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 and Lender wish to amend certain terms of the Credit Agreement relating to the Maturity Date (as defined in the Credit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Lender and the Borrower agree as follows:</w:t>
      </w:r>
    </w:p>
    <w:p>
      <w:pPr>
        <w:spacing w:after="0" w:line="166" w:lineRule="exact"/>
        <w:rPr>
          <w:sz w:val="20"/>
          <w:szCs w:val="20"/>
          <w:color w:val="auto"/>
        </w:rPr>
      </w:pPr>
    </w:p>
    <w:p>
      <w:pPr>
        <w:ind w:firstLine="656"/>
        <w:spacing w:after="0" w:line="282" w:lineRule="auto"/>
        <w:tabs>
          <w:tab w:leader="none" w:pos="1328"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Maturity Date</w:t>
      </w:r>
      <w:r>
        <w:rPr>
          <w:rFonts w:ascii="Arial" w:cs="Arial" w:eastAsia="Arial" w:hAnsi="Arial"/>
          <w:sz w:val="18"/>
          <w:szCs w:val="18"/>
          <w:color w:val="auto"/>
        </w:rPr>
        <w:t>. Section 1.01</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amended by deleting the definition corresponding to the following definition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substituting in its place the following definition: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December 31, 2019.</w:t>
      </w:r>
    </w:p>
    <w:p>
      <w:pPr>
        <w:spacing w:after="0" w:line="221" w:lineRule="exact"/>
        <w:rPr>
          <w:sz w:val="20"/>
          <w:szCs w:val="20"/>
          <w:color w:val="auto"/>
        </w:rPr>
      </w:pPr>
    </w:p>
    <w:p>
      <w:pPr>
        <w:ind w:left="1100" w:hanging="444"/>
        <w:spacing w:after="0"/>
        <w:tabs>
          <w:tab w:leader="none" w:pos="110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Prepayment</w:t>
      </w:r>
      <w:r>
        <w:rPr>
          <w:rFonts w:ascii="Arial" w:cs="Arial" w:eastAsia="Arial" w:hAnsi="Arial"/>
          <w:sz w:val="18"/>
          <w:szCs w:val="18"/>
          <w:color w:val="auto"/>
        </w:rPr>
        <w:t>. Section 2.03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Prepayments of Loans</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amended by adding the below clause (c) thereto:</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no Event of Default exists and if the proceeds arising out of any insurance claim or series of related claims do not exceed $250,000, loss payments in each instance will be applied by the applicable Credit Party to the repair and/or replacement of property with respect to which the loss was incurred to the extent reasonably feasible, and any loss payments or the balance thereof remaining, to the extent not so applied, shall be payable to the applicable Credit Party; provided, however, that payments received by any Credit Party after an Event of Default occurs and is continuing or in excess of $250,000 for any occurrence or series of related occurrences shall be paid to the Lender for itself and on behalf of the secured parties under the Security Agreement and, if received by such Credit Party, shall be held in trust for the secured parties under the Security Agreement and immediately paid over to the Lender unless otherwise directed in writing by the Lender.</w:t>
      </w:r>
    </w:p>
    <w:p>
      <w:pPr>
        <w:spacing w:after="0" w:line="185" w:lineRule="exact"/>
        <w:rPr>
          <w:sz w:val="20"/>
          <w:szCs w:val="20"/>
          <w:color w:val="auto"/>
        </w:rPr>
      </w:pPr>
    </w:p>
    <w:p>
      <w:pPr>
        <w:jc w:val="both"/>
        <w:ind w:firstLine="656"/>
        <w:spacing w:after="0" w:line="266" w:lineRule="auto"/>
        <w:tabs>
          <w:tab w:leader="none" w:pos="1139"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This Third Amendment shall not constitute a waiver or modification of any of the Lender’s rights and remedies or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warranties, representations, or covenants contained in the Loan Documents, except as specifically set forth above, and the Lender hereby reserves all of its rights and remedies pursuant to the Loan Documents and applicable law.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3" w:name="page154"/>
    <w:bookmarkEnd w:id="153"/>
    <w:p>
      <w:pPr>
        <w:ind w:left="1080" w:hanging="44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This Third Amendment has been approved by proper corporate authorization and resolution of the Borrower.</w:t>
      </w:r>
    </w:p>
    <w:p>
      <w:pPr>
        <w:spacing w:after="0" w:line="225" w:lineRule="exact"/>
        <w:rPr>
          <w:rFonts w:ascii="Arial" w:cs="Arial" w:eastAsia="Arial" w:hAnsi="Arial"/>
          <w:sz w:val="18"/>
          <w:szCs w:val="18"/>
          <w:color w:val="auto"/>
        </w:rPr>
      </w:pPr>
    </w:p>
    <w:p>
      <w:pPr>
        <w:jc w:val="both"/>
        <w:ind w:left="-20" w:firstLine="656"/>
        <w:spacing w:after="0" w:line="266" w:lineRule="auto"/>
        <w:tabs>
          <w:tab w:leader="none" w:pos="1078"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Third Amendment may be executed in several counterparts, each of which, when executed and delivered,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all of which together shall constitute one agreement. Any signature delivered by a party by facsimile transmission or by email in “PDF” or similar format shall be deemed to be an original signature hereto.</w:t>
      </w:r>
    </w:p>
    <w:p>
      <w:pPr>
        <w:spacing w:after="0" w:line="176" w:lineRule="exact"/>
        <w:rPr>
          <w:sz w:val="20"/>
          <w:szCs w:val="20"/>
          <w:color w:val="auto"/>
        </w:rPr>
      </w:pPr>
    </w:p>
    <w:p>
      <w:pPr>
        <w:jc w:val="both"/>
        <w:ind w:left="-20" w:firstLine="656"/>
        <w:spacing w:after="0" w:line="289" w:lineRule="auto"/>
        <w:tabs>
          <w:tab w:leader="none" w:pos="106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Third Amendment is governed by and is to be construed and enforced in accordance with the laws of the State of New</w:t>
      </w:r>
      <w:r>
        <w:rPr>
          <w:rFonts w:ascii="Arial" w:cs="Arial" w:eastAsia="Arial" w:hAnsi="Arial"/>
          <w:sz w:val="17"/>
          <w:szCs w:val="17"/>
          <w:b w:val="1"/>
          <w:bCs w:val="1"/>
          <w:color w:val="auto"/>
        </w:rPr>
        <w:t xml:space="preserve"> </w:t>
      </w:r>
      <w:r>
        <w:rPr>
          <w:rFonts w:ascii="Arial" w:cs="Arial" w:eastAsia="Arial" w:hAnsi="Arial"/>
          <w:sz w:val="17"/>
          <w:szCs w:val="17"/>
          <w:color w:val="auto"/>
        </w:rPr>
        <w:t>York (without regard to the conflicts of law rules of New York). The parties to this Agreement hereby consent to the exclusive jurisdiction of the federal and state courts of the State of New York in the event of any dispute arising under or in connection with this Agreement.</w:t>
      </w:r>
    </w:p>
    <w:p>
      <w:pPr>
        <w:spacing w:after="0" w:line="378" w:lineRule="exact"/>
        <w:rPr>
          <w:sz w:val="20"/>
          <w:szCs w:val="20"/>
          <w:color w:val="auto"/>
        </w:rPr>
      </w:pPr>
    </w:p>
    <w:p>
      <w:pPr>
        <w:ind w:left="5200"/>
        <w:spacing w:after="0"/>
        <w:tabs>
          <w:tab w:leader="none" w:pos="5620" w:val="left"/>
          <w:tab w:leader="none" w:pos="6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154" w:name="page155"/>
    <w:bookmarkEnd w:id="154"/>
    <w:p>
      <w:pPr>
        <w:jc w:val="center"/>
        <w:ind w:right="-3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Amendment to Credit Agreement</w:t>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and delivered this Third Amendment to Credit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B3D,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Controlling Director</w:t>
      </w: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9" w:right="61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10.5</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SECURITY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SECURITY AGREEMENT, dated as of April 22, 2015, among XPRESSPA HOLDINGS, LLC, a Delaware limited liability company (the “Borrower”), each of the Affiliates and Subsidiaries of the Borrower from time to time party hereto (each such Affiliate and Subsidiary, individually, a “Guarantor” and, collectively, the “Guarantors”; the Guarantors and the Borrower are referred to herein individually as a “Grantor” and collectively as the “Grantors”) and ROCKMORE INVESTMENT MASTER FUND LTD. (the “Lender”).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Borrower and the Lender are parties to the Credit Agreement dated as of the date hereof (as amended, restated, supplemented or otherwise modified from time to time, the “Credit Agreement”) between the Borrower and the Lender. The Guarantors and the Lender are parties to a Subsidiary Guarantee dated as of the date hereof (as amended, restated, supplemented or otherwise modified from time to time, the “Guarantee Agreement”) among the Borrower, the Guarantors and the Lender, pursuant to which the Guarantors have agreed to guarantee all of the Obligations of the Borrower under the Credit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a condition to the obligation of the Lender to make the Loan under the Credit Agreement that the Grantors shall have executed and delivered this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in consideration of the foregoing, the Grantors and the Lender hereby agree as follows: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firstLine="1240"/>
        <w:spacing w:after="0" w:line="277" w:lineRule="auto"/>
        <w:tabs>
          <w:tab w:leader="none" w:pos="201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Unless the context otherwise requires, capitalized terms used herein and not defined herein shall have the meanings assigned to such terms in the Credit Agreement.</w:t>
      </w:r>
    </w:p>
    <w:p>
      <w:pPr>
        <w:spacing w:after="0" w:line="170" w:lineRule="exact"/>
        <w:rPr>
          <w:rFonts w:ascii="Arial" w:cs="Arial" w:eastAsia="Arial" w:hAnsi="Arial"/>
          <w:sz w:val="18"/>
          <w:szCs w:val="18"/>
          <w:color w:val="auto"/>
        </w:rPr>
      </w:pPr>
    </w:p>
    <w:p>
      <w:pPr>
        <w:ind w:left="1880" w:hanging="640"/>
        <w:spacing w:after="0"/>
        <w:tabs>
          <w:tab w:leader="none" w:pos="1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Debtor”: as defined in the NYUCC.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“Accounts”: as defined in the NYUCC.</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“Accounts Receivable”: all Accounts and all right, title and interest in any returned goods, together with all rights, titles, securities and guarantees with respect thereto, including any rights to stoppage in transit, replevin, reclamation and resales, and all related security interests, liens and pledges, whether voluntary or involuntary, in each case whether now existing or owned or hereafter arising or acquired.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“Chattel Paper”: as defined in the NYUCC.</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“Collateral”: with respect to any Grantor, all personal property of every kind and nature, wherever located, whether now owned or hereafter acquired or arising, and all Proceeds and products thereof, including, without limitation, all (i) Accounts Receivable, (ii) Equipment, (iii) General Intangibles,</w:t>
      </w:r>
    </w:p>
    <w:p>
      <w:pPr>
        <w:ind w:firstLine="8"/>
        <w:spacing w:after="0" w:line="261" w:lineRule="auto"/>
        <w:tabs>
          <w:tab w:leader="none" w:pos="32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Inventory, (v) Instruments, (vi) Pledged Debt, (vii) Pledged Equity, (viii) Documents, (ix) Chattel Paper (whether tangible or electronic), (x) Deposit Accounts, (xi) Letter of Credit Rights (whether or not the letter of credit is evidenced in writing),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6" w:name="page157"/>
    <w:bookmarkEnd w:id="156"/>
    <w:p>
      <w:pPr>
        <w:jc w:val="both"/>
        <w:spacing w:after="0" w:line="255" w:lineRule="auto"/>
        <w:rPr>
          <w:sz w:val="20"/>
          <w:szCs w:val="20"/>
          <w:color w:val="auto"/>
        </w:rPr>
      </w:pPr>
      <w:r>
        <w:rPr>
          <w:rFonts w:ascii="Arial" w:cs="Arial" w:eastAsia="Arial" w:hAnsi="Arial"/>
          <w:sz w:val="18"/>
          <w:szCs w:val="18"/>
          <w:color w:val="auto"/>
        </w:rPr>
        <w:t>Commercial Tort Claims, (xiii) Intellectual Property, (xiv) Supporting Obligations, (xv) any other contract rights or rights to the payment of money, (xvi) insurance claims and proceeds, (xvii) tort claims and (xviii) unless otherwise agreed upon in writing by such Grantor and the Lender, other property owned or held by or on behalf of such Grantor that may be delivered to and held by the Lender pursuant to the terms hereof. Notwithstanding anything to the contrary in any Loan Document, for purposes hereof, the term “Collateral” shall not include (i) any right under any General Intangible if the granting of a security interest therein or an assignment thereof would violate any enforceable provision of such General Intangible and (ii) any Equity Interest of any Grantor in any Subsidiary that is not an Active Domestic Subsidiary.</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“Commercial Tort Claims”: as defined in the NYUCC.</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“Copyright License”: any written agreement, now or hereafter in effect, granting any right to any third party under any Copyright now or hereafter owned by any Grantor or which such Grantor otherwise has the right to license, or granting any right to such Grantor under any Copyright now or hereafter owned by any third party, and all rights of such Grantor under any such agreement.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“Copyrights”: all of the following now owned or hereafter acquired by any Grantor: (i) all copyright rights in any work subject to the copyright laws of the United States or any other country, whether as author, assignee, transferee or otherwise, and (ii) all registrations and applications for registration of any such copyright in the United States or any other country, including registrations, recordings, supplemental registrations and pending applications for registration in the United States Copyright Office.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“Deposit Accounts”: as defined in the NYUCC.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“Documents”: as defined in the NYUCC.</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“Equipment”: as defined in the NYUCC, and shall include, without limitation, all equipment, furniture and furnishings, and all tangible personal property similar to any of the foregoing, including tools, parts and supplies of every kind and description, and all improvements, accessions or appurtenances thereto, that are now or hereafter owned by any Grantor.</w:t>
      </w:r>
    </w:p>
    <w:p>
      <w:pPr>
        <w:spacing w:after="0" w:line="18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“Equity Interests”: with respect to (i) a corporation, the capital stock thereof, (ii) a partnership, any partnership interest therein, including all rights of a partner in such partnership, whether arising under the partnership agreement of such partnership or otherwise, (iii) a limited liability company, any membership interest therein, including all rights of a member of such limited liability company, whether arising under the limited liability company agreement of such limited liability company or otherwise, (iv) any other firm, association, trust, business enterprise or other entity that is similar to any other Person listed in clauses (i), (ii) and (iii), and this clause (iv), of this definition, any equity interest therein or any other interest therein that entitles the holder thereof to share in the net assets, revenue, income, earnings or losses thereof or to vote or otherwise participate in any election of one or more members of the managing body thereof and (v) all warrants and options in respect of any of the foregoing and all other securities that are convertible or exchangeable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7" w:name="page158"/>
    <w:bookmarkEnd w:id="157"/>
    <w:p>
      <w:pPr>
        <w:jc w:val="both"/>
        <w:ind w:firstLine="1297"/>
        <w:spacing w:after="0" w:line="302" w:lineRule="auto"/>
        <w:rPr>
          <w:sz w:val="20"/>
          <w:szCs w:val="20"/>
          <w:color w:val="auto"/>
        </w:rPr>
      </w:pPr>
      <w:r>
        <w:rPr>
          <w:rFonts w:ascii="Arial" w:cs="Arial" w:eastAsia="Arial" w:hAnsi="Arial"/>
          <w:sz w:val="16"/>
          <w:szCs w:val="16"/>
          <w:color w:val="auto"/>
        </w:rPr>
        <w:t>“General Intangibles”: as defined in the NYUCC, and shall include, without limitation, all corporate or other business records, indemnification claims, contract rights (including rights under leases, whether entered into as lessor or lessee, interest rate protection agreements and other agreements), Intellectual Property, goodwill, registrations, franchises, tax refund claims, guarantee, claim, security interest or other security held by or granted to any Grantor to secure payment by an Account Debtor of any of the Accounts Receivable or payment by the relevant obligor of any of the Pledged Debt.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“Instruments”: as defined in the NYUCC.</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“Intellectual Property”: all intellectual and similar property of any Grantor of every kind and nature now owned or hereafter acquired by any Grantor, including inventions, designs, Patents, Copyrights, Trademarks, Licenses, trade secrets, confidential or proprietary technical and business information, customer lists,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“Inventory”: as defined in the NYUCC, and shall include, without limitation, all goods of any Grantor, whether now owned or hereafter acquired, held for sale or lease, or furnished or to be furnished by any Grantor under contracts of service, or consumed in any Grantor’s business, including raw materials, intermediates, work in process, packaging materials, finished goods, semi-finished inventory, scrap inventory, manufacturing supplies and spare parts, and all such goods that have been returned to or repossessed by or on behalf of any Grantor.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Rights”: as defined in the NYUCC.</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“License”: any Patent License, Trademark License, Copyright License or other license or sublicense to which any Grantor is a party, including those listed on Schedule 6.</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“NYUCC”: the UCC as in effect from time to time in the State of New York.</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“Obligations”: (i) the due and punctual payment of (x) principal of and premium, if any, and interest (including interest accruing during the pendency of any bankruptcy, insolvency, receivership or other similar proceeding, regardless of whether allowed or allowable in such proceeding) on the Loans and the Reimbursement Obligations, when and as due, whether at maturity, by acceleration, upon one or more dates set for prepayment or otherwise, and (y) all other monetary obligations, including fees, commissions,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Borrower or any Guarantor under the Credit Agreement and the other Loan Documents, or that are otherwise payable under the Credit Agreement or any other Loan Document, and (ii) the due and punctual performance of all covenants, agreements, obligations and liabilities of the Borrower or any Guarantor under or pursuant to the Credit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8" w:name="page159"/>
    <w:bookmarkEnd w:id="158"/>
    <w:p>
      <w:pPr>
        <w:jc w:val="both"/>
        <w:ind w:firstLine="1297"/>
        <w:spacing w:after="0" w:line="259" w:lineRule="auto"/>
        <w:rPr>
          <w:sz w:val="20"/>
          <w:szCs w:val="20"/>
          <w:color w:val="auto"/>
        </w:rPr>
      </w:pPr>
      <w:r>
        <w:rPr>
          <w:rFonts w:ascii="Arial" w:cs="Arial" w:eastAsia="Arial" w:hAnsi="Arial"/>
          <w:sz w:val="18"/>
          <w:szCs w:val="18"/>
          <w:color w:val="auto"/>
        </w:rPr>
        <w:t>“Patent License”: any written agreement, now or hereafter in effect, granting to any third party any right to make, use or sell any invention on which a Patent, now or hereafter owned by any Grantor or which any Grantor otherwise has the right to license, is in existence, or granting to any Grantor any right to make, use or sell any invention on which a Patent, now or hereafter owned by any third party, is in existence, and all rights of any Grantor under any such agreement.</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“Patents”: all of the following now owned or hereafter acquired by any Grantor: all letters patent of the United States or any other country, all registrations and recordings thereof, and all applications for letters patent of the United States or any other country, including registrations, recordings and pending applications in the United States Patent and Trademark Office or any similar offices in any other country, including those listed on Schedule 6, and all reissues, continuations, divisions, continuations-in-part, renewals or extensions thereof, and the inventions disclosed or claimed therein, including the right to make, use or sell the inventions disclosed or claimed therein.</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“Pledged Debt”: all right, title and interest of any Grantor to the payment of any loan, advance or other debt of every kind and nature (other than Accounts Receivable and General Intangibles), whether due or to become due, whether or not it has been earned by performance, and whether now or hereafter acquired or arising in the future, other than intercompany debt among the Grantors incurred for cash management purposes in the ordinary course of business.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“Pledged Equity”: with respect to any Grantor, all right, title and interest of such Grantor in any Equity Interests of any now existing or hereafter acquired or organized Active Domestic Subsidiary, whether now or hereafter acquired or arising in the future.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“Pledged Securities”: the Pledged Debt, the Pledged Equity and all notes, chattel paper, instruments, certificates, files, records, ledger sheets and documents covering, evidencing, representing or relating to any of the foregoing, in each case whether now existing or owned or hereafter arising or acquired.</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“Proceeds”: as defined in the NYUCC, and shall include, without limitation, any consideration received from the sale, exchange, license, lease or other disposition of any asset or property that constitutes Collateral, any value received as a consequence of the possession of Collateral and any payment received from any insurer or other person or entity as a result of the destruction, loss, theft, damage or other involuntary conversion of whatever nature of any asset or property that constitutes Collateral, including (i) any claim of any Grantor against any third party for (and the right to sue and recover for and the rights to damages or profits due or accrued arising out of or in connection with) past, present or future infringement or dilution of any Intellectual Property now or hereafter owned by any Grantor, or licensed under any license, (ii) subject to Section 6, all rights and privileges with respect to, and all payments of principal or interest, dividends, cash, instruments and other property from time to time received, receivable or otherwise distributed in respect of, in exchange for or upon the conversion of, any of the Pledged Securities and (iii) any and all other amounts from time to time paid or payable under or in connection with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59" w:name="page160"/>
    <w:bookmarkEnd w:id="159"/>
    <w:p>
      <w:pPr>
        <w:ind w:left="1300"/>
        <w:spacing w:after="0"/>
        <w:rPr>
          <w:sz w:val="20"/>
          <w:szCs w:val="20"/>
          <w:color w:val="auto"/>
        </w:rPr>
      </w:pPr>
      <w:r>
        <w:rPr>
          <w:rFonts w:ascii="Arial" w:cs="Arial" w:eastAsia="Arial" w:hAnsi="Arial"/>
          <w:sz w:val="18"/>
          <w:szCs w:val="18"/>
          <w:color w:val="auto"/>
        </w:rPr>
        <w:t>“Security Interest”: as defined in Section 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“Supporting Obligations”: as defined in the NYUCC.</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“Trademark License”: any written agreement, now or hereafter in effect, granting to any third party any right to use any Trademark now or hereafter owned by any Grantor or which any Grantor otherwise has the right to license, or granting to any Grantor any right to use any Trademark now or hereafter owned by any third party, and all rights of any Grantor under any such agreement.</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“Trademarks”: all of the following now owned or hereafter acquired by any Grantor: (i) all trademarks, service marks, trade names, corporate names, company names, business names, fictitious business names, trade styles, trade dress, logos, other source or business identifiers, designs and general intangibles of like nature, now existing or hereafter adopted or acquired, all registrations and recordings thereof, and all registration and recording applications filed in connection therewith, including registrations and registration applications in the United States Patent and Trademark Office, any State of the United States or any similar offices in any other country or any political subdivision thereof, and all extensions or renewals thereof, including those listed on Schedule 6, (ii) all goodwill associated therewith or symbolized thereby and (iii) all other assets, rights and interests that uniquely reflect or embody such goodwill.</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“UCC”: with respect to any jurisdiction, the Uniform Commercial Code as from time to time in effect in such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principles of construction specified in Section 1.02 of the Credit Agreement shall be applicable to this Security Agreement.</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Grant of Security Interest; No Assumption of Liability</w:t>
      </w:r>
    </w:p>
    <w:p>
      <w:pPr>
        <w:spacing w:after="0" w:line="225" w:lineRule="exact"/>
        <w:rPr>
          <w:sz w:val="20"/>
          <w:szCs w:val="20"/>
          <w:color w:val="auto"/>
        </w:rPr>
      </w:pPr>
    </w:p>
    <w:p>
      <w:pPr>
        <w:jc w:val="both"/>
        <w:ind w:firstLine="1305"/>
        <w:spacing w:after="0" w:line="255" w:lineRule="auto"/>
        <w:tabs>
          <w:tab w:leader="none" w:pos="193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security for the payment or performance, as applicable, in full of the Obligations, each of the Grantors hereby bargains, sells, conveys, assigns, sets over, pledges, hypothecates and transfers to the Lender, and hereby grants to the Lender, a security interest in, all of the right, title and interest of such Grantor in, to and under the Collateral (the “Security Interest”). Without limiting the foregoing, the Lender is hereby authorized to file one or more financing statements, continuation statements, recordation filings or other documents for the purpose of perfecting, confirming, continuing, enforcing or protecting the Security Interest granted by each of the Grantors, without the signature of any Grantor, and naming any Grantor or the Grantors, as applicable, as debtors and the Lender as secured party.</w:t>
      </w:r>
    </w:p>
    <w:p>
      <w:pPr>
        <w:spacing w:after="0" w:line="193" w:lineRule="exact"/>
        <w:rPr>
          <w:rFonts w:ascii="Arial" w:cs="Arial" w:eastAsia="Arial" w:hAnsi="Arial"/>
          <w:sz w:val="18"/>
          <w:szCs w:val="18"/>
          <w:color w:val="auto"/>
        </w:rPr>
      </w:pPr>
    </w:p>
    <w:p>
      <w:pPr>
        <w:ind w:firstLine="1305"/>
        <w:spacing w:after="0" w:line="277" w:lineRule="auto"/>
        <w:tabs>
          <w:tab w:leader="none" w:pos="188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Security Interest is granted as security only and shall not subject the Lender to, or in any way alter or modify, any obligation or liability of any Grantor with respect to or arising out of the Collateral.</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Delivery of the Collateral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of the Grantors shall promptly deliver or cause to be delivered to the Lender any and all notes, chattel paper, instruments, certificates, files, records, ledger sheets and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60" w:name="page161"/>
    <w:bookmarkEnd w:id="160"/>
    <w:p>
      <w:pPr>
        <w:jc w:val="both"/>
        <w:spacing w:after="0" w:line="253" w:lineRule="auto"/>
        <w:rPr>
          <w:sz w:val="20"/>
          <w:szCs w:val="20"/>
          <w:color w:val="auto"/>
        </w:rPr>
      </w:pPr>
      <w:r>
        <w:rPr>
          <w:rFonts w:ascii="Arial" w:cs="Arial" w:eastAsia="Arial" w:hAnsi="Arial"/>
          <w:sz w:val="18"/>
          <w:szCs w:val="18"/>
          <w:color w:val="auto"/>
        </w:rPr>
        <w:t>covering, evidencing, representing or relating to any of the Pledged Securities, or any other amount that becomes payable under or in connection with any Collateral, owned or held by or on behalf of such Grantor, in each case accompanied by (i) in the case of any notes, chattel paper, instruments or stock certificates, stock powers duly executed in blank or other instruments of transfer satisfactory to the Lender and such other instruments and documents as the Lender may reasonably request and (ii) in all other cases, proper instruments of assignment duly executed by such Grantor and such other instruments or documents as the Lender may reasonably request. Each Grantor will cause any Pledged Debt owed or owing to such Grantor by any Person to be evidenced by a duly executed promissory note that is pledged and delivered to the Lender pursuant to the terms hereof. Each of the Grantors shall cause each issuer of Pledged Equity that constitutes uncertificated securities to (i) register transfer each item of such Pledged Equities in the name of the Lender and (ii) deliver to the Lender by telecopy a certified copy of the then current register of equity-holders in such issuer, with such transfer and any other pledges of equity duly noted.</w:t>
      </w:r>
    </w:p>
    <w:p>
      <w:pPr>
        <w:spacing w:after="0" w:line="19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Grantors, jointly with the others and severally, represents and warrants to the Lender that:</w:t>
      </w:r>
    </w:p>
    <w:p>
      <w:pPr>
        <w:spacing w:after="0" w:line="225" w:lineRule="exact"/>
        <w:rPr>
          <w:sz w:val="20"/>
          <w:szCs w:val="20"/>
          <w:color w:val="auto"/>
        </w:rPr>
      </w:pPr>
    </w:p>
    <w:p>
      <w:pPr>
        <w:jc w:val="both"/>
        <w:ind w:firstLine="1305"/>
        <w:spacing w:after="0" w:line="264" w:lineRule="auto"/>
        <w:tabs>
          <w:tab w:leader="none" w:pos="205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Grantor has good and valid rights in and title to the Collateral and has full power and authority to grant to the Lender the Security Interest in the Collateral pursuant hereto and to execute, deliver and perform its obligations in accordance with the terms of this Security Agreement, without the consent or approval of any other person other than any consent or approval which has been obtained.</w:t>
      </w:r>
    </w:p>
    <w:p>
      <w:pPr>
        <w:spacing w:after="0" w:line="181" w:lineRule="exact"/>
        <w:rPr>
          <w:rFonts w:ascii="Arial" w:cs="Arial" w:eastAsia="Arial" w:hAnsi="Arial"/>
          <w:sz w:val="18"/>
          <w:szCs w:val="18"/>
          <w:color w:val="auto"/>
        </w:rPr>
      </w:pPr>
    </w:p>
    <w:p>
      <w:pPr>
        <w:ind w:firstLine="1305"/>
        <w:spacing w:after="0" w:line="277" w:lineRule="auto"/>
        <w:tabs>
          <w:tab w:leader="none" w:pos="200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Schedule 1 sets forth (i) the legal name of each of the Grantors, as such name appears in its organizational documents and (ii) the address of the chief executive office of each of the Grantors.</w:t>
      </w:r>
    </w:p>
    <w:p>
      <w:pPr>
        <w:spacing w:after="0" w:line="170" w:lineRule="exact"/>
        <w:rPr>
          <w:rFonts w:ascii="Arial" w:cs="Arial" w:eastAsia="Arial" w:hAnsi="Arial"/>
          <w:sz w:val="18"/>
          <w:szCs w:val="18"/>
          <w:color w:val="auto"/>
        </w:rPr>
      </w:pPr>
    </w:p>
    <w:p>
      <w:pPr>
        <w:jc w:val="both"/>
        <w:ind w:firstLine="1305"/>
        <w:spacing w:after="0" w:line="291" w:lineRule="auto"/>
        <w:tabs>
          <w:tab w:leader="none" w:pos="194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Schedule 2 sets forth (i) the jurisdiction of organization or formation of each of the Grantors, (ii) a list of all other names (including trade names or similar appellations) used by each of the Grantors or any of its divisions or other business units in connection with the conduct of its business or the ownership of its properties at any time during the past five years, (iii) all changes by each of the Grantors to its identity or organizational structure (including, without limitation, mergers, consolidations and acquisitions, and any change in the form, nature or jurisdiction of organization) within the past five years and to the extent of any such changes, Schedule 2 sets forth the information required by clauses (i) of Section 4 (b) and clause (i) of this Section 4(c) as to each acquiree or constituent party to a merger or consolidation and (iv) the Federal Taxpayer Identification Number of each of the Grantors and the organizational identification number of each of the Grantors, if any, issued by the jurisdiction of such Grantor’s organization or formation.</w:t>
      </w:r>
    </w:p>
    <w:p>
      <w:pPr>
        <w:spacing w:after="0" w:line="167" w:lineRule="exact"/>
        <w:rPr>
          <w:rFonts w:ascii="Arial" w:cs="Arial" w:eastAsia="Arial" w:hAnsi="Arial"/>
          <w:sz w:val="16"/>
          <w:szCs w:val="16"/>
          <w:color w:val="auto"/>
        </w:rPr>
      </w:pPr>
    </w:p>
    <w:p>
      <w:pPr>
        <w:jc w:val="both"/>
        <w:ind w:firstLine="1305"/>
        <w:spacing w:after="0" w:line="264" w:lineRule="auto"/>
        <w:tabs>
          <w:tab w:leader="none" w:pos="21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Schedule 3 sets forth (i) all locations where each of the Grantors maintains any books or records relating to any Accounts Receivable or Pledged Debt (with each location at which chattel paper, if any, is kept being indicated by an “*”), (ii) all other material places of business of each of the Grantors and all other locations where such Grantor maintains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Collateral and (iii) the names and addresses of all persons other than such Grantor that have possession of any of its Collateral.</w:t>
      </w:r>
    </w:p>
    <w:p>
      <w:pPr>
        <w:spacing w:after="0" w:line="225" w:lineRule="exact"/>
        <w:rPr>
          <w:sz w:val="20"/>
          <w:szCs w:val="20"/>
          <w:color w:val="auto"/>
        </w:rPr>
      </w:pPr>
    </w:p>
    <w:p>
      <w:pPr>
        <w:jc w:val="both"/>
        <w:ind w:firstLine="1305"/>
        <w:spacing w:after="0" w:line="269" w:lineRule="auto"/>
        <w:tabs>
          <w:tab w:leader="none" w:pos="195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Security Interest constitutes: (i) a legal and valid Lien on and security interest in all of the Collateral securing the payment and performance of the Obligations; (ii) subject to (A) filing Uniform Commercial Code financing statements, or other appropriate filings, recordings or registrations containing a description of the Collateral owned or held by or on behalf of such Grantor (including, without limitation, a counterpart or copy of this Security Agreement) in each applicable governmental, municipal or other office and (B) the delivery to the Lender of any instruments or certificated securities included in such Collateral, a perfected security interest in such Collateral to the extent that a security interest may be perfected by filing, recording or registering a financing statement or analogous document, or by the Lender’s taking possession of such instruments or certificated securities included in such Collateral, in the United States (or any political subdivision thereof) and its territories and possessions pursuant to the UCC or other applicable law in such jurisdictions; and (iii) subject to the receipt and recording of this Agreement or other appropriate instruments or certificates with the United States Patent and Trademark Office and the United States Copyright Office, as applicable, a security interest that shall be perfected in all Collateral consisting of Intellectual Property in which a security interest may be perfected by a filing or recordation with the United States Patent and Trademark Office or the United States Copyright Office, as applicable.</w:t>
      </w:r>
    </w:p>
    <w:p>
      <w:pPr>
        <w:spacing w:after="0" w:line="182" w:lineRule="exact"/>
        <w:rPr>
          <w:rFonts w:ascii="Arial" w:cs="Arial" w:eastAsia="Arial" w:hAnsi="Arial"/>
          <w:sz w:val="17"/>
          <w:szCs w:val="17"/>
          <w:color w:val="auto"/>
        </w:rPr>
      </w:pPr>
    </w:p>
    <w:p>
      <w:pPr>
        <w:jc w:val="both"/>
        <w:ind w:firstLine="1305"/>
        <w:spacing w:after="0" w:line="264" w:lineRule="auto"/>
        <w:tabs>
          <w:tab w:leader="none" w:pos="19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Security Interest is and shall be prior to any other Lien on any of the Collateral owned or held by or on behalf of such Grantor other than Liens expressly permitted pursuant to the Loan Documents. The Collateral owned or held by or on behalf of such Grantor is so owned or held by it free and clear of any Lien, except for Liens expressly permitted pursuant to the Loan Documents.</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respect to each Account Receivable: (i) no transaction giving rise to such Account Receivable violated or will violate any applicable federal, state or local law, rule or ordinance, the violation of which could reasonably be expected to have a Material Adverse Effect, (ii) each such Account Receivable is not subject to terms prohibiting the assignment thereof or requiring notice or consent to such assignment, except for notices and consents that have been obtained and (iii) each such Account Receivable represents a bona fide transaction which requires no further act on such Grantor’s part to make such Account Receivable payable by the account debtor with respect thereto, and, to the Grantor’s knowledge, such Account Receivable is not subject to any offsets or deductions and does not represent any consignment sales, guaranteed sale, sale or return or other similar understanding or any obligation of any Affiliate of such Grantor.</w:t>
      </w:r>
    </w:p>
    <w:p>
      <w:pPr>
        <w:spacing w:after="0" w:line="189" w:lineRule="exact"/>
        <w:rPr>
          <w:rFonts w:ascii="Arial" w:cs="Arial" w:eastAsia="Arial" w:hAnsi="Arial"/>
          <w:sz w:val="18"/>
          <w:szCs w:val="18"/>
          <w:color w:val="auto"/>
        </w:rPr>
      </w:pPr>
    </w:p>
    <w:p>
      <w:pPr>
        <w:jc w:val="both"/>
        <w:ind w:firstLine="1305"/>
        <w:spacing w:after="0" w:line="279" w:lineRule="auto"/>
        <w:tabs>
          <w:tab w:leader="none" w:pos="202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With respect to all Inventory: (i) such Inventory is located on the premises set forth on Schedule 1 or 3 hereto, or is Inventory in transit for sale in the ordinary course of business, (ii) such Inventory was not produced in violation of the Fair Labor Standards Act or subject to the “hot goods” provisions contained in Title 29 U.S.C. §215, (iii) no such Inventory is subject to any Lien other than Liens permitted by Section 7.02 of the Credit Agreement, and (iv) such Inventory has been acquired by the Grantors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2" w:name="page163"/>
    <w:bookmarkEnd w:id="162"/>
    <w:p>
      <w:pPr>
        <w:jc w:val="both"/>
        <w:ind w:left="-660" w:firstLine="1305"/>
        <w:spacing w:after="0" w:line="297" w:lineRule="auto"/>
        <w:tabs>
          <w:tab w:leader="none" w:pos="133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Attached hereto as Schedule 4 is a true and correct list of all of the Pledged Equity owned or held by or on behalf of each of the Grantors, in each case setting forth the name of the issuer of such Pledged Equity, the number of any certificate evidencing such Pledged Equity, the registered owner of such Equity Interest, the number and class of such Pledged Equity and the percentage of the issued and outstanding Equity Interests of such class represented by such Pledged Equity. The Pledged Equity has been duly authorized and validly issued and is fully paid and nonassessable, and is free and clear of all Liens other than Liens granted pursuant to this Security Agreement and other Liens expressly permitted by the Loan Documents.</w:t>
      </w:r>
    </w:p>
    <w:p>
      <w:pPr>
        <w:spacing w:after="0" w:line="158" w:lineRule="exact"/>
        <w:rPr>
          <w:rFonts w:ascii="Arial" w:cs="Arial" w:eastAsia="Arial" w:hAnsi="Arial"/>
          <w:sz w:val="16"/>
          <w:szCs w:val="16"/>
          <w:color w:val="auto"/>
        </w:rPr>
      </w:pPr>
    </w:p>
    <w:p>
      <w:pPr>
        <w:jc w:val="both"/>
        <w:ind w:left="-660" w:firstLine="1305"/>
        <w:spacing w:after="0" w:line="259" w:lineRule="auto"/>
        <w:tabs>
          <w:tab w:leader="none" w:pos="127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Attached hereto as Schedule 5 is a true and correct list of all of the Pledged Debt owned by or on behalf of each of the Grantors, in each case setting forth the name of the party from whom such Pledged Debt is owed or owing, the principal amount thereof, the date of incurrence thereof and the maturity date, if any, with respect thereto. All Pledged Debt owed or owing to each Grantor will be on and as of the date hereof evidenced by one or more promissory notes pledged to the Lender under the Security Agreement.</w:t>
      </w:r>
    </w:p>
    <w:p>
      <w:pPr>
        <w:spacing w:after="0" w:line="186" w:lineRule="exact"/>
        <w:rPr>
          <w:rFonts w:ascii="Arial" w:cs="Arial" w:eastAsia="Arial" w:hAnsi="Arial"/>
          <w:sz w:val="18"/>
          <w:szCs w:val="18"/>
          <w:color w:val="auto"/>
        </w:rPr>
      </w:pPr>
    </w:p>
    <w:p>
      <w:pPr>
        <w:jc w:val="both"/>
        <w:ind w:left="-660" w:firstLine="1305"/>
        <w:spacing w:after="0" w:line="259" w:lineRule="auto"/>
        <w:tabs>
          <w:tab w:leader="none" w:pos="135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Attached hereto as Schedule 6 is a true and correct list of Intellectual Property owned by or on behalf of each of the Grantors, in each case identifying each Copyright, Copyright License, Patent, Patent License, Trademark and Trademark License in sufficient detail and setting forth with respect to each such Copyright, Copyright License, Patent, Patent License, Trademark and Trademark License, the registration number, the date of registration, the jurisdiction of registration and the date of expiration thereof.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Covenants</w:t>
      </w:r>
    </w:p>
    <w:p>
      <w:pPr>
        <w:spacing w:after="0" w:line="225" w:lineRule="exact"/>
        <w:rPr>
          <w:sz w:val="20"/>
          <w:szCs w:val="20"/>
          <w:color w:val="auto"/>
        </w:rPr>
      </w:pPr>
    </w:p>
    <w:p>
      <w:pPr>
        <w:jc w:val="both"/>
        <w:ind w:left="-660" w:firstLine="1305"/>
        <w:spacing w:after="0" w:line="272" w:lineRule="auto"/>
        <w:tabs>
          <w:tab w:leader="none" w:pos="129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of the Grantors shall provide the Lender with not less than 10 Business Days prior written notice of any change (i) in its legal name, (ii) in its jurisdiction of organization or formation, (iii) in the location of its chief executive office or principal place of business, (iv) in its identity or legal or organizational structure or (v) in its organization identification number or its Federal Taxpayer Identification Number. No Grantor shall effect or permit any change referred to in the preceding sentence unless all filings have been made under the UCC or otherwise that are required in order for the Lender to continue at all times following such change to have a valid, legal and perfected first priority security interest in all the Collateral (subject only to Liens expressly permitted to be prior to the Security Interest pursuant to the Loan Documents). Each Grantor shall promptly notify the Lender if any material portion of the Collateral owned or held by or on behalf of such Grantor is damaged or destroyed.</w:t>
      </w:r>
    </w:p>
    <w:p>
      <w:pPr>
        <w:spacing w:after="0" w:line="177" w:lineRule="exact"/>
        <w:rPr>
          <w:rFonts w:ascii="Arial" w:cs="Arial" w:eastAsia="Arial" w:hAnsi="Arial"/>
          <w:sz w:val="17"/>
          <w:szCs w:val="17"/>
          <w:color w:val="auto"/>
        </w:rPr>
      </w:pPr>
    </w:p>
    <w:p>
      <w:pPr>
        <w:jc w:val="both"/>
        <w:ind w:left="-660" w:firstLine="1305"/>
        <w:spacing w:after="0" w:line="257" w:lineRule="auto"/>
        <w:tabs>
          <w:tab w:leader="none" w:pos="131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of the Grantors shall maintain, at its own cost and expense, such complete and accurate records with respect to the Collateral owned or held by it or on its behalf as is consistent with its current practices and in accordance with such prudent and standard practices used in industries that are the same as or similar to those in which it is engaged, but in any event to include complete accounting records indicating all payments and proceeds received with respect to any part of such Collateral, and, at such time or times as the Lender may reasonably request, promptly to prepare and deliver to the Lender copies of such records a duly certified by an officer of such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420370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63" w:name="page164"/>
    <w:bookmarkEnd w:id="163"/>
    <w:p>
      <w:pPr>
        <w:jc w:val="both"/>
        <w:ind w:left="-1200" w:firstLine="1305"/>
        <w:spacing w:after="0" w:line="257" w:lineRule="auto"/>
        <w:tabs>
          <w:tab w:leader="none" w:pos="92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year, at the time of delivery of annual financial statements with respect to the preceding fiscal year pursuant to Section 6.01(a) of the Credit Agreement, at the request of the Lender, the Borrower shall deliver to the Lender a certificate executed by an Authorized Signatory of the Borrower, (i) setting forth the information contained on Schedules 1, 2, 4, 5 and 6 or confirming that there has been no change in such information since the date of this Security Agreement or the date of the most recent certificate delivered pursuant to this paragraph and (ii) certifying that the Borrower and the Guarantors are in compliance with all of the terms of this Security Agreement.</w:t>
      </w:r>
    </w:p>
    <w:p>
      <w:pPr>
        <w:spacing w:after="0" w:line="188" w:lineRule="exact"/>
        <w:rPr>
          <w:rFonts w:ascii="Arial" w:cs="Arial" w:eastAsia="Arial" w:hAnsi="Arial"/>
          <w:sz w:val="18"/>
          <w:szCs w:val="18"/>
          <w:color w:val="auto"/>
        </w:rPr>
      </w:pPr>
    </w:p>
    <w:p>
      <w:pPr>
        <w:jc w:val="both"/>
        <w:ind w:left="-1200" w:firstLine="1305"/>
        <w:spacing w:after="0" w:line="264" w:lineRule="auto"/>
        <w:tabs>
          <w:tab w:leader="none" w:pos="96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of the Grantors shall, at its own cost and expense, take any and all actions reasonably necessary to defend title to the Collateral owned or held by it or on its behalf against all persons and to defend the Security Interest of the Lender in such Collateral and the priority thereof against any Lien not expressly permitted pursuant to the Loan Documents.</w:t>
      </w:r>
    </w:p>
    <w:p>
      <w:pPr>
        <w:spacing w:after="0" w:line="181" w:lineRule="exact"/>
        <w:rPr>
          <w:rFonts w:ascii="Arial" w:cs="Arial" w:eastAsia="Arial" w:hAnsi="Arial"/>
          <w:sz w:val="18"/>
          <w:szCs w:val="18"/>
          <w:color w:val="auto"/>
        </w:rPr>
      </w:pPr>
    </w:p>
    <w:p>
      <w:pPr>
        <w:jc w:val="both"/>
        <w:ind w:left="-1200" w:firstLine="1305"/>
        <w:spacing w:after="0" w:line="257" w:lineRule="auto"/>
        <w:tabs>
          <w:tab w:leader="none" w:pos="103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of the Grantors shall, at its own expense, execute, acknowledge, deliver and cause to be duly filed all such further instruments and documents and take all such actions as the Lender may from time to time reasonably request to preserve, protect and perfect the Security Interest granted by it and the rights and remedies created hereby, including the payment of any fees and taxes required in connection with its execution and delivery of this Security Agreement, the granting by it of the Security Interest and the filing of any financing statements or other documents in connection herewith or therewith.</w:t>
      </w:r>
    </w:p>
    <w:p>
      <w:pPr>
        <w:spacing w:after="0" w:line="188" w:lineRule="exact"/>
        <w:rPr>
          <w:rFonts w:ascii="Arial" w:cs="Arial" w:eastAsia="Arial" w:hAnsi="Arial"/>
          <w:sz w:val="18"/>
          <w:szCs w:val="18"/>
          <w:color w:val="auto"/>
        </w:rPr>
      </w:pPr>
    </w:p>
    <w:p>
      <w:pPr>
        <w:jc w:val="both"/>
        <w:ind w:left="-1200" w:firstLine="1305"/>
        <w:spacing w:after="0" w:line="312" w:lineRule="auto"/>
        <w:tabs>
          <w:tab w:leader="none" w:pos="73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of the Grantors shall remain liable to observe and perform all the conditions and obligations to be observed and performed by it under each contract, agreement or instrument relating to the Collateral, all in accordance with the terms and conditions thereof, and such Grantor shall, jointly with the others and severally, indemnify and hold harmless the Lender from and against any and all liability for such performance.</w:t>
      </w:r>
    </w:p>
    <w:p>
      <w:pPr>
        <w:spacing w:after="0" w:line="146" w:lineRule="exact"/>
        <w:rPr>
          <w:rFonts w:ascii="Arial" w:cs="Arial" w:eastAsia="Arial" w:hAnsi="Arial"/>
          <w:sz w:val="16"/>
          <w:szCs w:val="16"/>
          <w:color w:val="auto"/>
        </w:rPr>
      </w:pPr>
    </w:p>
    <w:p>
      <w:pPr>
        <w:jc w:val="both"/>
        <w:ind w:left="-1200" w:firstLine="1305"/>
        <w:spacing w:after="0" w:line="254" w:lineRule="auto"/>
        <w:tabs>
          <w:tab w:leader="none" w:pos="75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None of the Grantors shall make or permit to be made an assignment, pledge or hypothecation of the Collateral owned or held by it or on its behalf, or shall grant any other Lien in respect of such Collateral, except as expressly permitted by the Loan Documents. Except for the Security Interest, no Grantor shall make or permit to be made any transfer of such Collateral, and each Grantor shall remain at all times in possession of such Collateral and shall remain the direct owner, beneficially and of record, of the Pledged Equity included in such Collateral, except that prior to the occurrence of an Event of Default, the Grantors may use and dispose of the Collateral in any lawful manner not inconsistent with the provisions of this Security Agreement, the Credit Agreement or any other Loan Document. Without limiting the generality of the foregoing, each Grantor shall not peiinit any Inventory to be in the possession or control of any warehouseman, bailee, agent or processor at any time unless such warehouseman, bailee, agent or processor shall have been notified of the Security Interest.</w:t>
      </w:r>
    </w:p>
    <w:p>
      <w:pPr>
        <w:spacing w:after="0" w:line="192" w:lineRule="exact"/>
        <w:rPr>
          <w:rFonts w:ascii="Arial" w:cs="Arial" w:eastAsia="Arial" w:hAnsi="Arial"/>
          <w:sz w:val="18"/>
          <w:szCs w:val="18"/>
          <w:color w:val="auto"/>
        </w:rPr>
      </w:pPr>
    </w:p>
    <w:p>
      <w:pPr>
        <w:jc w:val="both"/>
        <w:ind w:left="-1200" w:firstLine="1305"/>
        <w:spacing w:after="0" w:line="259" w:lineRule="auto"/>
        <w:tabs>
          <w:tab w:leader="none" w:pos="77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None of the Grantors will, without the Lender’s prior written consent, grant any extension of the time of payment of any Accounts Receivable or any of the Pledged Debt, compromise, compound or settle the same for less than the full amount thereof or allow any credit or discount whatsoever thereon, other than extensions, credits, discounts, compromises or settlements granted or made in the ordinary course of business and consistent with 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t>practices and in accordance with such prudent and standard practices used in industries that are the same as or similar to those which the Borrower is engaged.</w:t>
      </w:r>
    </w:p>
    <w:p>
      <w:pPr>
        <w:spacing w:after="0" w:line="248" w:lineRule="exact"/>
        <w:rPr>
          <w:sz w:val="20"/>
          <w:szCs w:val="20"/>
          <w:color w:val="auto"/>
        </w:rPr>
      </w:pPr>
    </w:p>
    <w:p>
      <w:pPr>
        <w:jc w:val="both"/>
        <w:ind w:firstLine="1305"/>
        <w:spacing w:after="0" w:line="285" w:lineRule="auto"/>
        <w:tabs>
          <w:tab w:leader="none" w:pos="203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Grantors, at their own expense, shall maintain or cause to be maintained insurance covering physical loss or damage to the Inventory and Equipment in accordance with Section 6.02 of the Credit Agreement, which insurance shall be against all risks. The Grantors shall not modify any such insurance or reduce amounts payable thereunder without the consent of the Lender. On or before the date that is fourteen (14) days following the date hereof, all policies covering such insurance (i) shall contain a standard loss payable clause and shall name the Lender for the ratable benefit of the Lender as sole loss payee in respect of each claim relating to the Collateral and resulting in a payment thereunder and (ii) shall be indorsed to provide, in respect of the interests of the Lender, that (A) the Lender shall be an additional insured, (B) 30 days’ prior written notice of any cancellation thereof shall be given to the Lender and (C) in the event that any Grantor at any time or times shall fail to pay any premium in whole or part relating thereto, the Lender may, in its sole discretion, pay such premium. Each Grantor irrevocably makes, constitutes and appoints the Lender (and all officers, employees or agents designated by the Lender) as such Grantor’s true and lawful agent (and attorney-in-fact) for the purpose, during the continuance of an Event of Default, of making, settling and adjusting claims in respect of Collateral under policies of insurance, endorsing the name of such Grantor on any check, draft, instrument or other item of payment for the proceeds of such policies of insurance and for making all determinations and decisions with respect thereto. In the event that any Grantor at any time or times shall fail to obtain or maintain any of the policies of insurance required hereby or to pay any premium in whole or part relating thereto, the Lender may, without waiving or releasing any obligation or liability of the Grantors hereunder or any Event of Default, in its sole discretion, obtain and maintain such policies of insurance and pay such premium and take any other actions with respect thereto as the Lender deems advisable. All sums disbursed by the Lender in connection with this paragraph, including reasonable attorneys’ fees, court costs, expenses and other charges relating thereto, shall be payable, upon demand, by the Grantors to the Lender and shall be additional Obligations secured hereby.</w:t>
      </w:r>
    </w:p>
    <w:p>
      <w:pPr>
        <w:spacing w:after="0" w:line="177" w:lineRule="exact"/>
        <w:rPr>
          <w:rFonts w:ascii="Arial" w:cs="Arial" w:eastAsia="Arial" w:hAnsi="Arial"/>
          <w:sz w:val="16"/>
          <w:szCs w:val="16"/>
          <w:color w:val="auto"/>
        </w:rPr>
      </w:pPr>
    </w:p>
    <w:p>
      <w:pPr>
        <w:jc w:val="both"/>
        <w:ind w:firstLine="1305"/>
        <w:spacing w:after="0" w:line="269" w:lineRule="auto"/>
        <w:tabs>
          <w:tab w:leader="none" w:pos="197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Grantor shall: (i) for each Trademark material to the conduct of such Grantor’s business, (A) maintain (and shall cause each of its licensees to maintain) such Trademark in full force free from any claim of abandonment or invalidity for non-use, (B) maintain (and shall cause each of its licensees to maintain) the quality of products and services offered under such Trademark, (C) display (and shall cause each of its licensees to display) such Trademark with notice of federal or foreign registration to the extent necessary and sufficient to establish and preserve its rights under applicable law and (D) not knowingly use or knowingly permit the use of such Trademark in violation of any third party valid and legal rights; (ii) notify the Lender promptly if it knows or has reason to know that any Intellectual Property material to the conduct of its business may become abandoned, lost or dedicated to the public, or of any adverse determination or development (including the institution of, or any such determination or development in, any proceeding in the United States Patent and Trademark Office, United States Copyright Office or any court or similar office of any country) regarding such Grantor’s ownership of any Intellectual Property, its right to register the same, or to keep and maintain the same; (iii) promptly inform the Lender in the event that it shall, either itself or through any agent, employee, licensee or designee, file an application for any Intellectual Property (or for the registration of any Patent, Trademark or Copyright) with the United States Patent and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5" w:name="page166"/>
    <w:bookmarkEnd w:id="165"/>
    <w:p>
      <w:pPr>
        <w:jc w:val="both"/>
        <w:spacing w:after="0" w:line="267" w:lineRule="auto"/>
        <w:rPr>
          <w:sz w:val="20"/>
          <w:szCs w:val="20"/>
          <w:color w:val="auto"/>
        </w:rPr>
      </w:pPr>
      <w:r>
        <w:rPr>
          <w:rFonts w:ascii="Arial" w:cs="Arial" w:eastAsia="Arial" w:hAnsi="Arial"/>
          <w:sz w:val="17"/>
          <w:szCs w:val="17"/>
          <w:color w:val="auto"/>
        </w:rPr>
        <w:t>Office, United States Copyright Office or any office or agency in any political subdivision of the United States or in any other country or any political subdivision thereof, and, upon request of the Lender, execute and deliver any and all agreements, instruments, documents and papers as the Lender may request to evidence the Lender’s security interest in such Patent, Trademark or Copyright, and each Grantor hereby appoints the Lender as its attorney-in-fact to execute and file upon the occurrence and during the continuance of an Event of Default such writings for the foregoing purposes, all acts of such attorney being hereby ratified and confirmed; such power, being coupled with an interest, is irrevocable; and (iv) take all necessary steps that are consistent with the practice in any proceeding before the United States Patent and Trademark Office, United States Copyright Office or any office or agency in any political subdivision of the United States or in any other country or any political subdivision thereof, to maintain and pursue each material application relating to the Patents, Trademarks or Copyrights (and to obtain the relevant grant or registration) and to maintain each issued Patent and each registration of the Trademarks and Copyrights that is material to the conduct of such Grantor’s business, including timely filings of applications for renewal, affidavits of use, affidavits of incontestability and payment of maintenance fees, and, if consistent with good business judgment, to initiate opposition, interference and cancellation proceedings against third parties. In the event that any Grantor has reason to believe that any Collateral consisting of a Patent, Trademark or Copyright material to the conduct of any Grantor’s business has been or is about to be infringed, misappropriated or diluted by a third party, such Grantor promptly shall notify the Lender and shall, if consistent with good business judgment, promptly sue for infringement, misappropriation or dilution and to recover any and all damages for such infringement, misappropriation or dilution, and take such other actions as are appropriate under the circumstances to protect such Collateral. Upon and during the continuance of an Event of Default, each Grantor shall use its best efforts to obtain all requisite consents or approvals by the licensee of each Copyright License, Patent License or Trademark License to effect the assignment of all of such Grantor’s right, title and interest thereunder to the Lender or its designee.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Certain Rights as to the Collateral; Attorney-In-Fact</w:t>
      </w:r>
    </w:p>
    <w:p>
      <w:pPr>
        <w:spacing w:after="0" w:line="225" w:lineRule="exact"/>
        <w:rPr>
          <w:sz w:val="20"/>
          <w:szCs w:val="20"/>
          <w:color w:val="auto"/>
        </w:rPr>
      </w:pPr>
    </w:p>
    <w:p>
      <w:pPr>
        <w:ind w:left="1960" w:hanging="655"/>
        <w:spacing w:after="0"/>
        <w:tabs>
          <w:tab w:leader="none" w:pos="1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57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Each Grantor shall be entitled to exercise any and all voting and other consensual rights pertaining to the Collateral or any part thereof for any purpose not inconsistent with the terms of this Security Agreement and the other Loan Documents, provided that such Grantor shall not exercise or refrain from exercising any such right without the prior written consent of the Lender if such action or inaction would have a material adverse effect on the value of the Collateral, or any part thereof, or the validity, priority or perfection of the security interests granted hereby or the remedies of the Lender hereunder.</w:t>
      </w:r>
    </w:p>
    <w:p>
      <w:pPr>
        <w:spacing w:after="0" w:line="188" w:lineRule="exact"/>
        <w:rPr>
          <w:rFonts w:ascii="Arial" w:cs="Arial" w:eastAsia="Arial" w:hAnsi="Arial"/>
          <w:sz w:val="18"/>
          <w:szCs w:val="18"/>
          <w:color w:val="auto"/>
        </w:rPr>
      </w:pPr>
    </w:p>
    <w:p>
      <w:pPr>
        <w:jc w:val="both"/>
        <w:ind w:firstLine="1953"/>
        <w:spacing w:after="0" w:line="257" w:lineRule="auto"/>
        <w:tabs>
          <w:tab w:leader="none" w:pos="258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Each Grantor shall be entitled to receive and retain any and all dividends, principal, interest and other distributions paid in respect of the Collateral to the extent not prohibited by this Security Agreement or the other Loan Documents, provided that any and all (A) dividends, principal, interest and other distributions paid or payable other than in cash in respect of, and instruments (other than checks in payment of cash dividends) and other Property received, receivable or otherwise distributed in respect of, or in exchange for, Collateral, (B) dividends and other distributions paid or payable in cash in respect of any Collateral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66" w:name="page167"/>
    <w:bookmarkEnd w:id="166"/>
    <w:p>
      <w:pPr>
        <w:jc w:val="both"/>
        <w:spacing w:after="0" w:line="279" w:lineRule="auto"/>
        <w:rPr>
          <w:sz w:val="20"/>
          <w:szCs w:val="20"/>
          <w:color w:val="auto"/>
        </w:rPr>
      </w:pPr>
      <w:r>
        <w:rPr>
          <w:rFonts w:ascii="Arial" w:cs="Arial" w:eastAsia="Arial" w:hAnsi="Arial"/>
          <w:sz w:val="17"/>
          <w:szCs w:val="17"/>
          <w:color w:val="auto"/>
        </w:rPr>
        <w:t>connection with a partial or total liquidation or dissolution or in connection with a reduction of capital, capital surplus or paid-in-surplus, and (C) cash paid, payable or otherwise distributed in redemption of, or in exchange for, any Collateral, shall be, and shall forthwith be delivered to the Lender to be held as, Collateral and shall, if received by such Grantor, be received in trust for the benefit of the Lender, be segregated from the other Property of such Grantor, and be forthwith delivered to the Lender as Collateral in the same form as so received (with any necessary indorsement or assignment).</w:t>
      </w:r>
    </w:p>
    <w:p>
      <w:pPr>
        <w:spacing w:after="0" w:line="171" w:lineRule="exact"/>
        <w:rPr>
          <w:sz w:val="20"/>
          <w:szCs w:val="20"/>
          <w:color w:val="auto"/>
        </w:rPr>
      </w:pPr>
    </w:p>
    <w:p>
      <w:pPr>
        <w:jc w:val="both"/>
        <w:ind w:firstLine="1953"/>
        <w:spacing w:after="0" w:line="259" w:lineRule="auto"/>
        <w:tabs>
          <w:tab w:leader="none" w:pos="258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Lender shall execute and deliver (or cause to be executed and delivered) to the Grantors, at the Grantors’ expense) all such proxies and other instruments as the Grantors may reasonably request for the purpose of enabling the Grantors to exercise the voting and other rights which it is entitled to exercise pursuant to clause (i) above and to receive the dividends, principal or interest payments, or other distributions which it is authorized to receive and retain pursuant to clause (ii) above.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w:t>
      </w:r>
    </w:p>
    <w:p>
      <w:pPr>
        <w:spacing w:after="0" w:line="225" w:lineRule="exact"/>
        <w:rPr>
          <w:rFonts w:ascii="Arial" w:cs="Arial" w:eastAsia="Arial" w:hAnsi="Arial"/>
          <w:sz w:val="18"/>
          <w:szCs w:val="18"/>
          <w:color w:val="auto"/>
        </w:rPr>
      </w:pPr>
    </w:p>
    <w:p>
      <w:pPr>
        <w:jc w:val="both"/>
        <w:ind w:firstLine="1953"/>
        <w:spacing w:after="0" w:line="276" w:lineRule="auto"/>
        <w:tabs>
          <w:tab w:leader="none" w:pos="2636"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All rights of each Grantor to (A) exercise the voting and other consensual rights which it would otherwise be entitled to exercise pursuant to Section 6(a)(i) shall, upon notice to such Grantor by the Lender, cease and (B) receive the dividends, principal and interest payments and other distributions which it would otherwise be authorized to receive and retain pursuant to Section 6(a)(ii) shall automatically cease, and all such rights shall thereupon become vested in the Lender, which shall thereupon have the right, but not the obligation, to exercise such voting and other consensual rights and to receive and hold as Collateral such dividends, principal or interest payments and distributions.</w:t>
      </w:r>
    </w:p>
    <w:p>
      <w:pPr>
        <w:spacing w:after="0" w:line="173" w:lineRule="exact"/>
        <w:rPr>
          <w:sz w:val="20"/>
          <w:szCs w:val="20"/>
          <w:color w:val="auto"/>
        </w:rPr>
      </w:pPr>
    </w:p>
    <w:p>
      <w:pPr>
        <w:jc w:val="both"/>
        <w:ind w:firstLine="1953"/>
        <w:spacing w:after="0" w:line="264" w:lineRule="auto"/>
        <w:tabs>
          <w:tab w:leader="none" w:pos="263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dividends, principal and interest payments and other distributions which are received by any Grantor contrary to the provisions of Section 6(b)(i) shall be received in trust for the benefit of the Lender, shall be segregated from other funds of such Grantor and shall be forthwith paid over to the Lender as Collateral in the same form as so received (with any necessary indorsement).</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20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the event that all or any part of the securities or instruments constituting the Collateral are lost, destroyed or wrongfully taken while such securities or instruments are in the possession of the Lender, the Grantors shall cause the delivery of new securities or instruments in place of the lost, destroyed or wrongfully taken securities or instruments upon request therefor by the Lender without the necessity of any indemnity bond or other security or indemnity therefor customary for security agreements similar to this Security Agreement.</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200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Grantor hereby irrevocably appoints the Lender such Grantor’s attorney-in-fact, with full authority in the place and stead of such Grantor and in the name of such Grantor or otherwise, from time to time at any time when an Event of Default exists, in the Lender’s discretion, to take any action and to execute any instrument which the Lender may deem necessary or advisable to accomplish the purposes of this Security Agreement,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7" w:name="page168"/>
    <w:bookmarkEnd w:id="167"/>
    <w:p>
      <w:pPr>
        <w:jc w:val="both"/>
        <w:ind w:left="-660" w:firstLine="1953"/>
        <w:spacing w:after="0" w:line="264" w:lineRule="auto"/>
        <w:tabs>
          <w:tab w:leader="none" w:pos="192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to ask for, demand, collect, sue for, recover, compromise, receive and give acquittance and receipts for moneys due and to become due under or in respect of any of the Collateral, and to receive, indorse, and collect any drafts or other chattel paper, instruments and documents in connection therewith,</w:t>
      </w:r>
    </w:p>
    <w:p>
      <w:pPr>
        <w:spacing w:after="0" w:line="181" w:lineRule="exact"/>
        <w:rPr>
          <w:rFonts w:ascii="Arial" w:cs="Arial" w:eastAsia="Arial" w:hAnsi="Arial"/>
          <w:sz w:val="18"/>
          <w:szCs w:val="18"/>
          <w:color w:val="auto"/>
        </w:rPr>
      </w:pPr>
    </w:p>
    <w:p>
      <w:pPr>
        <w:ind w:left="-660" w:firstLine="1953"/>
        <w:spacing w:after="0" w:line="277" w:lineRule="auto"/>
        <w:tabs>
          <w:tab w:leader="none" w:pos="198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to file any claims or take any action or institute any proceedings which the Lender may deem necessary or desirable for the collection of any of the Collateral or otherwise to enforce the rights of the Lender with respect to any of the Collateral, and</w:t>
      </w:r>
    </w:p>
    <w:p>
      <w:pPr>
        <w:spacing w:after="0" w:line="170" w:lineRule="exact"/>
        <w:rPr>
          <w:rFonts w:ascii="Arial" w:cs="Arial" w:eastAsia="Arial" w:hAnsi="Arial"/>
          <w:sz w:val="18"/>
          <w:szCs w:val="18"/>
          <w:color w:val="auto"/>
        </w:rPr>
      </w:pPr>
    </w:p>
    <w:p>
      <w:pPr>
        <w:jc w:val="both"/>
        <w:ind w:left="-660" w:firstLine="1953"/>
        <w:spacing w:after="0" w:line="259" w:lineRule="auto"/>
        <w:tabs>
          <w:tab w:leader="none" w:pos="191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to receive, indorse and collect all instruments made payable to such Grantor representing any dividend, principal payment, interest payment or other distribution in respect of the Collateral or any part thereof and to give full discharge for the same. The powers granted to the Lender under this Section constitute a power coupled with an interest which shall be irrevocable by such Grantor and shall survive until all of the Obligations have been indefeasibly paid in full in cash.</w:t>
      </w:r>
    </w:p>
    <w:p>
      <w:pPr>
        <w:spacing w:after="0" w:line="186" w:lineRule="exact"/>
        <w:rPr>
          <w:rFonts w:ascii="Arial" w:cs="Arial" w:eastAsia="Arial" w:hAnsi="Arial"/>
          <w:sz w:val="18"/>
          <w:szCs w:val="18"/>
          <w:color w:val="auto"/>
        </w:rPr>
      </w:pPr>
    </w:p>
    <w:p>
      <w:pPr>
        <w:ind w:left="-660" w:firstLine="1240"/>
        <w:spacing w:after="0" w:line="308" w:lineRule="auto"/>
        <w:tabs>
          <w:tab w:leader="none" w:pos="138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any Grantor fails to perform any agreement contained herein, the Lender may itself perform, or cause performance of, such agreement, and the reasonable expenses of the Lender incurred in connection therewith shall be payable by the Grantors under Section 9.</w:t>
      </w:r>
    </w:p>
    <w:p>
      <w:pPr>
        <w:spacing w:after="0" w:line="146" w:lineRule="exact"/>
        <w:rPr>
          <w:rFonts w:ascii="Arial" w:cs="Arial" w:eastAsia="Arial" w:hAnsi="Arial"/>
          <w:sz w:val="17"/>
          <w:szCs w:val="17"/>
          <w:color w:val="auto"/>
        </w:rPr>
      </w:pPr>
    </w:p>
    <w:p>
      <w:pPr>
        <w:jc w:val="both"/>
        <w:ind w:left="-660" w:firstLine="1240"/>
        <w:spacing w:after="0" w:line="302" w:lineRule="auto"/>
        <w:tabs>
          <w:tab w:leader="none" w:pos="122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powers conferred on the Lender hereunder are solely to protect its interest in the Collateral and shall not impose any duty upon it to exercise any such powers. Except for the safe custody of any Collateral in its possession and the accounting for moneys actually received by it hereunder, the Lender shall have no duty as to any Collateral. The Lender shall be deemed to have exercised reasonable care in the custody and preservation of the Collateral in its possession if the Collateral is accorded treatment substantially equal to that which the Lender accords its own property.</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Remedies upon Default</w:t>
      </w:r>
    </w:p>
    <w:p>
      <w:pPr>
        <w:spacing w:after="0" w:line="225" w:lineRule="exact"/>
        <w:rPr>
          <w:sz w:val="20"/>
          <w:szCs w:val="20"/>
          <w:color w:val="auto"/>
        </w:rPr>
      </w:pPr>
    </w:p>
    <w:p>
      <w:pPr>
        <w:jc w:val="both"/>
        <w:ind w:left="-660" w:firstLine="1305"/>
        <w:spacing w:after="0" w:line="269" w:lineRule="auto"/>
        <w:tabs>
          <w:tab w:leader="none" w:pos="133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each of the Grantors shall deliver each item of Collateral to the Lender on demand, and the Lender shall have in any jurisdiction in which enforcement hereof is sought, in addition to any other rights and remedies, the rights and remedies of a secured party under the NYUCC or the UCC of any jurisdiction in which the Collateral is located, including, without limitation, the right, with or without legal process (to the extent permitted by law) and with or without prior notice or demand for performance, to take possession of the Collateral and without liability for trespass (to the extent permitted by law) to enter any premises where the Collateral may be located for the purpose of taking possession of or removing the Collateral (and for that purpose the Lender may, so far as the Grantors can give authority therefor, enter upon any premises on which the Collateral may be situated and remove the Collateral therefrom) and, generally, to exercise any and all rights afforded to a secured party under the UCC or other applicable law. Without limiting the generality of the foregoing, each of the Grantors agrees that the Lender shall have the right, subject to the mandatory requirements of applicable law, to sell or otherwise dispose of all or any part of the Collateral, at public or private sale or at any broker’s board or on any securities exchange, for cash, upon credit or for future delivery as the Lender shall deem appropriate. Each such purchaser at any such sale shall hold the property sold absolutely, free from any claim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416560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68" w:name="page169"/>
    <w:bookmarkEnd w:id="168"/>
    <w:p>
      <w:pPr>
        <w:spacing w:after="0" w:line="308" w:lineRule="auto"/>
        <w:rPr>
          <w:sz w:val="20"/>
          <w:szCs w:val="20"/>
          <w:color w:val="auto"/>
        </w:rPr>
      </w:pPr>
      <w:r>
        <w:rPr>
          <w:rFonts w:ascii="Arial" w:cs="Arial" w:eastAsia="Arial" w:hAnsi="Arial"/>
          <w:sz w:val="17"/>
          <w:szCs w:val="17"/>
          <w:color w:val="auto"/>
        </w:rPr>
        <w:t>right on the part of any Grantor, and each of the Grantors hereby waives (to the extent permitted by law) all rights of redemption, stay, valuation and appraisal which such Grantor or now has or may at any time in the future have under any rule of law or statute now existing or hereafter enacted.</w:t>
      </w:r>
    </w:p>
    <w:p>
      <w:pPr>
        <w:spacing w:after="0" w:line="147" w:lineRule="exact"/>
        <w:rPr>
          <w:sz w:val="20"/>
          <w:szCs w:val="20"/>
          <w:color w:val="auto"/>
        </w:rPr>
      </w:pPr>
    </w:p>
    <w:p>
      <w:pPr>
        <w:jc w:val="both"/>
        <w:ind w:firstLine="1305"/>
        <w:spacing w:after="0" w:line="255" w:lineRule="auto"/>
        <w:tabs>
          <w:tab w:leader="none" w:pos="196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Unless the Collateral is perishable or threatens to decline speedily in value or is of a type customarily sold on a recognized market, the Lender shall give to the Borrower at least ten days prior written notice of the time and place of any public sale of Collateral or of the time after which any private sale or any other intended disposition is to be made. Each Grantor hereby acknowledges that ten days prior written notice of such sale or sales shall be reasonable notice. Each Grantor hereby waives any and all rights that it may have to a judicial hearing in advance of the enforcement of any of the Lender’s rights hereunder, including, without limitation, the right of the Lender following an Event of Default to take immediate possession of the Collateral and to exercise its rights with respect thereto.</w:t>
      </w:r>
    </w:p>
    <w:p>
      <w:pPr>
        <w:spacing w:after="0" w:line="193" w:lineRule="exact"/>
        <w:rPr>
          <w:rFonts w:ascii="Arial" w:cs="Arial" w:eastAsia="Arial" w:hAnsi="Arial"/>
          <w:sz w:val="18"/>
          <w:szCs w:val="18"/>
          <w:color w:val="auto"/>
        </w:rPr>
      </w:pPr>
    </w:p>
    <w:p>
      <w:pPr>
        <w:jc w:val="both"/>
        <w:ind w:firstLine="1305"/>
        <w:spacing w:after="0" w:line="285" w:lineRule="auto"/>
        <w:tabs>
          <w:tab w:leader="none" w:pos="20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such public sale shall be held at such time or times within ordinary business hours and at such place or places as the Lender may fix and state in the notice (if any) of such sale. At any such sale, the Collateral, or portion thereof, to be sold may be sold in one lot as an entirety or in separate parcels, as the Lender may (in its sole and absolute discretion) determine. The Lender shall not be obligated to make any sale of any Collateral if it shall determine not to do so, regardless of the fact that notice of sale of such Collateral shall have been given. The Lender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Lender until the sale price is paid by the purchaser or purchasers thereof, but the Lender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Section, the Lender may bid for or purchase, free from any right of redemption, stay, valuation or appraisal on the part of any Grantor (all said rights being also hereby waived and released), the Collateral or any part thereof offered for sale and may make payment on account thereof by using any claim then due and payable to the Lender from any Grantor as a credit against the purchase price, and the Lender may, upon compliance with the terms of sale, hold, retain and dispose of such property without further accountability to any Grantor therefor. For purposes hereof, (i) a written agreement to purchase the Collateral or any portion thereof shall be treated as a sale thereof, (ii) the Lender shall be free to carry out such sale pursuant to such agreement and (iii) none of the Grantors shall be entitled to the return of the Collateral or any portion thereof subject thereto, notwithstanding the fact that after the Lender shall have entered into such an agreement all Events of Default shall have been remedied and the Obligations paid in full. As an alternative to exercising the power of sale herein conferred upon it, the Lender may proceed by a suit or suits at law or in equity to foreclose upon the Collateral and to sell the Collateral or any portion thereof pursuant to a judgment or decree of a court or courts having competent jurisdiction or pursuant to a proceeding by a court-appointed receiver.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69" w:name="page170"/>
    <w:bookmarkEnd w:id="169"/>
    <w:p>
      <w:pPr>
        <w:jc w:val="both"/>
        <w:ind w:left="-1200" w:firstLine="1305"/>
        <w:spacing w:after="0" w:line="284" w:lineRule="auto"/>
        <w:tabs>
          <w:tab w:leader="none" w:pos="75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Any sale pursuant to the provisions of this Section 7 shall be deemed to conform to commercially reasonable standards as provided in Section 9-610 of the NYUCC or the UCC of any other jurisdiction in which Collateral is located or any other requirement of applicable law. Without limiting the foregoing, each Grantor agrees and acknowledges that, to the extent that applicable law imposes duties on the Lender to exercise remedies in a commercially reasonable manner, it shall be commercially reasonable for the Lender to do any or all of the following: (i) fail to incur expenses deemed significant by the Lender to prepare Collateral for disposition or otherwise to complete raw materials or work in process into finished goods or other finished products for disposition; (ii) fail to obtain third party consents for access to Collateral to be disposed of, or to obtain or, if not required by other law, to fail to obtain governmental or third party consents for the collection or disposition of Collateral to be collected or disposed of, (iii) fail to exercise collection remedies against Account Debtors or other persons obligated on Collateral or to remove Liens on any Collateral, (iv) exercise collection remedies against Account Debtors and other persons obligated on Collateral directly or through the use of collection agencies and other collection specialists, (v) advertise dispositions of Collateral through publications or media of general circulation, whether or not the Collateral is of a specialized nature, (vi) contact other Persons, whether or not in the same business as the Grantors, for expressions of interest in acquiring all or any portion of the Collateral, (vii) hire one or more professional auctioneers to assist in the disposition of Collateral, whether or not the Collateral is of a specialized nature, (viii) dispose of Collateral utilizing Internet sites that provide for the auction of assets of the types included in the Collateral or that have reasonable capability of doing so, or that match buyers and sellers of assets, (ix) disclaim dispositions of warranties, (x) purchase (or fail to purchase) insurance or credit enhancements to insure the Lender against risk of loss, collection or disposition of Collateral or to provide to the Lender a guaranteed return from the collection or disposition of Collateral, or (xi) to the extent deemed appropriate by the Lender, obtain the services of other brokers, investment Lenderers, consultants and other professionals to assist the Lender in the collection or disposition of any of the Collateral. Nothing in this Section 7 shall be construed to grant any rights to the Grantors or to impose any duties on the Lender that would not have been granted or imposed by this Security Agreement or applicable law in the absence of this Section 7 and the parties hereto acknowledge that the purpose of this Section 7 is to provide non-exhaustive indications of what actions or omissions by the Lender would be deemed commercially reasonable in the exercise by the Lender of remedies against the Collateral and that other actions or omissions by the Lender shall not be deemed commercially unreasonable solely on account of not being set forth in this Section 7.</w:t>
      </w:r>
    </w:p>
    <w:p>
      <w:pPr>
        <w:spacing w:after="0" w:line="181" w:lineRule="exact"/>
        <w:rPr>
          <w:rFonts w:ascii="Arial" w:cs="Arial" w:eastAsia="Arial" w:hAnsi="Arial"/>
          <w:sz w:val="16"/>
          <w:szCs w:val="16"/>
          <w:color w:val="auto"/>
        </w:rPr>
      </w:pPr>
    </w:p>
    <w:p>
      <w:pPr>
        <w:jc w:val="both"/>
        <w:ind w:left="-1200" w:firstLine="1305"/>
        <w:spacing w:after="0" w:line="291" w:lineRule="auto"/>
        <w:tabs>
          <w:tab w:leader="none" w:pos="92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For the purpose of enabling the Lender to exercise rights and remedies under this Section, each Grantor hereby grants to the Lender an irrevocable, non-exclusive license (exercisable without payment of royalty or other compensation to the Grantors) to use, license or sub-license any of the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The use of such license by the Lender shall be exercised, at the option of the Lender, upon the occurrence and during the continuation of an Event of Default and the Obligations having become due and payable; provided that any license, sub-license or other transaction entered into by the Lender in accordance herewith shall be binding upon the Grantors notwithstanding any subsequent cure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407035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an Event of Default. Any royalties and other payments received by the Lender shall be applied in accordance with Section 8.</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Application of Proceeds of Sale</w:t>
      </w:r>
    </w:p>
    <w:p>
      <w:pPr>
        <w:spacing w:after="0" w:line="225"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The Lender shall apply the proceeds of any collection or sale of the Collateral, as well as any Collateral consisting of cash, first, to the payment of all costs and expenses incurred by the Lender in connection with such collection or sale or otherwise in connection with this Security Agreement, any other Loan Document or any of the Obligations, including all court costs and the reasonable fees and expenses of their respective agents and legal counsel, the repayment of all advances made by the Lender hereunder or under any other Loan Document on behalf of any Grantor and any other costs or expenses incurred in connection with the exercise of any right or remedy hereunder or under any other Loan Document, second, to the payment in full of the Obligations, and third, to the Grantors, their respective successors or assigns, or as a court of competent jurisdiction may otherwise direct. The Lender shall have absolute discretion as to the time of application of any such proceeds, moneys or balances in accordance with this Security Agreement. Upon any sale of the Collateral by the Lender (including pursuant to a power of sale granted by statute or under a judicial proceeding), the receipt of the purchase money by the Lender or of the officer making the sale shall be a sufficient discharge to the purchaser or purchasers of the Collateral so sold and such purchaser or purchasers shall not be obligated to see to the application of any part of the purchase money paid over to the Lender or such officer or be answerable in any way for the misapplication thereof.</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Reimbursement of the Lender</w:t>
      </w:r>
    </w:p>
    <w:p>
      <w:pPr>
        <w:spacing w:after="0" w:line="225" w:lineRule="exact"/>
        <w:rPr>
          <w:sz w:val="20"/>
          <w:szCs w:val="20"/>
          <w:color w:val="auto"/>
        </w:rPr>
      </w:pPr>
    </w:p>
    <w:p>
      <w:pPr>
        <w:jc w:val="both"/>
        <w:ind w:firstLine="1305"/>
        <w:spacing w:after="0" w:line="255" w:lineRule="auto"/>
        <w:tabs>
          <w:tab w:leader="none" w:pos="19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of the Grantors shall, jointly with the other Grantors and severally, pay upon demand to the Lender the amount of any and all reasonable expenses, including the reasonable fees, other charges and disbursements of counsel and of any experts or agents, that the Lender may incur in connection with (i) the administration of this Security Agreement relating to such Grantor or any of its property, (ii) the custody or preservation of, or the sale of, collection from, or other realization upon, any of the Collateral owned or held by or on behalf of such Grantor, (iii) the exercise, enforcement or protection of any of the rights of the Lender hereunder relating to such Grantor or any of its property or (iv) the failure by such Grantor to perform or observe any of the provisions hereof.</w:t>
      </w:r>
    </w:p>
    <w:p>
      <w:pPr>
        <w:spacing w:after="0" w:line="193" w:lineRule="exact"/>
        <w:rPr>
          <w:rFonts w:ascii="Arial" w:cs="Arial" w:eastAsia="Arial" w:hAnsi="Arial"/>
          <w:sz w:val="18"/>
          <w:szCs w:val="18"/>
          <w:color w:val="auto"/>
        </w:rPr>
      </w:pPr>
    </w:p>
    <w:p>
      <w:pPr>
        <w:jc w:val="both"/>
        <w:ind w:firstLine="1305"/>
        <w:spacing w:after="0" w:line="271" w:lineRule="auto"/>
        <w:tabs>
          <w:tab w:leader="none" w:pos="200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Without limitation of its indemnification obligations under the other Loan Documents, each of the Grantors shall, jointly with the other Grantors and severally, indemnify the Lender and its directors, officers, employees, advisors, agents, successors and assigns (each an “Indemnitees”) against, and hold each Indemnitee harmless from, any and all losses, claims, damages, liabilities and related expenses, including reasonable counsel fees, other charges and disbursements, incurred by or asserted against any Indemnitee arising out of, in any way connected with, or as a result of (i) the execution or delivery by such Grantor of this Security Agreement or any other Loan Document or any agreement or instrument contemplated hereby or thereby, the performance by such Grantor of its obligations under the Loan Documents and the other transactions contemplated thereby or (ii) any claim, litigation, investigation or proceeding relating to any of the foregoing, whether or not any Indemnitee is a party thereto, provided that such indemnity shall not, as to any Indemnitee, be available to the extent that such losses,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1" w:name="page172"/>
    <w:bookmarkEnd w:id="171"/>
    <w:p>
      <w:pPr>
        <w:spacing w:after="0" w:line="277" w:lineRule="auto"/>
        <w:rPr>
          <w:sz w:val="20"/>
          <w:szCs w:val="20"/>
          <w:color w:val="auto"/>
        </w:rPr>
      </w:pPr>
      <w:r>
        <w:rPr>
          <w:rFonts w:ascii="Arial" w:cs="Arial" w:eastAsia="Arial" w:hAnsi="Arial"/>
          <w:sz w:val="18"/>
          <w:szCs w:val="18"/>
          <w:color w:val="auto"/>
        </w:rPr>
        <w:t>damages, liabilities or related expenses are determined by a court of competent jurisdiction by final and nonappealable judgment to have resulted from the gross negligence or willful misconduct of such Indemnitee.</w:t>
      </w:r>
    </w:p>
    <w:p>
      <w:pPr>
        <w:spacing w:after="0" w:line="170" w:lineRule="exact"/>
        <w:rPr>
          <w:sz w:val="20"/>
          <w:szCs w:val="20"/>
          <w:color w:val="auto"/>
        </w:rPr>
      </w:pPr>
    </w:p>
    <w:p>
      <w:pPr>
        <w:jc w:val="both"/>
        <w:ind w:firstLine="1305"/>
        <w:spacing w:after="0" w:line="297" w:lineRule="auto"/>
        <w:tabs>
          <w:tab w:leader="none" w:pos="194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amounts payable as provided hereunder shall be additional Obligations secured hereby and by the other Loan Documents. The provisions of this Section shall remain operative and in full force and effect regardless of the termination of this Security Agreement or any other Loan Document, the consummation of the transactions contemplated hereby, the repayment of any of the Obligations, the invalidity or unenforceability of any term or provision of this Security Agreement or any other Loan Document or any investigation made by or on behalf of the Lender. All amounts due under this Section shall be payable on written demand therefor and shall bear interest at the rate specified in Section 3.01(b) of the Credit Agreement.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Waivers; Amendment</w:t>
      </w:r>
    </w:p>
    <w:p>
      <w:pPr>
        <w:spacing w:after="0" w:line="225" w:lineRule="exact"/>
        <w:rPr>
          <w:sz w:val="20"/>
          <w:szCs w:val="20"/>
          <w:color w:val="auto"/>
        </w:rPr>
      </w:pPr>
    </w:p>
    <w:p>
      <w:pPr>
        <w:jc w:val="both"/>
        <w:ind w:firstLine="1305"/>
        <w:spacing w:after="0" w:line="285" w:lineRule="auto"/>
        <w:tabs>
          <w:tab w:leader="none" w:pos="197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No failure or delay of the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and under the other Loan Documents are cumulative and are not exclusive of any rights or remedies that they would otherwise have. No waiver of any provision of this Security Agreement or any other Loan Document or consent to any departure by any Grantor therefrom shall in any event be effective unless the same shall be permitted by paragraph</w:t>
      </w:r>
    </w:p>
    <w:p>
      <w:pPr>
        <w:spacing w:after="0" w:line="2" w:lineRule="exact"/>
        <w:rPr>
          <w:rFonts w:ascii="Arial" w:cs="Arial" w:eastAsia="Arial" w:hAnsi="Arial"/>
          <w:sz w:val="16"/>
          <w:szCs w:val="16"/>
          <w:color w:val="auto"/>
        </w:rPr>
      </w:pPr>
    </w:p>
    <w:p>
      <w:pPr>
        <w:ind w:right="20" w:firstLine="8"/>
        <w:spacing w:after="0" w:line="290" w:lineRule="auto"/>
        <w:tabs>
          <w:tab w:leader="none" w:pos="2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of this Section, and then such waiver or consent shall be effective only in the specific instance and for the purpose for which given. No notice or demand on any Grantor in any case shall entitle such Grantor to any other or further notice or demand in similar or other circumstances.</w:t>
      </w:r>
    </w:p>
    <w:p>
      <w:pPr>
        <w:spacing w:after="0" w:line="161" w:lineRule="exact"/>
        <w:rPr>
          <w:rFonts w:ascii="Arial" w:cs="Arial" w:eastAsia="Arial" w:hAnsi="Arial"/>
          <w:sz w:val="17"/>
          <w:szCs w:val="17"/>
          <w:color w:val="auto"/>
        </w:rPr>
      </w:pPr>
    </w:p>
    <w:p>
      <w:pPr>
        <w:jc w:val="both"/>
        <w:ind w:firstLine="1305"/>
        <w:spacing w:after="0" w:line="264" w:lineRule="auto"/>
        <w:tabs>
          <w:tab w:leader="none" w:pos="213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Neither this Security Agreement nor any provision hereof may be waived, amended or modified except pursuant to a written agreement entered into by, between or among the Lender and the other parties hereto with respect to which such waiver, amendment or modification is to apply.</w:t>
      </w:r>
    </w:p>
    <w:p>
      <w:pPr>
        <w:spacing w:after="0" w:line="18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Securities Laws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view of the position of the Grantors in relation to the Pledged Securities,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“Federal securities laws”) with respect to any disposition of the Pledged Securities permitted hereunder. Each of the Grantors understands that compliance with the Federal securities laws might very strictly limit the course of conduct of the Lender if the Lender were to attempt to dispose of all or any part of the Pledged Securities, and might also limit the extent to which or the manner in which any subsequent transferee of any Pledged Securities could dispose of the same. Similarly, there may be other legal restrictions or limitations affecting the Lender in any attempt to dispose of all or part of the Pledged Securities under applicable Blue Sky or other state securities laws or similar laws analogous in purpose or effect. Each of the Grantors recognizes that in light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2" w:name="page173"/>
    <w:bookmarkEnd w:id="172"/>
    <w:p>
      <w:pPr>
        <w:jc w:val="both"/>
        <w:spacing w:after="0" w:line="269" w:lineRule="auto"/>
        <w:rPr>
          <w:sz w:val="20"/>
          <w:szCs w:val="20"/>
          <w:color w:val="auto"/>
        </w:rPr>
      </w:pPr>
      <w:r>
        <w:rPr>
          <w:rFonts w:ascii="Arial" w:cs="Arial" w:eastAsia="Arial" w:hAnsi="Arial"/>
          <w:sz w:val="17"/>
          <w:szCs w:val="17"/>
          <w:color w:val="auto"/>
        </w:rPr>
        <w:t>restrictions and limitations, the Lender may, with respect to any sale of the Pledged Securities, limit the purchasers to those who will agree, among other things, to acquire such Pledged Securities for their own account, for investment, and not with a view to the distribution or resale thereof. Each of the Grantors acknowledges and agrees that in light of such restrictions and limitations, the Lender, in its sole and absolute discretion, (i) may proceed to make such a sale whether or not a registration statement for the purpose of registering such Pledged Securities, or any part thereof, shall have been filed under the Federal securities laws and (ii) may approach and negotiate with a single potential purchaser to effect such sale. Each of the Grantors acknowledges and agrees that any such sale might result in prices and other terms less favorable to the seller than if such sale were a public sale without such restrictions. In the event of any such sale, the Lender shall incur no responsibility or liability for selling all or any part of the Pledged Securities at a price that the Lender,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Section will apply notwithstanding the existence of a public or private market upon which the quotations or sales prices may exceed substantially the price at which the Lender sells.</w:t>
      </w:r>
    </w:p>
    <w:p>
      <w:pPr>
        <w:spacing w:after="0" w:line="183" w:lineRule="exact"/>
        <w:rPr>
          <w:sz w:val="20"/>
          <w:szCs w:val="20"/>
          <w:color w:val="auto"/>
        </w:rPr>
      </w:pPr>
    </w:p>
    <w:p>
      <w:pPr>
        <w:ind w:left="720"/>
        <w:spacing w:after="0"/>
        <w:tabs>
          <w:tab w:leader="none" w:pos="19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Security Interest Absolute</w:t>
      </w:r>
    </w:p>
    <w:p>
      <w:pPr>
        <w:spacing w:after="0" w:line="225" w:lineRule="exact"/>
        <w:rPr>
          <w:sz w:val="20"/>
          <w:szCs w:val="20"/>
          <w:color w:val="auto"/>
        </w:rPr>
      </w:pPr>
    </w:p>
    <w:p>
      <w:pPr>
        <w:jc w:val="both"/>
        <w:ind w:left="80" w:firstLine="648"/>
        <w:spacing w:after="0" w:line="290" w:lineRule="auto"/>
        <w:rPr>
          <w:sz w:val="20"/>
          <w:szCs w:val="20"/>
          <w:color w:val="auto"/>
        </w:rPr>
      </w:pPr>
      <w:r>
        <w:rPr>
          <w:rFonts w:ascii="Arial" w:cs="Arial" w:eastAsia="Arial" w:hAnsi="Arial"/>
          <w:sz w:val="16"/>
          <w:szCs w:val="16"/>
          <w:color w:val="auto"/>
        </w:rPr>
        <w:t>All rights of the Lender hereunder, the Security Interest and all obligations of each of the Grantors hereunder shall be absolute and unconditional irrespective of (a) any lack of validity or enforceability of the Credit Agreement, any other Loan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Loan Document or any other agreement or instrument relating to any of the foregoing, (c) any exchange, release or non-perfection of any Lien on any other collateral, or any release or amendment or waiver of, or consent under, or departure from, any guaranty, securing or guaranteeing all or any of the Obligations or (d) any other circumstance that might otherwise constitute a defense available to, or a discharge of, any Grantor in respect of the Obligations or in respect of this Security Agreement or any other Loan Document other than the indefeasible payment of the Obligations in full in cash.</w:t>
      </w:r>
    </w:p>
    <w:p>
      <w:pPr>
        <w:spacing w:after="0" w:line="166" w:lineRule="exact"/>
        <w:rPr>
          <w:sz w:val="20"/>
          <w:szCs w:val="20"/>
          <w:color w:val="auto"/>
        </w:rPr>
      </w:pPr>
    </w:p>
    <w:p>
      <w:pPr>
        <w:ind w:left="720"/>
        <w:spacing w:after="0"/>
        <w:tabs>
          <w:tab w:leader="none" w:pos="19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jc w:val="both"/>
        <w:ind w:left="80" w:firstLine="648"/>
        <w:spacing w:after="0" w:line="264" w:lineRule="auto"/>
        <w:rPr>
          <w:sz w:val="20"/>
          <w:szCs w:val="20"/>
          <w:color w:val="auto"/>
        </w:rPr>
      </w:pPr>
      <w:r>
        <w:rPr>
          <w:rFonts w:ascii="Arial" w:cs="Arial" w:eastAsia="Arial" w:hAnsi="Arial"/>
          <w:sz w:val="18"/>
          <w:szCs w:val="18"/>
          <w:color w:val="auto"/>
        </w:rPr>
        <w:t>All communications and notices hereunder shall be in writing and given as provided in Section 9.02 of the Credit Agreement. All communications and notices hereunder to the Borrower shall be given to it at the address for notices set forth in such Section, and all communications and notices hereunder to any other Grantor shall be given to it at the address for notices set forth on Schedule 1.</w:t>
      </w:r>
    </w:p>
    <w:p>
      <w:pPr>
        <w:spacing w:after="0" w:line="181" w:lineRule="exact"/>
        <w:rPr>
          <w:sz w:val="20"/>
          <w:szCs w:val="20"/>
          <w:color w:val="auto"/>
        </w:rPr>
      </w:pPr>
    </w:p>
    <w:p>
      <w:pPr>
        <w:ind w:left="720"/>
        <w:spacing w:after="0"/>
        <w:tabs>
          <w:tab w:leader="none" w:pos="19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Binding Effect; Several Agreement; Assignments</w:t>
      </w:r>
    </w:p>
    <w:p>
      <w:pPr>
        <w:spacing w:after="0" w:line="225" w:lineRule="exact"/>
        <w:rPr>
          <w:sz w:val="20"/>
          <w:szCs w:val="20"/>
          <w:color w:val="auto"/>
        </w:rPr>
      </w:pPr>
    </w:p>
    <w:p>
      <w:pPr>
        <w:jc w:val="both"/>
        <w:ind w:left="80" w:firstLine="648"/>
        <w:spacing w:after="0" w:line="308" w:lineRule="auto"/>
        <w:rPr>
          <w:sz w:val="20"/>
          <w:szCs w:val="20"/>
          <w:color w:val="auto"/>
        </w:rPr>
      </w:pPr>
      <w:r>
        <w:rPr>
          <w:rFonts w:ascii="Arial" w:cs="Arial" w:eastAsia="Arial" w:hAnsi="Arial"/>
          <w:sz w:val="17"/>
          <w:szCs w:val="17"/>
          <w:color w:val="auto"/>
        </w:rPr>
        <w:t>Whenever in this Security Agreement any of the parties hereto is referred to, such reference shall be deemed to include the successors and assigns of such party; and all covenants, promises and agreements by or on behalf of any Grantor that are contained in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3" w:name="page174"/>
    <w:bookmarkEnd w:id="173"/>
    <w:p>
      <w:pPr>
        <w:jc w:val="both"/>
        <w:spacing w:after="0" w:line="271" w:lineRule="auto"/>
        <w:rPr>
          <w:sz w:val="20"/>
          <w:szCs w:val="20"/>
          <w:color w:val="auto"/>
        </w:rPr>
      </w:pPr>
      <w:r>
        <w:rPr>
          <w:rFonts w:ascii="Arial" w:cs="Arial" w:eastAsia="Arial" w:hAnsi="Arial"/>
          <w:sz w:val="17"/>
          <w:szCs w:val="17"/>
          <w:color w:val="auto"/>
        </w:rPr>
        <w:t>Agreement shall bind and inure to the benefit of each party hereto and its successors and assigns. This Security Agreement shall become effective as to any Grantor when a counterpart hereof executed on behalf of such Grantor shall have been delivered to the Lender and a counterpart hereof shall have been executed on behalf of the Lender, and thereafter shall be binding upon such Grantor, the Lender and its successors and assigns, and shall inure to the benefit of such Grantor, the Lender and its successors and assigns, except that none of the Grantors shall have the right to assign its rights or obligations hereunder or any interest herein or in the Collateral (and any such attempted assignment shall be void), except as expressly contemplated by this Security Agreement or the other Loan Documents. This Security Agreement shall be construed as a separate agreement with respect to each of the Grantors and may be amended, modified, supplemented, waived or released with respect to any Grantor without the approval of any other Grantor and without affecting the obligations of any other Grantor hereunder.</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Survival of Agreement; Severability</w:t>
      </w:r>
    </w:p>
    <w:p>
      <w:pPr>
        <w:spacing w:after="0" w:line="225" w:lineRule="exact"/>
        <w:rPr>
          <w:sz w:val="20"/>
          <w:szCs w:val="20"/>
          <w:color w:val="auto"/>
        </w:rPr>
      </w:pPr>
    </w:p>
    <w:p>
      <w:pPr>
        <w:jc w:val="both"/>
        <w:ind w:firstLine="1305"/>
        <w:spacing w:after="0" w:line="255" w:lineRule="auto"/>
        <w:tabs>
          <w:tab w:leader="none" w:pos="197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covenants, agreements, representations and warranties made by the Grantors herein and in the certificates or other instruments prepared or delivered in connection with or pursuant to this Security Agreement or any other Loan Document shall be considered to have been relied upon by the Lender and shall survive the execution and delivery of any Loan Documents and the making of any Loan or other extension of credit, regardless of any investigation made by the Lender or on their behalf and notwithstanding that the Lender may have had notice or knowledge of any Default or incorrect representation or warranty at the time any credit is extended under the Credit Agreement, and shall continue in full force and effect until this Security Agreement shall terminate.</w:t>
      </w:r>
    </w:p>
    <w:p>
      <w:pPr>
        <w:spacing w:after="0" w:line="193" w:lineRule="exact"/>
        <w:rPr>
          <w:rFonts w:ascii="Arial" w:cs="Arial" w:eastAsia="Arial" w:hAnsi="Arial"/>
          <w:sz w:val="18"/>
          <w:szCs w:val="18"/>
          <w:color w:val="auto"/>
        </w:rPr>
      </w:pPr>
    </w:p>
    <w:p>
      <w:pPr>
        <w:jc w:val="both"/>
        <w:ind w:firstLine="1305"/>
        <w:spacing w:after="0" w:line="297" w:lineRule="auto"/>
        <w:tabs>
          <w:tab w:leader="none" w:pos="201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the event any one or more of the provisions contained in this Security Agreement or any other Loan Document should be held invalid, illegal or unenforceable in any respect, the validity, legality and enforceability of the remaining provisions contained herein or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u w:val="single" w:color="auto"/>
          <w:color w:val="auto"/>
        </w:rPr>
        <w:t>GOVERNING LAW</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SECURITY AGREEMENT AND THE RIGHTS AND DUTIES OF THE PARTIES UNDER THIS SECURITY AGREEMENT, SHALL BE GOVERNED BY, AND CONSTRUED AND INTERPRETED IN ACCORDANCE WITH, THE INTERNAL LAWS OF THE STATE OF NEW YORK.</w:t>
      </w:r>
    </w:p>
    <w:p>
      <w:pPr>
        <w:spacing w:after="0" w:line="14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5"/>
          <w:szCs w:val="15"/>
          <w:u w:val="single" w:color="auto"/>
          <w:color w:val="auto"/>
        </w:rPr>
        <w:t>Counterparts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Security Agreement may be executed in two or more counterparts, each of which shall constitute an original, but all of which, when taken together, shall constitute but one contract (subject to Section 14), and shall become effective as provided in Section 14.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4" w:name="page175"/>
    <w:bookmarkEnd w:id="174"/>
    <w:p>
      <w:pPr>
        <w:ind w:right="20"/>
        <w:spacing w:after="0" w:line="277" w:lineRule="auto"/>
        <w:rPr>
          <w:sz w:val="20"/>
          <w:szCs w:val="20"/>
          <w:color w:val="auto"/>
        </w:rPr>
      </w:pPr>
      <w:r>
        <w:rPr>
          <w:rFonts w:ascii="Arial" w:cs="Arial" w:eastAsia="Arial" w:hAnsi="Arial"/>
          <w:sz w:val="18"/>
          <w:szCs w:val="18"/>
          <w:color w:val="auto"/>
        </w:rPr>
        <w:t>of an executed counterpart of this Security Agreement by facsimile transmission shall be as effective as delivery of a manually executed counterpart of this Security Agreement.</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Headings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headings used herein are for convenience of reference only, are not part of this Security Agreement and are not to affect the construction of, or to be taken into consideration in interpreting, this Security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7"/>
          <w:szCs w:val="17"/>
          <w:u w:val="single" w:color="auto"/>
          <w:color w:val="auto"/>
        </w:rPr>
        <w:t>JURISDICTION, ETC.</w:t>
      </w:r>
    </w:p>
    <w:p>
      <w:pPr>
        <w:spacing w:after="0" w:line="225" w:lineRule="exact"/>
        <w:rPr>
          <w:sz w:val="20"/>
          <w:szCs w:val="20"/>
          <w:color w:val="auto"/>
        </w:rPr>
      </w:pPr>
    </w:p>
    <w:p>
      <w:pPr>
        <w:jc w:val="both"/>
        <w:ind w:firstLine="1305"/>
        <w:spacing w:after="0" w:line="252" w:lineRule="auto"/>
        <w:tabs>
          <w:tab w:leader="none" w:pos="203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SUBMITS, FOR ITSELF AND ITS PROPERTY, TO THE NONEXCLUSIVE JURISDICTION OF ANY NEW YORK STATE COURT OR FEDERAL COURT OF THE UNITED STATES OF AMERICA SITTING IN NEW YORK COUNTY, NEW YORK, AND ANY APPELLATE COURT FROM ANY THEREOF, IN ANY ACTION OR PROCEEDING ARISING OUT OF OR RELATING TO THIS SECURITY AGREEMENT OR ANY OF THE OTHER LOAN DOCUMENTS TO WHICH IT IS A PARTY,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SECURITY AGREEMENT SHALL AFFECT ANY RIGHT THAT THE LENDER MAY OTHERWISE HAVE TO BRING ANY ACTION OR PROCEEDING RELATING TO THIS SECURITY AGREEMENT OR ANY OF THE OTHER LOAN DOCUMENTS IN THE COURTS OF ANY JURISDICTION. EACH PARTY FURTHER IRREVOCABLY CONSENTS TO THE SERVICE OF ANY COMPLAINT, SUMMONS, NOTICE OR OTHER PROCESS RELATING TO ANY SUCH ACTION OR PROCEEDING BY DELIVERY THEREOF TO IT BY HAND OR BY MAIL IN THE MANNER PROVIDED FOR IN SECTION 14 HEREOF.</w:t>
      </w:r>
    </w:p>
    <w:p>
      <w:pPr>
        <w:spacing w:after="0" w:line="198" w:lineRule="exact"/>
        <w:rPr>
          <w:rFonts w:ascii="Arial" w:cs="Arial" w:eastAsia="Arial" w:hAnsi="Arial"/>
          <w:sz w:val="18"/>
          <w:szCs w:val="18"/>
          <w:color w:val="auto"/>
        </w:rPr>
      </w:pPr>
    </w:p>
    <w:p>
      <w:pPr>
        <w:jc w:val="both"/>
        <w:ind w:firstLine="1305"/>
        <w:spacing w:after="0" w:line="255" w:lineRule="auto"/>
        <w:tabs>
          <w:tab w:leader="none" w:pos="1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SECURITY AGREEMENT OR ANY OF THE OTHER LOAN DOCUMENTS TO WHICH IT IS A PARTY IN ANY NEW YORK STATE OR FEDERAL COURT SITTING IN NEW YORK CITY. EACH OF THE PARTIES HERETO HEREBY IRREVOCABLY WAIVES, TO THE FULLEST EXTENT PERMITTED BY LAW, THE DEFENSE OF AN INCONVENIENT FORUM TO THE MAINTENANCE OF SUCH ACTION OR PROCEEDING IN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5" w:name="page176"/>
    <w:bookmarkEnd w:id="175"/>
    <w:p>
      <w:pPr>
        <w:ind w:left="660"/>
        <w:spacing w:after="0"/>
        <w:tabs>
          <w:tab w:leader="none" w:pos="194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7"/>
          <w:szCs w:val="17"/>
          <w:u w:val="single" w:color="auto"/>
          <w:color w:val="auto"/>
        </w:rPr>
        <w:t>WAIVER OF TRIAL BY JURY</w:t>
      </w:r>
    </w:p>
    <w:p>
      <w:pPr>
        <w:spacing w:after="0" w:line="225" w:lineRule="exact"/>
        <w:rPr>
          <w:sz w:val="20"/>
          <w:szCs w:val="20"/>
          <w:color w:val="auto"/>
        </w:rPr>
      </w:pPr>
    </w:p>
    <w:p>
      <w:pPr>
        <w:jc w:val="both"/>
        <w:ind w:firstLine="1305"/>
        <w:spacing w:after="0" w:line="272" w:lineRule="auto"/>
        <w:tabs>
          <w:tab w:leader="none" w:pos="217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Additional Grantors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execution and delivery after the date hereof by the Lender and a Subsidiary of an instrument in the form of Annex 1, such Subsidiary shall become a Grantor hereunder with the same force and effect as if originally named as a Grantor herein. The execution and delivery of any such instrument shall not require the consent of any Grantor hereunder. The rights and obligations of each of the Grantors hereunder shall remain in full force and effect notwithstanding the addition of any new Grantor as a party to this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6" w:name="page177"/>
    <w:bookmarkEnd w:id="176"/>
    <w:p>
      <w:pPr>
        <w:ind w:left="720"/>
        <w:spacing w:after="0"/>
        <w:rPr>
          <w:sz w:val="20"/>
          <w:szCs w:val="20"/>
          <w:color w:val="auto"/>
        </w:rPr>
      </w:pPr>
      <w:r>
        <w:rPr>
          <w:rFonts w:ascii="Arial" w:cs="Arial" w:eastAsia="Arial" w:hAnsi="Arial"/>
          <w:sz w:val="18"/>
          <w:szCs w:val="18"/>
          <w:color w:val="auto"/>
        </w:rPr>
        <w:t>IN WITNESS WHEREOF, the parties hereto have duly executed this Security Agreement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Marisol Binn</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Marisol Binn</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r>
      <w:tr>
        <w:trPr>
          <w:trHeight w:val="675"/>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77" w:name="page178"/>
    <w:bookmarkEnd w:id="177"/>
    <w:p>
      <w:pPr>
        <w:ind w:left="5720"/>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Spa Products Wholesaling,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at Term. 4 JFK,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DFW Kiosk,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Franchising,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Houston Intercontinental,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5,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7,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8,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John Wayne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LaGuardia Terminal 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Las Vegas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LAX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Mobile Services,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MSP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Online Shopping,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Orlando,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Philadelphia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Pittsburgh 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Raleigh-Durham Intl,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S.F. International,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Salt Lake City,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Washington Dulles,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Washington Reagan,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Marisol Binn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Marisol Binn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Marisol Binn, </w:t>
      </w:r>
      <w:r>
        <w:rPr>
          <w:rFonts w:ascii="Arial" w:cs="Arial" w:eastAsia="Arial" w:hAnsi="Arial"/>
          <w:sz w:val="17"/>
          <w:szCs w:val="17"/>
          <w:color w:val="auto"/>
        </w:rPr>
        <w:t>as President of all of the aforementioned entities, has executed this Security Agreement and intending that all entities above named are bound</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to be bound by the one signature as if he had executed this Security Agreement separately for each of the above named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IN WITNESS WHEREOF, the parties hereto have duly executed this Security Agreement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Marisol Binn</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Marisol Binn</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r>
      <w:tr>
        <w:trPr>
          <w:trHeight w:val="675"/>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179" w:name="page180"/>
    <w:bookmarkEnd w:id="179"/>
    <w:p>
      <w:pPr>
        <w:ind w:left="5720"/>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Spa Products Wholesaling,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at Term. 4 JFK,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DFW Kiosk,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Franchising,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Houston Intercontinental,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5,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7,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JFK Terminal 8,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John Wayne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LaGuardia Terminal 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Las Vegas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LAX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Mobile Services,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MSP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Online Shopping,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Orlando,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Philadelphia Airport,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Pittsburgh 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Raleigh-Durham Intl,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S.F. International,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Salt Lake City,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Washington Dulles,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Washington Reagan,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Marisol Binn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Marisol Binn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Marisol Binn, </w:t>
      </w:r>
      <w:r>
        <w:rPr>
          <w:rFonts w:ascii="Arial" w:cs="Arial" w:eastAsia="Arial" w:hAnsi="Arial"/>
          <w:sz w:val="17"/>
          <w:szCs w:val="17"/>
          <w:color w:val="auto"/>
        </w:rPr>
        <w:t>as President of all of the aforementioned entities, has executed this Security Agreement and intending that all entities above named are bound</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to be bound by the one signature as if he had executed this Security Agreement separately for each of the above named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ROCKMORE INVESTMENT MASTER FUND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Bernstein</w:t>
            </w:r>
          </w:p>
        </w:tc>
        <w:tc>
          <w:tcPr>
            <w:tcW w:w="5700" w:type="dxa"/>
            <w:vAlign w:val="bottom"/>
          </w:tcPr>
          <w:p>
            <w:pPr>
              <w:spacing w:after="0"/>
              <w:rPr>
                <w:sz w:val="20"/>
                <w:szCs w:val="20"/>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Bruce Bernstein</w:t>
            </w:r>
          </w:p>
        </w:tc>
        <w:tc>
          <w:tcPr>
            <w:tcW w:w="570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Partner</w:t>
            </w:r>
          </w:p>
        </w:tc>
        <w:tc>
          <w:tcPr>
            <w:tcW w:w="5700" w:type="dxa"/>
            <w:vAlign w:val="bottom"/>
          </w:tcPr>
          <w:p>
            <w:pPr>
              <w:spacing w:after="0"/>
              <w:rPr>
                <w:sz w:val="20"/>
                <w:szCs w:val="20"/>
                <w:color w:val="auto"/>
              </w:rPr>
            </w:pPr>
          </w:p>
        </w:tc>
      </w:tr>
      <w:tr>
        <w:trPr>
          <w:trHeight w:val="675"/>
        </w:trPr>
        <w:tc>
          <w:tcPr>
            <w:tcW w:w="7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SUPPLEMENT NO. 1 dated as of May 18, 2015, to the SECURITY AGREEMENT, dated as of April 22, 2015 (as amended, restated, supplemented or otherwise modified from time to time, the "Security Agreement"), between XPRESSPA HOLDINGS, LLC, a Delaware limited liability company (the "Borrower"), each of the Affiliates and Subsidiaries of the Borrower from time to time party thereto (each such Affiliate and Subsidiary, individually, a "Guarantor" and, collectively, the "Guarantors"; the Guarantors and the Borrower are referred to herein individually as a "Grantor" and collectively as the "Grantors") and ROCKMORE INVESTMENT MASTER FUND LTD. (the "Lender").</w:t>
      </w:r>
    </w:p>
    <w:p>
      <w:pPr>
        <w:spacing w:after="0" w:line="188" w:lineRule="exact"/>
        <w:rPr>
          <w:sz w:val="20"/>
          <w:szCs w:val="20"/>
          <w:color w:val="auto"/>
        </w:rPr>
      </w:pPr>
    </w:p>
    <w:p>
      <w:pPr>
        <w:jc w:val="both"/>
        <w:ind w:left="660" w:hanging="652"/>
        <w:spacing w:after="0" w:line="264"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Reference is made to the Credit Agreement, dated as of April 22, 2015 (as amended, restated, supplemented or otherwise modified from time to time, the "Credit Agreement"), by and among the Borrower and the Lender. Capitalized terms used herein and not defined herein shall have the meanings assigned to such terms in the Credit Agreement and the Security Agreement.</w:t>
      </w:r>
    </w:p>
    <w:p>
      <w:pPr>
        <w:spacing w:after="0" w:line="181"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Grantors have entered into the Security Agreement in order to induce the Lender to make the Loan and otherwise extend credit on behalf of the Borrower. Section 21 of the Security Agreement provides that additional Subsidiaries of the Borrower may become Grantors under the Security Agreement by execution and delivery of an instrument in the form of this Supplement. The undersigned Subsidiary (the "New Grantor") is executing this Supplement in accordance with the requirements of the Credit Agreement to become a Grantor under the Security Agreement in order to induce the Lender to make additional Loans and extensions of credit and as consideration for Loans and extensions of credit previously made.</w:t>
      </w:r>
    </w:p>
    <w:p>
      <w:pPr>
        <w:spacing w:after="0" w:line="15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Accordingly, the Lender and the New Grantor agree as follows: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 In accordance with Section 21 of the Security Agreement, the New Grantor by its signature below becomes a Grantor under the Security Agreement with the same force and effect as if originally named therein as a Grantor, and the New Grantor hereby agrees to all the terms and provisions of the Security Agreement applicable to it as a Grantor thereunder. In furtherance of the foregoing, the New Grantor, as security for the payment and performance in full of the Obligations, does hereby create and grant to the Lender a security interest in and lien on all of the New Grantor's right, title and interest in and to the Collateral (as defined in the Security Agreement) of the New Grantor. Each reference to a "Grantor" in the Security Agreement shall be deemed to include the New Grantor. The Security Agreement is hereby incorporated herein by reference.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2. The New Grantor represents and warrants to the Lender that (a) this Supplement has been duly authorized, executed and delivered by it and constitutes its legal, valid and binding obligation, enforceable against it in accordance with its terms, (b) set forth on the Schedule attached hereto is a true and complete schedule of all of the information that would have been required to have been delivered by or on behalf of the New Grantor pursuant to the Security Agreement and the Schedules thereto if the New Grantor had been originally named in the Security Agreement and (c) the representations and warranties made by it as a Grantor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2" w:name="page183"/>
    <w:bookmarkEnd w:id="182"/>
    <w:p>
      <w:pPr>
        <w:ind w:left="80"/>
        <w:spacing w:after="0"/>
        <w:rPr>
          <w:sz w:val="20"/>
          <w:szCs w:val="20"/>
          <w:color w:val="auto"/>
        </w:rPr>
      </w:pPr>
      <w:r>
        <w:rPr>
          <w:rFonts w:ascii="Arial" w:cs="Arial" w:eastAsia="Arial" w:hAnsi="Arial"/>
          <w:sz w:val="16"/>
          <w:szCs w:val="16"/>
          <w:color w:val="auto"/>
        </w:rPr>
        <w:t>the Security Agreement are true and correct on and as of the date hereof based upon the applicable information referred to in clause (b) of this Section.</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3. This Supplement may be executed in counterparts, each of which shall constitute an original, but all of which, when taken together, shall constitute but one contract. This Supplement shall become effective when the Lender shall have received counterparts of this Supplement that, when taken together, bear the signatures of the New Grantor and the Lender. Delivery of an executed counterpart of this Supplement by facsimile transmission shall be as effective as delivery of a manually executed counterpart of this Supplement.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Except as expressly supplemented hereby, the Security Agreement shall remain in full force and effect.</w:t>
      </w:r>
    </w:p>
    <w:p>
      <w:pPr>
        <w:spacing w:after="0" w:line="225" w:lineRule="exact"/>
        <w:rPr>
          <w:sz w:val="20"/>
          <w:szCs w:val="20"/>
          <w:color w:val="auto"/>
        </w:rPr>
      </w:pPr>
    </w:p>
    <w:p>
      <w:pPr>
        <w:ind w:left="80" w:firstLine="583"/>
        <w:spacing w:after="0" w:line="277" w:lineRule="auto"/>
        <w:rPr>
          <w:sz w:val="20"/>
          <w:szCs w:val="20"/>
          <w:color w:val="auto"/>
        </w:rPr>
      </w:pPr>
      <w:r>
        <w:rPr>
          <w:rFonts w:ascii="Arial" w:cs="Arial" w:eastAsia="Arial" w:hAnsi="Arial"/>
          <w:sz w:val="18"/>
          <w:szCs w:val="18"/>
          <w:color w:val="auto"/>
        </w:rPr>
        <w:t>Section 5. THIS SUPPLEMENT SHALL BE GOVERNED BY, AND CONSTRUED IN ACCORDANCE WITH, THE LAWS OF THE STATE OF NEW YORK.</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6.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hereof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7. All communications and notices hereunder shall be in writing and given as provided in Section 13 of the Security Agreement. All communications and notices hereunder to the New Grantor shall be given to it at the address set forth in the Schedule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8. The New Grantor agrees to reimburse the Lender for their reasonable out- of-pocket expenses in connection with this Supplement, including the reasonable fees, disbursements and other charges of counsel for the Lender.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3" w:name="page184"/>
    <w:bookmarkEnd w:id="183"/>
    <w:p>
      <w:pPr>
        <w:ind w:left="80" w:right="20" w:firstLine="648"/>
        <w:spacing w:after="0" w:line="277" w:lineRule="auto"/>
        <w:rPr>
          <w:sz w:val="20"/>
          <w:szCs w:val="20"/>
          <w:color w:val="auto"/>
        </w:rPr>
      </w:pPr>
      <w:r>
        <w:rPr>
          <w:rFonts w:ascii="Arial" w:cs="Arial" w:eastAsia="Arial" w:hAnsi="Arial"/>
          <w:sz w:val="18"/>
          <w:szCs w:val="18"/>
          <w:color w:val="auto"/>
        </w:rPr>
        <w:t>IN WITNESS WHEREOF, the New Grantor and the Lender have duly executed this Supplement to the Security Agreement as of the day and year first above written.</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XPRESSPA HOUSTON HOBBY, LLC</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Marisol Binn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Marisol Binn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ROCKMORE INVESTMENT MASTER FUND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Bernstein</w:t>
            </w:r>
          </w:p>
        </w:tc>
        <w:tc>
          <w:tcPr>
            <w:tcW w:w="6260" w:type="dxa"/>
            <w:vAlign w:val="bottom"/>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Bruce Bernstein</w:t>
            </w:r>
          </w:p>
        </w:tc>
        <w:tc>
          <w:tcPr>
            <w:tcW w:w="62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President</w:t>
            </w:r>
          </w:p>
        </w:tc>
        <w:tc>
          <w:tcPr>
            <w:tcW w:w="626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 TO SECURITY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SUPPLEMENT NO. 2 dated as of December 20, 2017, to the SECURITY AGREEMENT, dated as of April 22, 2015 (as amended, restated, supplemented or otherwise modified from time to time, the "Security Agreement"), between XPRESSPA HOLDINGS, LLC, a Delaware limited liability company (the "Borrower"), each of the Affiliates and Subsidiaries of the Borrower from time to time party thereto (each such Affiliate and Subsidiary, individually, a "Guarantor" and, collectively, the "Guarantors"; the Guarantors and the Borrower are referred to herein individually as a "Grantor" and collectively as the "Grantors") and ROCKMORE INVESTMENT MASTER FUND LTD. (the "Lender").</w:t>
      </w:r>
    </w:p>
    <w:p>
      <w:pPr>
        <w:spacing w:after="0" w:line="188" w:lineRule="exact"/>
        <w:rPr>
          <w:sz w:val="20"/>
          <w:szCs w:val="20"/>
          <w:color w:val="auto"/>
        </w:rPr>
      </w:pPr>
    </w:p>
    <w:p>
      <w:pPr>
        <w:jc w:val="both"/>
        <w:ind w:left="660" w:hanging="652"/>
        <w:spacing w:after="0" w:line="264"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Reference is made to the Credit Agreement, dated as of April 22, 2015 (as amended, restated, supplemented or otherwise modified from time to time, the "Credit Agreement"), by and among the Borrower and the Lender. Capitalized terms used herein and not defined herein shall have the meanings assigned to such terms in the Credit Agreement and the Security Agreement.</w:t>
      </w:r>
    </w:p>
    <w:p>
      <w:pPr>
        <w:spacing w:after="0" w:line="181"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Grantors have entered into the Security Agreement in order to induce the Lender to make the Loan and otherwise extend credit on behalf of the Borrower. Section 21 of the Security Agreement provides that additional Subsidiaries of the Borrower may become Grantors under the Security Agreement by execution and delivery of an instrument in the form of this Supplement. The undersigned Subsidiaries (each a "New Grantor" and collectively, the "New Grantors") are executing this Supplement in accordance with the requirements of the Credit Agreement to become a Grantor under the Security Agreement in order to induce the Lender to make additional Loans and extensions of credit and as consideration for Loans and extensions of credit previously made.</w:t>
      </w:r>
    </w:p>
    <w:p>
      <w:pPr>
        <w:spacing w:after="0" w:line="19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Accordingly, the Lender and the New Grantors agree as follows: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 In accordance with Section 21 of the Security Agreement, each New Grantor by its signature below becomes a Grantor under the Security Agreement with the same force and effect as if originally named therein as a Grantor, and the New Grantors each hereby agrees to all the terms and provisions of the Security Agreement applicable to it as a Grantor thereunder. In furtherance of the foregoing, the New Grantors, as security for the payment and performance in full of the Obligations, do hereby create and grant to the Lender a security interest in and lien on all of such New Grantor's right, title and interest in and to the Collateral (as defined in the Security Agreement) of such New Grantor. Each reference to a "Grantor" in the Security Agreement shall be deemed to include the New Grantors. The Security Agreement is hereby incorporated herein by reference.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2. Each New Grantor represents and warrants to the Lender that (a) this Supplement has been duly authorized, executed and delivered by it and constitutes its legal, valid and binding obligation, enforceable against it in accordance with its terms, (b) set forth on the Schedule attached hereto is a true and complete schedule of all of the information that would have been required to have been delivered by or on behalf of such New Grantor pursuant to the Security Agreement and the Schedules thereto if the New Grantors had been originally named in the Security Agreement and (c) the representations and warranties made by it as a Grantor under the Security Agreement are true and correct on and as of the date hereof based upon the applicable information referred to in clause (b)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5" w:name="page186"/>
    <w:bookmarkEnd w:id="185"/>
    <w:p>
      <w:pPr>
        <w:jc w:val="both"/>
        <w:ind w:firstLine="648"/>
        <w:spacing w:after="0" w:line="259" w:lineRule="auto"/>
        <w:rPr>
          <w:sz w:val="20"/>
          <w:szCs w:val="20"/>
          <w:color w:val="auto"/>
        </w:rPr>
      </w:pPr>
      <w:r>
        <w:rPr>
          <w:rFonts w:ascii="Arial" w:cs="Arial" w:eastAsia="Arial" w:hAnsi="Arial"/>
          <w:sz w:val="18"/>
          <w:szCs w:val="18"/>
          <w:color w:val="1B1B1B"/>
        </w:rPr>
        <w:t>Section 3. This Supplement may be executed in counterparts, each of which shall constitute an original, but all of which, when taken together, shall constitute but one contract. This Supplement shall become effective when the Lender shall have received counterparts of this Supplement that, when taken together, bear the signatures of the New Grantors and the Lender. Delivery of an executed counterpart of this Supplement by facsimile transmission shall be as effective as delivery of a manually executed counterpart of this Supplement.</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1B1B1B"/>
        </w:rPr>
        <w:t>Section 4.</w:t>
      </w:r>
      <w:r>
        <w:rPr>
          <w:sz w:val="20"/>
          <w:szCs w:val="20"/>
          <w:color w:val="auto"/>
        </w:rPr>
        <w:tab/>
      </w:r>
      <w:r>
        <w:rPr>
          <w:rFonts w:ascii="Arial" w:cs="Arial" w:eastAsia="Arial" w:hAnsi="Arial"/>
          <w:sz w:val="16"/>
          <w:szCs w:val="16"/>
          <w:color w:val="1B1B1B"/>
        </w:rPr>
        <w:t>Except as expressly supplemented hereby, the Security Agreement shall remain in full force and effect.</w:t>
      </w:r>
    </w:p>
    <w:p>
      <w:pPr>
        <w:spacing w:after="0" w:line="22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color w:val="1B1B1B"/>
        </w:rPr>
        <w:t>Section 5.</w:t>
      </w:r>
      <w:r>
        <w:rPr>
          <w:sz w:val="20"/>
          <w:szCs w:val="20"/>
          <w:color w:val="auto"/>
        </w:rPr>
        <w:tab/>
      </w:r>
      <w:r>
        <w:rPr>
          <w:rFonts w:ascii="Arial" w:cs="Arial" w:eastAsia="Arial" w:hAnsi="Arial"/>
          <w:sz w:val="18"/>
          <w:szCs w:val="18"/>
          <w:b w:val="1"/>
          <w:bCs w:val="1"/>
          <w:color w:val="1B1B1B"/>
        </w:rPr>
        <w:t>THIS SUPPLEMENT SHALL BE GOVERNED BY, AND CONSTRUED IN ACCORDANCE WITH, THE LAWS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B1B1B"/>
        </w:rPr>
        <w:t>STATE OF NEW YORK.</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1B1B1B"/>
        </w:rPr>
        <w:t>Section 6.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hereof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1B1B1B"/>
        </w:rPr>
        <w:t>Section 7. All communications and notices hereunder shall be in writing and given as provided in Section 13 of the Security Agreement. All communications and notices hereunder to the New Grantors shall be given to it at the address set forth in the Schedule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1B1B1B"/>
        </w:rPr>
        <w:t>Section 8. Each New Grantor agrees to reimburse the Lender for their reasonable out-of-pocket expenses in connection with this Supplement, including the reasonable fees, disbursements and other charges of counsel for the Lender.</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1B1B1B"/>
        </w:rPr>
        <w:t>Section 9. The Grantors desire to amend Schedule 6 of the Security Agreement to add certain newly filed Trademarks. Attached hereto as Schedule 6, III. A. is a true and correct list of Intellectual Property owned by or on behalf of each of the Grantors, in each case identifying the Trademarks in sufficient detail and setting forth with respect to each such Trademark, the registration number, the date of registration, the jurisdiction of registration and the date of expiration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6" w:name="page187"/>
    <w:bookmarkEnd w:id="186"/>
    <w:p>
      <w:pPr>
        <w:ind w:firstLine="648"/>
        <w:spacing w:after="0" w:line="277" w:lineRule="auto"/>
        <w:rPr>
          <w:sz w:val="20"/>
          <w:szCs w:val="20"/>
          <w:color w:val="auto"/>
        </w:rPr>
      </w:pPr>
      <w:r>
        <w:rPr>
          <w:rFonts w:ascii="Arial" w:cs="Arial" w:eastAsia="Arial" w:hAnsi="Arial"/>
          <w:sz w:val="18"/>
          <w:szCs w:val="18"/>
          <w:color w:val="auto"/>
        </w:rPr>
        <w:t>IN WITNESS WHEREOF, the New Grantors and the Lender have duly executed this Supplement to the Security Agreement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AUSTIN AIRPORT,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DOWNTOWN NYC,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FRANCHISING USA,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ROCKMORE INVESTMENT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May 15, 2018, between XpresSpa Group, Inc., a Delaware corporation and includes any successor Company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permitted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Purchasers desire to enter into this Agreement, pursuant to which the Purchasers are to be granted the right to acquire securities of the Company as set forth herein and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Section 4(a)(2)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Rule 506 promulgated thereunder, the Company desires to issue and sell to each Purchaser, and each Purchaser, severally and not jointly, desires to purchase from the Company, securities of the Company as more fully described in this Agreement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In addition to the terms defined elsewhere in this Agreement: (a) capitalized terms that are not otherwise defined herein have the meanings given to such terms in the Notes (as defined herein), and (b) the following terms have the meanings set forth in this Section 1.1:</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w:t>
      </w:r>
      <w:r>
        <w:rPr>
          <w:rFonts w:ascii="Arial" w:cs="Arial" w:eastAsia="Arial" w:hAnsi="Arial"/>
          <w:sz w:val="18"/>
          <w:szCs w:val="18"/>
          <w:color w:val="auto"/>
        </w:rPr>
        <w:t>” shall have the meaning ascribed to such term in Section 3.2(c).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 means that certain Third Amendment to Credit Agreement, dated as of May 11, 2018 between the Company and B3D, LLC.</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 rule or regulation of any governmental authority or jurisdiction applicable to any party to this Agreement, as the case may be.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Share Failure</w:t>
      </w:r>
      <w:r>
        <w:rPr>
          <w:rFonts w:ascii="Arial" w:cs="Arial" w:eastAsia="Arial" w:hAnsi="Arial"/>
          <w:sz w:val="18"/>
          <w:szCs w:val="18"/>
          <w:color w:val="auto"/>
        </w:rPr>
        <w:t>” shall have the meaning ascribed to such term in Section 4.11(a).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required by law or other governmental action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8" w:name="page189"/>
    <w:bookmarkEnd w:id="18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shall have the meaning ascribed to such term in Section 4.1(h).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Business Day on which all of the Transaction Documents have been executed and delivered by the applicable parties thereto, and all conditions precedent to (i) the Purchasers’ obligation to pay the Subscription Amount at such Closing, and (ii) the Company’s obligations to deliver the Securities to be issued and sold at such Closing, in each case, have been satisfied or waived, but in no event later than the tenth Business Day following the date hereof.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9" w:lineRule="exact"/>
        <w:rPr>
          <w:sz w:val="20"/>
          <w:szCs w:val="20"/>
          <w:color w:val="auto"/>
        </w:rPr>
      </w:pPr>
    </w:p>
    <w:p>
      <w:pPr>
        <w:jc w:val="both"/>
        <w:ind w:right="20" w:firstLine="648"/>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Chrysler Center, 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NY 10017, Attn: Kenneth R. Koch, Esq., email: krkoch@mintz.com.</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ascribed to such term in the Notes.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Disqualification Event</w:t>
      </w:r>
      <w:r>
        <w:rPr>
          <w:rFonts w:ascii="Arial" w:cs="Arial" w:eastAsia="Arial" w:hAnsi="Arial"/>
          <w:sz w:val="18"/>
          <w:szCs w:val="18"/>
          <w:color w:val="auto"/>
        </w:rPr>
        <w:t>” shall have the meaning ascribed to such term in Section 3.1(oo).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earliest of the date that (a) a Registration Statement has been declared effective by the Commission with respect to all of the Underlying Shares (as defined herein) without regard to any cutbacks permitted therein and has been continuously effective for not less than sixty (60) calendar days, (b) (i) all of the Underlying Shares have been sold pursuant to Rule 144, or (ii) may be sold by the holders thereof pursuant to Rule 144 without the requirement for the Company to be in compliance with the current public information required under Rule 144 and without volume or manner-of-sale restrictions, or (c) Company counsel has delivered to the Transfer Agent and Purchasers a written unqualified opinion that resales may then be made by such holders of the Underlying Shares pursuant to an effective Registration Statement or the exemption described in (b)(ii) above, which opinion shall be in form and substance reasonably acceptable to such Purchasers.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G&amp;M.</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89" w:name="page190"/>
    <w:bookmarkEnd w:id="18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the escrow agreement to be employed in connection with the sale of the Securities, a copy of which is annexed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Line of Credit</w:t>
      </w:r>
      <w:r>
        <w:rPr>
          <w:rFonts w:ascii="Arial" w:cs="Arial" w:eastAsia="Arial" w:hAnsi="Arial"/>
          <w:sz w:val="18"/>
          <w:szCs w:val="18"/>
          <w:color w:val="auto"/>
        </w:rPr>
        <w:t>” shall have the meaning ascribed to such term in Section 4.13.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xml:space="preserve">” means the issuance of (a) shares of Common Stock and options to officers, directors, employees or consultants of the Company after the Closing Date pursuant to plans approved by the shareholders of the Company and which issuances are approved by a majority of the independent members of a committee of the board of directors, (b)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issue price, exercise price, exchange price or conversion price of such securities and which securities and the principal terms thereof are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and described in the SEC Reports,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(d) up to 500,000 shares of Common Stock, (e) securities as payment for investment banking services provided to the Company, (f) securities issued to third party vendors as payment for goods or services, (g) securities issued to the Company’s Airport Concession Disadvantaged Business Enterprise partners, and (h) securities issued or issuable to the Purchasers and their assigns pursuant to this Agreement, the Notes or the Warrants and other Transaction Documents, including without limitation, Section 4.17 and Section 4.23 herein, or upon exercise, conversion or exchange of any such securities.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have the meaning ascribed to such term in the Warrants.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8-K</w:t>
      </w:r>
      <w:r>
        <w:rPr>
          <w:rFonts w:ascii="Arial" w:cs="Arial" w:eastAsia="Arial" w:hAnsi="Arial"/>
          <w:sz w:val="18"/>
          <w:szCs w:val="18"/>
          <w:color w:val="auto"/>
        </w:rPr>
        <w:t>” shall have the meaning ascribed to such term in Section 4.6.</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G&amp;M</w:t>
      </w:r>
      <w:r>
        <w:rPr>
          <w:rFonts w:ascii="Arial" w:cs="Arial" w:eastAsia="Arial" w:hAnsi="Arial"/>
          <w:sz w:val="17"/>
          <w:szCs w:val="17"/>
          <w:color w:val="auto"/>
        </w:rPr>
        <w:t>” shall mean Grushko &amp; Mittman, P.C., with offices located at 515 Rockaway Avenue, Valley Stream, New York 11581, email: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ed@grushkomittman.com.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3.1(z).</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3.1(o).</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90" w:name="page191"/>
    <w:bookmarkEnd w:id="19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xml:space="preserve">” means the form of Accredited Investor Questionnaire annexed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Covered Person</w:t>
      </w:r>
      <w:r>
        <w:rPr>
          <w:rFonts w:ascii="Arial" w:cs="Arial" w:eastAsia="Arial" w:hAnsi="Arial"/>
          <w:sz w:val="18"/>
          <w:szCs w:val="18"/>
          <w:color w:val="auto"/>
        </w:rPr>
        <w:t>” shall have the meaning ascribed to such term in Section 3.1(oo).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Listing Default</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shall have the meaning ascribed to such term in Section 5.5.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shall have the meaning ascribed to such term in Section 5.17.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shall have the meaning ascribed to such term in Section 3.1(gg).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the secured convertible notes issuable pursuant to this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have the meaning ascribed to such term in Section 3.1(ii).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Maximum</w:t>
      </w:r>
      <w:r>
        <w:rPr>
          <w:rFonts w:ascii="Arial" w:cs="Arial" w:eastAsia="Arial" w:hAnsi="Arial"/>
          <w:sz w:val="18"/>
          <w:szCs w:val="18"/>
          <w:color w:val="auto"/>
        </w:rPr>
        <w:t>” shall have the meaning ascribed to such term in Section 4.17(a).</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Indebtedness</w:t>
      </w:r>
      <w:r>
        <w:rPr>
          <w:rFonts w:ascii="Arial" w:cs="Arial" w:eastAsia="Arial" w:hAnsi="Arial"/>
          <w:sz w:val="17"/>
          <w:szCs w:val="17"/>
          <w:color w:val="auto"/>
        </w:rPr>
        <w:t>” means (a) any unsecured liabilities for borrowed money or amounts owed not in excess of $1,000,000 in the aggregate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the Rockmore Indebtedness;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and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Company or any other Subsidiary of the Company.</w:t>
      </w:r>
    </w:p>
    <w:p>
      <w:pPr>
        <w:spacing w:after="0" w:line="39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191" w:name="page192"/>
    <w:bookmarkEnd w:id="191"/>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Liens, and (c) Liens in connection with Permitted Indebtedness under clause (b) and clause (e) thereunder, (d) Liens incurred in connection with Permitted Indebtedness under clause (c) thereunder provided that such Liens are not secured by assets of the Company or its Subsidiaries other than the assets so acquired or leased, (e) Liens incurred in connection with Permitted Indebtedness under clause (f) of the definition of “Permitted Indebtedness,” provided that such Liens are not secured by assets of the Company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remodelling, (g)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 (g) of the definition of “Permitted Indebtedness,” provided that such Liens are not secured by assets of the Company or its Subsidiaries other than the assets of the Subsidiary which owns such location and only in the assets of such location.</w:t>
      </w:r>
    </w:p>
    <w:p>
      <w:pPr>
        <w:spacing w:after="0" w:line="3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Pre-Notice</w:t>
      </w:r>
      <w:r>
        <w:rPr>
          <w:rFonts w:ascii="Arial" w:cs="Arial" w:eastAsia="Arial" w:hAnsi="Arial"/>
          <w:sz w:val="18"/>
          <w:szCs w:val="18"/>
          <w:color w:val="auto"/>
        </w:rPr>
        <w:t>” shall have the meaning ascribed to such term in Section 4.17(b).</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92" w:name="page193"/>
    <w:bookmarkEnd w:id="19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Portion</w:t>
      </w:r>
      <w:r>
        <w:rPr>
          <w:rFonts w:ascii="Arial" w:cs="Arial" w:eastAsia="Arial" w:hAnsi="Arial"/>
          <w:sz w:val="18"/>
          <w:szCs w:val="18"/>
          <w:color w:val="auto"/>
        </w:rPr>
        <w:t>” shall have the meaning ascribed to such term in Section 4.17(e).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w:t>
      </w:r>
      <w:r>
        <w:rPr>
          <w:rFonts w:ascii="Arial" w:cs="Arial" w:eastAsia="Arial" w:hAnsi="Arial"/>
          <w:sz w:val="18"/>
          <w:szCs w:val="18"/>
          <w:color w:val="auto"/>
        </w:rPr>
        <w:t>” shall have the meaning ascribed to such term in Section 4.3(b).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 Payments</w:t>
      </w:r>
      <w:r>
        <w:rPr>
          <w:rFonts w:ascii="Arial" w:cs="Arial" w:eastAsia="Arial" w:hAnsi="Arial"/>
          <w:sz w:val="18"/>
          <w:szCs w:val="18"/>
          <w:color w:val="auto"/>
        </w:rPr>
        <w:t>” shall have the meaning ascribed to such term in Section 4.3(b).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4.10.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the date hereof, among the Company and the Purchasers,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of the Underlying Shares by each Purchaser as provided for in the Registration Rights Agreement.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Minimum</w:t>
      </w:r>
      <w:r>
        <w:rPr>
          <w:rFonts w:ascii="Arial" w:cs="Arial" w:eastAsia="Arial" w:hAnsi="Arial"/>
          <w:sz w:val="18"/>
          <w:szCs w:val="18"/>
          <w:color w:val="auto"/>
        </w:rPr>
        <w:t>” means, as of any date, 125% of the maximum aggregate number of shares of Common Stock then issued or potentially issuable in the future pursuant to the Transaction Documents, including any Underlying Shares issuable upon exercise in full of all Warrants or conversion in full of all Notes, ignoring any conversion or exercise limits set forth therein, and assuming that any previously unconverted Notes will be held until the third anniversary of the issue date of such Notes, but in each case without giving any effect to any potential triggering of anti-dilution provisions.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Rockmore Indebtedness</w:t>
      </w:r>
      <w:r>
        <w:rPr>
          <w:rFonts w:ascii="Arial" w:cs="Arial" w:eastAsia="Arial" w:hAnsi="Arial"/>
          <w:sz w:val="18"/>
          <w:szCs w:val="18"/>
          <w:color w:val="auto"/>
        </w:rPr>
        <w:t>” means all Indebtedness outstanding pursuant to that certain Credit Agreement dated as of April 22, 2015, as subsequently amended, by and between XpresSpa Holdings, LLC and Rockmore Investment Master Fund Ltd.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Notes, the Warrants and the Underlying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Security Agreement to be entered into in connection with the sale of the Securities, a copy of which is annexed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38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93" w:name="page194"/>
    <w:bookmarkEnd w:id="19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shall have the meaning ascribed to such term in Section 4.27.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“short sales” as defined in Rule 200 of Regulation SHO under the Exchange Act and all types of direct and indirect stock pledges, forward sale contracts, options, puts, calls, swaps and similar arrangements (including on a total return basis) whether such transactions are made through U.S. or non-U.S. broker dealers or foreign regulated brokers.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Plans</w:t>
      </w:r>
      <w:r>
        <w:rPr>
          <w:rFonts w:ascii="Arial" w:cs="Arial" w:eastAsia="Arial" w:hAnsi="Arial"/>
          <w:sz w:val="18"/>
          <w:szCs w:val="18"/>
          <w:color w:val="auto"/>
        </w:rPr>
        <w:t>” means the Stock Option Plans of the Company in effect as the date of this Agreement, the principal terms of which have been disclosed in the SEC Reports.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the Notes and Warrants purchased hereunder at the Closing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Financing</w:t>
      </w:r>
      <w:r>
        <w:rPr>
          <w:rFonts w:ascii="Arial" w:cs="Arial" w:eastAsia="Arial" w:hAnsi="Arial"/>
          <w:sz w:val="18"/>
          <w:szCs w:val="18"/>
          <w:color w:val="auto"/>
        </w:rPr>
        <w:t>” shall have the meaning ascribed to such term in Section 4.17(a).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Financing Notice</w:t>
      </w:r>
      <w:r>
        <w:rPr>
          <w:rFonts w:ascii="Arial" w:cs="Arial" w:eastAsia="Arial" w:hAnsi="Arial"/>
          <w:sz w:val="18"/>
          <w:szCs w:val="18"/>
          <w:color w:val="auto"/>
        </w:rPr>
        <w:t>” shall have the meaning ascribed to such term in Section 4.17(b).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entity at any date, any direct or indirect Person,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have the meaning ascribed to such term in Section 2.1.</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principal Trading Market is open for trading for at least 4.5 hours; provided, that in the event that the Common Stock is not listed or quoted for trading on a Trading Market on the date in question, then Trading Day shall mean a Business Day.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first listed of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 As of the Closing Date, the NASDAQ Capital Market is the Trading Market.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Security Agreement, the Notes, the Warrants, the Registration Rights Agreement, the Escrow Agreement, the Disclosure Schedules, all exhibits and schedules thereto and hereto and any other documents or agreements executed by any party hereto in connection with the transactions contemplated hereunder.</w:t>
      </w:r>
    </w:p>
    <w:p>
      <w:pPr>
        <w:spacing w:after="0" w:line="39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194" w:name="page195"/>
    <w:bookmarkEnd w:id="194"/>
    <w:p>
      <w:pPr>
        <w:jc w:val="both"/>
        <w:ind w:left="660" w:firstLine="648"/>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Brooklyn, NY 11219 and any successor transfer agent of the Company.</w:t>
      </w:r>
    </w:p>
    <w:p>
      <w:pPr>
        <w:spacing w:after="0" w:line="202"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Underlying Shares</w:t>
      </w:r>
      <w:r>
        <w:rPr>
          <w:rFonts w:ascii="Arial" w:cs="Arial" w:eastAsia="Arial" w:hAnsi="Arial"/>
          <w:sz w:val="17"/>
          <w:szCs w:val="17"/>
          <w:color w:val="auto"/>
        </w:rPr>
        <w:t>” means (a) the shares of Common Stock issued and issuable (i) upon conversion of the Notes, (ii) upon exercise of the Warrants, (iii) in lieu of the cash payment of interest on the Notes in accordance with the terms of the Notes and (b) any other shares of Common Stock issued or issuable to a Purchaser in connection with or pursuant to the Securities or Transaction Documents.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Unlegended Shares</w:t>
      </w:r>
      <w:r>
        <w:rPr>
          <w:rFonts w:ascii="Arial" w:cs="Arial" w:eastAsia="Arial" w:hAnsi="Arial"/>
          <w:sz w:val="18"/>
          <w:szCs w:val="18"/>
          <w:color w:val="auto"/>
        </w:rPr>
        <w:t>” shall have the meaning ascribed to such term in Section 4.1(d).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Priced Equity Linked Instruments</w:t>
      </w:r>
      <w:r>
        <w:rPr>
          <w:rFonts w:ascii="Arial" w:cs="Arial" w:eastAsia="Arial" w:hAnsi="Arial"/>
          <w:sz w:val="18"/>
          <w:szCs w:val="18"/>
          <w:color w:val="auto"/>
        </w:rPr>
        <w:t>” shall have the meaning ascribed to such term in Section 4.13.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4.13.</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a Trading Market but is then reported on the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a Majority in Interest and reasonably acceptable to the Company, the fees and expenses of which shall be paid by the Company.</w:t>
      </w:r>
    </w:p>
    <w:p>
      <w:pPr>
        <w:spacing w:after="0" w:line="19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means the Class A and Class B Common Stock purchase warrants delivered to the Purchasers at the Closing in accordance with Section 2.2(a) hereof in the forms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 provided that any share of Common Stock issued upon exercise of the Warrants shall not constitute an issued Warrant Share for purposes of this Agreement after such share has been irrevocably sold pursuant to an effective registration statement under the Securities Act or pursuant to Rule 144 without further restrictions or conditions to transfer pursuant to Rule 144.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an aggregate of up to $4,650,000 principal amount of Notes together with Warrants as determined pursuant to Section 2.2(a) (such purchase and sale being the “</w:t>
      </w:r>
      <w:r>
        <w:rPr>
          <w:rFonts w:ascii="Arial" w:cs="Arial" w:eastAsia="Arial" w:hAnsi="Arial"/>
          <w:sz w:val="16"/>
          <w:szCs w:val="16"/>
          <w:u w:val="single" w:color="auto"/>
          <w:color w:val="auto"/>
        </w:rPr>
        <w:t>Closing</w:t>
      </w:r>
      <w:r>
        <w:rPr>
          <w:rFonts w:ascii="Arial" w:cs="Arial" w:eastAsia="Arial" w:hAnsi="Arial"/>
          <w:sz w:val="16"/>
          <w:szCs w:val="16"/>
          <w:color w:val="auto"/>
        </w:rPr>
        <w:t>”). Each Purchaser shall deliver to the Escrow Agent such Purchaser’s Subscription Amount, and the Company shall deliver to each Purchaser its respective Note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G&amp;M or such other location as the parties shall mutually agree. Notwithstanding anything herein to the contrary, the Closing Date shall occur on or before May 31, 2018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With respect to any Closing not held on or before the Termination Date, the Escrow Agent shall cause (i) all subscription documents executed by the Company or a Purchaser to be returned to the Company or such Purchaser, as applicable, and (ii) each Subscription Amount to be returned, without interest or deduction to the Purchaser who delivered such Subscription Amount.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4" w:right="239" w:bottom="1440" w:gutter="0" w:footer="0" w:header="0"/>
        </w:sectPr>
      </w:pPr>
    </w:p>
    <w:bookmarkStart w:id="195" w:name="page196"/>
    <w:bookmarkEnd w:id="195"/>
    <w:p>
      <w:pPr>
        <w:ind w:right="20" w:firstLine="324"/>
        <w:spacing w:after="0" w:line="282" w:lineRule="auto"/>
        <w:rPr>
          <w:sz w:val="20"/>
          <w:szCs w:val="20"/>
          <w:color w:val="auto"/>
        </w:rPr>
      </w:pPr>
      <w:r>
        <w:rPr>
          <w:rFonts w:ascii="Arial" w:cs="Arial" w:eastAsia="Arial" w:hAnsi="Arial"/>
          <w:sz w:val="18"/>
          <w:szCs w:val="18"/>
          <w:b w:val="1"/>
          <w:bCs w:val="1"/>
          <w:color w:val="auto"/>
        </w:rPr>
        <w:t>NO MINIMUM AMOUNT OF NOTES MUST BE SOLD IN ORDER FOR THE COMPANY TO ACCEPT ANY SUBSCRIPTIONS, AND ALL NET PROCEEDS OF THE OFFERING WILL BE IMMEDIATELY AVAILABLE FOR COMPANY PURPOSES UPON CLOSING.</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 Note with a principal amount equal to such Purchaser’s Subscription Amount, registered in the name of such Purchaser;</w:t>
      </w:r>
    </w:p>
    <w:p>
      <w:pPr>
        <w:spacing w:after="0" w:line="248" w:lineRule="exact"/>
        <w:rPr>
          <w:rFonts w:ascii="Arial" w:cs="Arial" w:eastAsia="Arial" w:hAnsi="Arial"/>
          <w:sz w:val="16"/>
          <w:szCs w:val="16"/>
          <w:color w:val="auto"/>
        </w:rPr>
      </w:pPr>
    </w:p>
    <w:p>
      <w:pPr>
        <w:jc w:val="both"/>
        <w:ind w:left="1300" w:firstLine="653"/>
        <w:spacing w:after="0" w:line="264" w:lineRule="auto"/>
        <w:tabs>
          <w:tab w:leader="none" w:pos="260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Class A Warrants registered in the name of such Purchaser to purchase up to a number of shares of Common Stock equal to 100% of such Purchaser’s Subscription Amount divided by the Conversion Price in effect on the Closing Date, having a per share Exercise Price as set forth therein, subject to adjustment as provided herein and therein;</w:t>
      </w:r>
    </w:p>
    <w:p>
      <w:pPr>
        <w:spacing w:after="0" w:line="181" w:lineRule="exact"/>
        <w:rPr>
          <w:rFonts w:ascii="Arial" w:cs="Arial" w:eastAsia="Arial" w:hAnsi="Arial"/>
          <w:sz w:val="18"/>
          <w:szCs w:val="18"/>
          <w:color w:val="auto"/>
        </w:rPr>
      </w:pPr>
    </w:p>
    <w:p>
      <w:pPr>
        <w:jc w:val="both"/>
        <w:ind w:left="1300" w:firstLine="653"/>
        <w:spacing w:after="0" w:line="264" w:lineRule="auto"/>
        <w:tabs>
          <w:tab w:leader="none" w:pos="260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Class B Warrants registered in the name of such Purchaser to purchase up to a number of shares of Common Stock equal to 50% of such Purchaser’s Subscription Amount divided by the Conversion Price in effect on the Closing Date, having a per share Exercise Price as set forth therein, subject to adjustment as provided herein and therein;</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Security Agreement duly executed by the Company;</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Escrow Agreement duly executed by the Company and Escrow Agent;</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color w:val="auto"/>
        </w:rPr>
      </w:pPr>
    </w:p>
    <w:p>
      <w:pPr>
        <w:ind w:left="2780" w:hanging="827"/>
        <w:spacing w:after="0"/>
        <w:tabs>
          <w:tab w:leader="none" w:pos="278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the Amendment to Credit Agreement in the form annexed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executed by the Company and other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parties thereto;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6" w:name="page197"/>
    <w:bookmarkEnd w:id="196"/>
    <w:p>
      <w:pPr>
        <w:jc w:val="both"/>
        <w:ind w:left="720" w:firstLine="653"/>
        <w:spacing w:after="0" w:line="264" w:lineRule="auto"/>
        <w:tabs>
          <w:tab w:leader="none" w:pos="205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a certificate, executed on behalf of the Company, by its Principal Executive Officer and Chief Executive Officer (each as defined in the Exchange Act), dated as of the Closing Date, in which such officer shall certify that the conditions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have been fulfilled; and</w:t>
      </w:r>
    </w:p>
    <w:p>
      <w:pPr>
        <w:spacing w:after="0" w:line="181" w:lineRule="exact"/>
        <w:rPr>
          <w:rFonts w:ascii="Arial" w:cs="Arial" w:eastAsia="Arial" w:hAnsi="Arial"/>
          <w:sz w:val="18"/>
          <w:szCs w:val="18"/>
          <w:color w:val="auto"/>
        </w:rPr>
      </w:pPr>
    </w:p>
    <w:p>
      <w:pPr>
        <w:jc w:val="both"/>
        <w:ind w:left="720" w:firstLine="653"/>
        <w:spacing w:after="0" w:line="270" w:lineRule="auto"/>
        <w:tabs>
          <w:tab w:leader="none" w:pos="2114"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 certificate, executed on behalf of the Company by its Secretary, containing (i) copies of the text of the resolutions by which the corporate action on the part of the Company necessary to approve this Agreement and the other Transaction Documents and the transactions and actions contemplated hereby and thereby, which shall be accompanied by a certificate of the corporate secretary or assistant corporate secretary of Company dated as of the Closing Date certifying to the Purchasers that such resolutions were duly adopted and have not been amended or rescinded, (ii) an incumbency certificate dated as of the Closing Date executed on behalf of Company by its corporate secretary or one of its assistant corporate secretaries certifying the office of each officer of Company executing this Agreement, or any other agreement, certificate or other instrument executed pursuant hereto, and (iii) copies of (A) the Company’s Certificate of Incorporation and bylaws in effect on the Closing Date, and (B) the certificate evidencing the good standing of Company as of a day within five (5) Business Days prior to the Closing Date</w:t>
      </w:r>
      <w:r>
        <w:rPr>
          <w:rFonts w:ascii="Arial" w:cs="Arial" w:eastAsia="Arial" w:hAnsi="Arial"/>
          <w:sz w:val="17"/>
          <w:szCs w:val="17"/>
          <w:color w:val="231F20"/>
        </w:rPr>
        <w:t>.</w:t>
      </w:r>
    </w:p>
    <w:p>
      <w:pPr>
        <w:spacing w:after="0" w:line="181" w:lineRule="exact"/>
        <w:rPr>
          <w:rFonts w:ascii="Arial" w:cs="Arial" w:eastAsia="Arial" w:hAnsi="Arial"/>
          <w:sz w:val="17"/>
          <w:szCs w:val="17"/>
          <w:color w:val="auto"/>
        </w:rPr>
      </w:pPr>
    </w:p>
    <w:p>
      <w:pPr>
        <w:ind w:left="1380" w:hanging="655"/>
        <w:spacing w:after="0"/>
        <w:tabs>
          <w:tab w:leader="none" w:pos="13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120" w:hanging="747"/>
        <w:spacing w:after="0"/>
        <w:tabs>
          <w:tab w:leader="none" w:pos="21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this Agreement, the Registration Rights Agreement, and the Escrow Agreement each duly executed by or on behalf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Purchaser;</w:t>
      </w:r>
    </w:p>
    <w:p>
      <w:pPr>
        <w:spacing w:after="0" w:line="210" w:lineRule="exact"/>
        <w:rPr>
          <w:rFonts w:ascii="Arial" w:cs="Arial" w:eastAsia="Arial" w:hAnsi="Arial"/>
          <w:sz w:val="16"/>
          <w:szCs w:val="16"/>
          <w:color w:val="auto"/>
        </w:rPr>
      </w:pPr>
    </w:p>
    <w:p>
      <w:pPr>
        <w:jc w:val="both"/>
        <w:ind w:left="720" w:firstLine="653"/>
        <w:spacing w:after="0" w:line="259" w:lineRule="auto"/>
        <w:tabs>
          <w:tab w:leader="none" w:pos="211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Purchaser’s Subscription Amount by wire transfer or as otherwise permitted under the Escrow Agreement, to the Escrow Agent (except that the payment for the due diligence fee note described on Schedule 3.1(s) will be deemed to have been received by the Company upon the occurrence of the first Closing and the Escrow Agent is instructed to deem such amount to have been paid and delivered to the Company;</w:t>
      </w:r>
    </w:p>
    <w:p>
      <w:pPr>
        <w:spacing w:after="0" w:line="186" w:lineRule="exact"/>
        <w:rPr>
          <w:rFonts w:ascii="Arial" w:cs="Arial" w:eastAsia="Arial" w:hAnsi="Arial"/>
          <w:sz w:val="18"/>
          <w:szCs w:val="18"/>
          <w:color w:val="auto"/>
        </w:rPr>
      </w:pPr>
    </w:p>
    <w:p>
      <w:pPr>
        <w:ind w:left="2000" w:hanging="627"/>
        <w:spacing w:after="0"/>
        <w:tabs>
          <w:tab w:leader="none" w:pos="20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Accredited Investor Questionnaire duly executed by each Purchaser;</w:t>
      </w:r>
    </w:p>
    <w:p>
      <w:pPr>
        <w:spacing w:after="0" w:line="225" w:lineRule="exact"/>
        <w:rPr>
          <w:rFonts w:ascii="Arial" w:cs="Arial" w:eastAsia="Arial" w:hAnsi="Arial"/>
          <w:sz w:val="18"/>
          <w:szCs w:val="18"/>
          <w:color w:val="auto"/>
        </w:rPr>
      </w:pPr>
    </w:p>
    <w:p>
      <w:pPr>
        <w:ind w:left="2000" w:hanging="627"/>
        <w:spacing w:after="0"/>
        <w:tabs>
          <w:tab w:leader="none" w:pos="20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Security Agreement duly executed by each Purchaser and the Collateral Agent; and</w:t>
      </w:r>
    </w:p>
    <w:p>
      <w:pPr>
        <w:spacing w:after="0" w:line="225" w:lineRule="exact"/>
        <w:rPr>
          <w:rFonts w:ascii="Arial" w:cs="Arial" w:eastAsia="Arial" w:hAnsi="Arial"/>
          <w:sz w:val="18"/>
          <w:szCs w:val="18"/>
          <w:color w:val="auto"/>
        </w:rPr>
      </w:pPr>
    </w:p>
    <w:p>
      <w:pPr>
        <w:ind w:left="1980" w:hanging="607"/>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Amendment to Credit Agreement.</w:t>
      </w:r>
    </w:p>
    <w:p>
      <w:pPr>
        <w:spacing w:after="0" w:line="225" w:lineRule="exact"/>
        <w:rPr>
          <w:rFonts w:ascii="Arial" w:cs="Arial" w:eastAsia="Arial" w:hAnsi="Arial"/>
          <w:sz w:val="18"/>
          <w:szCs w:val="18"/>
          <w:color w:val="auto"/>
        </w:rPr>
      </w:pPr>
    </w:p>
    <w:p>
      <w:pPr>
        <w:ind w:left="80" w:firstLine="645"/>
        <w:spacing w:after="0" w:line="277" w:lineRule="auto"/>
        <w:tabs>
          <w:tab w:leader="none" w:pos="14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Anything to the contrary herein notwithstanding, any Purchaser may elect to bypass the escrow arrangement described herein and arrange for its Closing directly with the Company without employing the Escrow Agent as an intermediary.</w:t>
      </w:r>
    </w:p>
    <w:p>
      <w:pPr>
        <w:spacing w:after="0" w:line="170"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5060" w:right="1240" w:hanging="4335"/>
        <w:spacing w:after="0" w:line="778" w:lineRule="auto"/>
        <w:tabs>
          <w:tab w:leader="none" w:pos="1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obligations of the Company hereunder to effect the Closing are subject to the following conditions being met: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-293370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820" w:top="800" w:right="239" w:bottom="1440" w:gutter="0" w:footer="0" w:header="0"/>
        </w:sectPr>
      </w:pPr>
    </w:p>
    <w:bookmarkStart w:id="197" w:name="page198"/>
    <w:bookmarkEnd w:id="197"/>
    <w:p>
      <w:pPr>
        <w:jc w:val="both"/>
        <w:ind w:left="100" w:firstLine="653"/>
        <w:spacing w:after="0" w:line="264" w:lineRule="auto"/>
        <w:tabs>
          <w:tab w:leader="none" w:pos="156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accuracy in all material respects (determined without regard to any materiality, Material Adverse Effect or other similar qualifiers therein) on the date of this Agreement and the Closing Date of the representations and warranties of the Purchasers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100" w:right="20" w:firstLine="653"/>
        <w:spacing w:after="0" w:line="277" w:lineRule="auto"/>
        <w:tabs>
          <w:tab w:leader="none" w:pos="140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this Agreement required to be performed at or prior to the Closing Date shall have been performed in all material respects;</w:t>
      </w:r>
    </w:p>
    <w:p>
      <w:pPr>
        <w:spacing w:after="0" w:line="170" w:lineRule="exact"/>
        <w:rPr>
          <w:rFonts w:ascii="Arial" w:cs="Arial" w:eastAsia="Arial" w:hAnsi="Arial"/>
          <w:sz w:val="18"/>
          <w:szCs w:val="18"/>
          <w:color w:val="auto"/>
        </w:rPr>
      </w:pPr>
    </w:p>
    <w:p>
      <w:pPr>
        <w:ind w:left="1380" w:hanging="627"/>
        <w:spacing w:after="0"/>
        <w:tabs>
          <w:tab w:leader="none" w:pos="13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 and</w:t>
      </w:r>
    </w:p>
    <w:p>
      <w:pPr>
        <w:spacing w:after="0" w:line="225" w:lineRule="exact"/>
        <w:rPr>
          <w:rFonts w:ascii="Arial" w:cs="Arial" w:eastAsia="Arial" w:hAnsi="Arial"/>
          <w:sz w:val="18"/>
          <w:szCs w:val="18"/>
          <w:color w:val="auto"/>
        </w:rPr>
      </w:pPr>
    </w:p>
    <w:p>
      <w:pPr>
        <w:ind w:left="100" w:right="20" w:firstLine="653"/>
        <w:spacing w:after="0" w:line="264" w:lineRule="auto"/>
        <w:tabs>
          <w:tab w:leader="none" w:pos="136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Escrow Agent shall have received executed signature pages to this Agreement and the Escrow Agreement from at least one Purchaser showing an agreement to purchase a Note and Warrants hereunder and the Escrow Agent shall have received the corresponding Subscription Amount from such Purchaser, in cash.</w:t>
      </w:r>
    </w:p>
    <w:p>
      <w:pPr>
        <w:spacing w:after="0" w:line="181" w:lineRule="exact"/>
        <w:rPr>
          <w:rFonts w:ascii="Arial" w:cs="Arial" w:eastAsia="Arial" w:hAnsi="Arial"/>
          <w:sz w:val="18"/>
          <w:szCs w:val="18"/>
          <w:color w:val="auto"/>
        </w:rPr>
      </w:pPr>
    </w:p>
    <w:p>
      <w:pPr>
        <w:ind w:left="-540" w:firstLine="645"/>
        <w:spacing w:after="0" w:line="277" w:lineRule="auto"/>
        <w:tabs>
          <w:tab w:leader="none" w:pos="9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respective obligations of a Purchaser hereunder to effect the Closing, unless waived by such Purchaser, are subject to the following conditions being met:</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56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accuracy in all material respects (determined without regard to any materiality, Material Adverse Effect or other similar qualifiers therein) on the date of this Agreement and Closing Date of the representations and warranties of the Company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100" w:firstLine="653"/>
        <w:spacing w:after="0" w:line="277" w:lineRule="auto"/>
        <w:tabs>
          <w:tab w:leader="none" w:pos="162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Required Approvals, obligations, covenants and agreements of the Company under the Transaction Documents required to be performed or obtained at or prior to the Closing Date shall have been performed or obtained;</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39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Escrow Agent shall have received executed signature pages to this Agreement from at least one Purchaser showing an agreement to purchase a Note and Warrants hereunder and the Escrow Agent shall have received the corresponding Subscription Amount from such Purchaser in cash;</w:t>
      </w:r>
    </w:p>
    <w:p>
      <w:pPr>
        <w:spacing w:after="0" w:line="181" w:lineRule="exact"/>
        <w:rPr>
          <w:rFonts w:ascii="Arial" w:cs="Arial" w:eastAsia="Arial" w:hAnsi="Arial"/>
          <w:sz w:val="18"/>
          <w:szCs w:val="18"/>
          <w:color w:val="auto"/>
        </w:rPr>
      </w:pPr>
    </w:p>
    <w:p>
      <w:pPr>
        <w:ind w:left="1380" w:hanging="627"/>
        <w:spacing w:after="0"/>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360" w:hanging="607"/>
        <w:spacing w:after="0"/>
        <w:tabs>
          <w:tab w:leader="none" w:pos="13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00" w:firstLine="653"/>
        <w:spacing w:after="0" w:line="291" w:lineRule="auto"/>
        <w:tabs>
          <w:tab w:leader="none" w:pos="138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38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198" w:name="page199"/>
    <w:bookmarkEnd w:id="198"/>
    <w:p>
      <w:pPr>
        <w:jc w:val="both"/>
        <w:ind w:firstLine="648"/>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Purchaser’s Right To Terminate.</w:t>
      </w:r>
      <w:r>
        <w:rPr>
          <w:rFonts w:ascii="Arial" w:cs="Arial" w:eastAsia="Arial" w:hAnsi="Arial"/>
          <w:sz w:val="18"/>
          <w:szCs w:val="18"/>
          <w:color w:val="auto"/>
        </w:rPr>
        <w:t xml:space="preserve"> Anything in any of the Transaction Documents to the contrary notwithstanding, each Purchaser has the right to demand and receive from the Escrow Agent such Purchaser’s Subscription Amount and other items delivered by such Purchaser to the Escrow Agent in connection therewith, at any time until a Closing takes place in connection with such Subscription Amount. The Company and each Purchaser acknowledges that the Escrow Agent is acting as agent and representative for such Purchaser with respect to such Purchaser’s Subscription Amount and at no time is or will be holding any funds on behalf of or subject to the control of Palladium Capital Advisors LLC, nor on behalf of the Company until a Closing actually occurs. UNDER NO CIRCUMSTANCES WILL SUCH PURCHASER’S SUBSCRIPTION AMOUNT BE DELIVERED TO OR UNDER THE CONTROL OR AUTHORITY OF ANY PLACEMENT AGENT OR BROKER INCLUDING BUT NOT LIMITED TO PALLADIUM CAPITAL ADVISORS LLC.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in the SEC Reports or the Disclosure Schedules, which Disclosure Schedules shall be deemed a part hereof and shall qualify any representation made herein only to the extent of the disclosure contained in the corresponding or cross-referenced section of the Disclosure Schedules, the Company hereby makes the following representations and warranties to each Purchaser:</w:t>
      </w:r>
    </w:p>
    <w:p>
      <w:pPr>
        <w:spacing w:after="0" w:line="147" w:lineRule="exact"/>
        <w:rPr>
          <w:sz w:val="20"/>
          <w:szCs w:val="20"/>
          <w:color w:val="auto"/>
        </w:rPr>
      </w:pPr>
    </w:p>
    <w:p>
      <w:pPr>
        <w:jc w:val="both"/>
        <w:ind w:left="660" w:firstLine="645"/>
        <w:spacing w:after="0" w:line="302" w:lineRule="auto"/>
        <w:tabs>
          <w:tab w:leader="none" w:pos="195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All of the direct and indirect Subsidiaries of the Company and the Company’s ownership interests therein are set forth on </w:t>
      </w:r>
      <w:r>
        <w:rPr>
          <w:rFonts w:ascii="Arial" w:cs="Arial" w:eastAsia="Arial" w:hAnsi="Arial"/>
          <w:sz w:val="16"/>
          <w:szCs w:val="16"/>
          <w:u w:val="single" w:color="auto"/>
          <w:color w:val="auto"/>
        </w:rPr>
        <w:t>Schedule 3.1(a)</w:t>
      </w:r>
      <w:r>
        <w:rPr>
          <w:rFonts w:ascii="Arial" w:cs="Arial" w:eastAsia="Arial" w:hAnsi="Arial"/>
          <w:sz w:val="16"/>
          <w:szCs w:val="16"/>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54" w:lineRule="exact"/>
        <w:rPr>
          <w:rFonts w:ascii="Arial" w:cs="Arial" w:eastAsia="Arial" w:hAnsi="Arial"/>
          <w:sz w:val="16"/>
          <w:szCs w:val="16"/>
          <w:color w:val="auto"/>
        </w:rPr>
      </w:pPr>
    </w:p>
    <w:p>
      <w:pPr>
        <w:jc w:val="both"/>
        <w:ind w:left="660" w:firstLine="645"/>
        <w:spacing w:after="0" w:line="269" w:lineRule="auto"/>
        <w:tabs>
          <w:tab w:leader="none" w:pos="2022"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Subsidiary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each Subsidiary is duly qualified to conduct business and is in good standing as a foreign Person or other entity in each jurisdiction in which the nature of the business conducted or property owned by it makes such qualification necessary, except where the failure to be so qualified or in good standing, as the case may be, would not reasonably be expected to result in: (i) a material adverse effect on the legality, validity or enforceability of any Transaction Document, (ii) a material adverse effect on the results of operations, assets, business, or condition (financial or otherwise) of the Company and each Subsidiary,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9" w:name="page200"/>
    <w:bookmarkEnd w:id="199"/>
    <w:p>
      <w:pPr>
        <w:jc w:val="both"/>
        <w:ind w:left="4" w:firstLine="645"/>
        <w:spacing w:after="0" w:line="269" w:lineRule="auto"/>
        <w:tabs>
          <w:tab w:leader="none" w:pos="1396"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rFonts w:ascii="Arial" w:cs="Arial" w:eastAsia="Arial" w:hAnsi="Arial"/>
          <w:sz w:val="17"/>
          <w:szCs w:val="17"/>
          <w:color w:val="auto"/>
        </w:rPr>
      </w:pPr>
    </w:p>
    <w:p>
      <w:pPr>
        <w:jc w:val="both"/>
        <w:ind w:left="4" w:firstLine="645"/>
        <w:spacing w:after="0" w:line="287" w:lineRule="auto"/>
        <w:tabs>
          <w:tab w:leader="none" w:pos="1366"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adjustment, exchange, reset, exercise or cancellation (with or without notice, lapse of time or both) of, any agreement, credit facility, debt, equity or other instrument (evidencing Company or Subsidiary equity,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68" w:lineRule="exact"/>
        <w:rPr>
          <w:rFonts w:ascii="Arial" w:cs="Arial" w:eastAsia="Arial" w:hAnsi="Arial"/>
          <w:sz w:val="16"/>
          <w:szCs w:val="16"/>
          <w:color w:val="auto"/>
        </w:rPr>
      </w:pPr>
    </w:p>
    <w:p>
      <w:pPr>
        <w:jc w:val="both"/>
        <w:ind w:left="4" w:firstLine="645"/>
        <w:spacing w:after="0" w:line="286" w:lineRule="auto"/>
        <w:tabs>
          <w:tab w:leader="none" w:pos="1369"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provincial or foreign or domestic federal, state, local or other governmental authority or other Person in connection with the execution, delivery and performance by the Company of the Transaction Documents, other than: (i) the filings required pursuant to Section 4.6 of this Agreement, (ii) the filing with the Commission pursuant to the Registration Rights Agreement,</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33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notice and/or application(s) to each applicable Trading Market for the issuance and sale of the Securities and the listing of the Underlying Shares for trading thereon in the time and manner required thereby, all of which shall have been effectuated prior to the Closing, and (iv) the filing of a Form D with the Commission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0" w:right="239" w:bottom="1440" w:gutter="0" w:footer="0" w:header="0"/>
        </w:sectPr>
      </w:pPr>
    </w:p>
    <w:bookmarkStart w:id="200" w:name="page201"/>
    <w:bookmarkEnd w:id="200"/>
    <w:p>
      <w:pPr>
        <w:jc w:val="both"/>
        <w:ind w:left="-540" w:firstLine="645"/>
        <w:spacing w:after="0" w:line="272" w:lineRule="auto"/>
        <w:tabs>
          <w:tab w:leader="none" w:pos="941"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Issuance of the Securities</w:t>
      </w:r>
      <w:r>
        <w:rPr>
          <w:rFonts w:ascii="Arial" w:cs="Arial" w:eastAsia="Arial" w:hAnsi="Arial"/>
          <w:sz w:val="17"/>
          <w:szCs w:val="17"/>
          <w:color w:val="auto"/>
        </w:rPr>
        <w:t>. The Underlying Shares are duly authorized and, when issued and paid for in accordance with the applicable Transaction Documents, will be duly and validly issued, fully paid and nonassessable, free and clear of all Liens imposed by the Company other than Permitted Liens and other than restrictions on transfer arising pursuant to applicable securities laws. The Notes and Warrants are duly authorized and, when issued and delivered in accordance with the applicable Transaction Documents, will be enforceable in accordance with their terms and are free and clear of all Liens imposed by the Company other than Permitted Liens and other than restrictions on transfer arising pursuant to applicable securities laws. The Company has reserved from its duly authorized capital stock a number of shares of Common Stock for issuance of the Underlying Shares at least equal to the Required Minimum on the date hereof.</w:t>
      </w:r>
    </w:p>
    <w:p>
      <w:pPr>
        <w:spacing w:after="0" w:line="177" w:lineRule="exact"/>
        <w:rPr>
          <w:rFonts w:ascii="Arial" w:cs="Arial" w:eastAsia="Arial" w:hAnsi="Arial"/>
          <w:sz w:val="17"/>
          <w:szCs w:val="17"/>
          <w:color w:val="auto"/>
        </w:rPr>
      </w:pPr>
    </w:p>
    <w:p>
      <w:pPr>
        <w:jc w:val="both"/>
        <w:ind w:left="-540" w:firstLine="645"/>
        <w:spacing w:after="0" w:line="285" w:lineRule="auto"/>
        <w:tabs>
          <w:tab w:leader="none" w:pos="768"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of the Disclosure Schedules. The Company has not issued any capital stock since its most recently filed periodic report under the Exchange Act, other than pursuant to the exercise of employee stock options under the Stock Option Plans, the issuance of shares of Common Stock to employees pursuant to the Stock Option Plans and pursuant to the conversion and/or exercise of Common Stock Equivalents outstanding as of the date of the most recently filed periodic report under the Exchange Act, all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no Person has any right of first refusal, preemptive right, right of participation, or any similar right to participate in the transactions contemplated by the Transaction Documents. Except as disclosed in the SEC Reports or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there are no outstanding options, employee or incentive stock option plans, warrants, scrip rights to subscribe to, calls or commitments of any character whatsoever relating to, or securities, rights or obligations convertible into or exercisable or exchangeable for, or giving any Person any right to subscribe for or acquire any shares of Common Stock, or material contracts, commitments, understandings or arrangements by which the Company or any Subsidiary is or may become bound to issue additional shares of Common Stock or Common Stock Equivalents.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Section 3.1(e),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 The Company is not a party to any Variable Rate Transaction and as of Closing, there will not be outstanding any Equity Line of Credit nor Variable Priced Equity Linked Instruments as of the Closing.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01" w:name="page202"/>
    <w:bookmarkEnd w:id="201"/>
    <w:p>
      <w:pPr>
        <w:jc w:val="both"/>
        <w:ind w:left="-540" w:firstLine="645"/>
        <w:spacing w:after="0" w:line="285" w:lineRule="auto"/>
        <w:tabs>
          <w:tab w:leader="none" w:pos="917"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xml:space="preserve">. The Company is subject to the reporting requirements under Sections 12(b), and 13(a) or 15(d) under the Exchange Act. Other than as set forth on </w:t>
      </w:r>
      <w:r>
        <w:rPr>
          <w:rFonts w:ascii="Arial" w:cs="Arial" w:eastAsia="Arial" w:hAnsi="Arial"/>
          <w:sz w:val="16"/>
          <w:szCs w:val="16"/>
          <w:u w:val="single" w:color="auto"/>
          <w:color w:val="auto"/>
        </w:rPr>
        <w:t>Schedule 3.1(h)</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Sections 12(b), 12(g), 13(a) or 15(d) thereof, for the two years preceding the date hereof (or such shorter period as the Company was required by law or regulation to file such material) (the foregoing materials, including the exhibits thereto and documents incorporated by reference therein filed not later than ten (10) days prior to the date hereof,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during the periods involved except as may be otherwise specified in such financial statements or the notes thereto and except that unaudited financial statements included in the SEC Reports may not contain all footnotes required by GAAP and are subject to normal, immaterial year-end audit adjustments,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Company is, and has no reason to believe that it will not in the foreseeable future continue to be in compliance with all its reporting requirements under the Securities Act and Exchange Act.</w:t>
      </w:r>
    </w:p>
    <w:p>
      <w:pPr>
        <w:spacing w:after="0" w:line="172" w:lineRule="exact"/>
        <w:rPr>
          <w:rFonts w:ascii="Arial" w:cs="Arial" w:eastAsia="Arial" w:hAnsi="Arial"/>
          <w:sz w:val="16"/>
          <w:szCs w:val="16"/>
          <w:color w:val="auto"/>
        </w:rPr>
      </w:pPr>
    </w:p>
    <w:p>
      <w:pPr>
        <w:jc w:val="both"/>
        <w:ind w:left="-540" w:firstLine="645"/>
        <w:spacing w:after="0" w:line="268" w:lineRule="auto"/>
        <w:tabs>
          <w:tab w:leader="none" w:pos="944"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xml:space="preserve">. Since the date of the latest audited financial statements included within the SEC Reports, except as specifically disclosed in a subsequent SEC Report or on </w:t>
      </w:r>
      <w:r>
        <w:rPr>
          <w:rFonts w:ascii="Arial" w:cs="Arial" w:eastAsia="Arial" w:hAnsi="Arial"/>
          <w:sz w:val="17"/>
          <w:szCs w:val="17"/>
          <w:u w:val="single" w:color="auto"/>
          <w:color w:val="auto"/>
        </w:rPr>
        <w:t>Schedule 3.1(i),</w:t>
      </w:r>
      <w:r>
        <w:rPr>
          <w:rFonts w:ascii="Arial" w:cs="Arial" w:eastAsia="Arial" w:hAnsi="Arial"/>
          <w:sz w:val="17"/>
          <w:szCs w:val="17"/>
          <w:color w:val="auto"/>
        </w:rPr>
        <w:t xml:space="preserve"> (i) there has been no event, occurrence or development that has had or that would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a Stock Option Plan.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Law at the time this representation is made or deemed made that has not been publicly disclosed at least two Trading Days prior to the date that this representation is made.</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202" w:name="page203"/>
    <w:bookmarkEnd w:id="202"/>
    <w:p>
      <w:pPr>
        <w:jc w:val="both"/>
        <w:ind w:left="4" w:firstLine="645"/>
        <w:spacing w:after="0" w:line="269" w:lineRule="auto"/>
        <w:tabs>
          <w:tab w:leader="none" w:pos="1326"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the SEC Reports, there is no action, suit, inquiry, notice of violation, proceeding or investigation pending or, to the knowledge of the Company, threatened against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Securities or (ii) could, if there were an unfavorable decision, have or reasonably be expected to result in a Material Adverse Effect. Except as set forth in the SEC Reports, neither the Company nor any Subsidiary, nor, to the Company’s knowledge, any director or officer thereof, is or has been the subject of any Action involving a claim of violation of or liability under federal or state securities laws or a claim of breach of fiduciary duty. Except as set forth in the SEC Reports,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2" w:lineRule="exact"/>
        <w:rPr>
          <w:rFonts w:ascii="Arial" w:cs="Arial" w:eastAsia="Arial" w:hAnsi="Arial"/>
          <w:sz w:val="17"/>
          <w:szCs w:val="17"/>
          <w:color w:val="auto"/>
        </w:rPr>
      </w:pPr>
    </w:p>
    <w:p>
      <w:pPr>
        <w:jc w:val="both"/>
        <w:ind w:left="4" w:firstLine="645"/>
        <w:spacing w:after="0" w:line="287" w:lineRule="auto"/>
        <w:tabs>
          <w:tab w:leader="none" w:pos="1312"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or any Subsidiary, which would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72" w:lineRule="exact"/>
        <w:rPr>
          <w:rFonts w:ascii="Arial" w:cs="Arial" w:eastAsia="Arial" w:hAnsi="Arial"/>
          <w:sz w:val="16"/>
          <w:szCs w:val="16"/>
          <w:color w:val="auto"/>
        </w:rPr>
      </w:pPr>
    </w:p>
    <w:p>
      <w:pPr>
        <w:jc w:val="both"/>
        <w:ind w:left="4" w:firstLine="645"/>
        <w:spacing w:after="0" w:line="285" w:lineRule="auto"/>
        <w:tabs>
          <w:tab w:leader="none" w:pos="1312"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To the Company’s knowledge,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w:t>
      </w:r>
    </w:p>
    <w:p>
      <w:pPr>
        <w:spacing w:after="0" w:line="2" w:lineRule="exact"/>
        <w:rPr>
          <w:rFonts w:ascii="Arial" w:cs="Arial" w:eastAsia="Arial" w:hAnsi="Arial"/>
          <w:sz w:val="16"/>
          <w:szCs w:val="16"/>
          <w:color w:val="auto"/>
        </w:rPr>
      </w:pPr>
    </w:p>
    <w:p>
      <w:pPr>
        <w:jc w:val="both"/>
        <w:ind w:left="4" w:hanging="4"/>
        <w:spacing w:after="0" w:line="277" w:lineRule="auto"/>
        <w:tabs>
          <w:tab w:leader="none" w:pos="33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reasonably be expected to result in a Material Adverse Effect.</w:t>
      </w:r>
    </w:p>
    <w:p>
      <w:pPr>
        <w:spacing w:after="0" w:line="173" w:lineRule="exact"/>
        <w:rPr>
          <w:rFonts w:ascii="Arial" w:cs="Arial" w:eastAsia="Arial" w:hAnsi="Arial"/>
          <w:sz w:val="17"/>
          <w:szCs w:val="17"/>
          <w:color w:val="auto"/>
        </w:rPr>
      </w:pPr>
    </w:p>
    <w:p>
      <w:pPr>
        <w:jc w:val="both"/>
        <w:ind w:left="4" w:firstLine="645"/>
        <w:spacing w:after="0" w:line="257" w:lineRule="auto"/>
        <w:tabs>
          <w:tab w:leader="none" w:pos="1659"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each Subsidiary possess all certificates, authorizations and permits issued by the appropriate federal, state, local or foreign regulatory authorities necessary to conduct their respective businesses as described in the SEC Reports and as actually conducted, except where the failure to possess such permits would not reasonably be expected to result in a Material Adverse Effect (“</w:t>
      </w:r>
      <w:r>
        <w:rPr>
          <w:rFonts w:ascii="Arial" w:cs="Arial" w:eastAsia="Arial" w:hAnsi="Arial"/>
          <w:sz w:val="18"/>
          <w:szCs w:val="18"/>
          <w:u w:val="single" w:color="auto"/>
          <w:color w:val="auto"/>
        </w:rPr>
        <w:t>Material Permits</w:t>
      </w:r>
      <w:r>
        <w:rPr>
          <w:rFonts w:ascii="Arial" w:cs="Arial" w:eastAsia="Arial" w:hAnsi="Arial"/>
          <w:sz w:val="18"/>
          <w:szCs w:val="18"/>
          <w:color w:val="auto"/>
        </w:rPr>
        <w:t>”), and neither the Company nor any Subsidiary has received any notice of proceedings relating to the revocation or modification of any Material Permit.</w:t>
      </w:r>
    </w:p>
    <w:p>
      <w:pPr>
        <w:spacing w:after="0" w:line="200" w:lineRule="exact"/>
        <w:rPr>
          <w:sz w:val="20"/>
          <w:szCs w:val="20"/>
          <w:color w:val="auto"/>
        </w:rPr>
      </w:pPr>
    </w:p>
    <w:p>
      <w:pPr>
        <w:spacing w:after="0" w:line="204"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1017" w:right="239" w:bottom="1440" w:gutter="0" w:footer="0" w:header="0"/>
        </w:sectPr>
      </w:pPr>
    </w:p>
    <w:bookmarkStart w:id="203" w:name="page204"/>
    <w:bookmarkEnd w:id="203"/>
    <w:p>
      <w:pPr>
        <w:jc w:val="both"/>
        <w:ind w:left="-540" w:firstLine="645"/>
        <w:spacing w:after="0" w:line="291" w:lineRule="auto"/>
        <w:tabs>
          <w:tab w:leader="none" w:pos="836"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Except as disclosed in the SEC Reports, the Company and each Subsidiary have good and marketable title in fee simple to all real property (if any) owned by them and good and marketable title in all personal property owned by them that is material to the business of the Company and each Subsidiary, in each case free and clear of all Liens, except for Permitted Liens and (i) Liens as do not materially affect the value of such property and do not materially interfere with the use made and proposed to be made of such property by the Company and each Subsidiary and (ii) Liens for the payment of federal, state or other taxes, for which appropriate reserves have been made in accordance with GAAP and, the payment of which is neither delinquent nor subject to penalties. Any real property and facilities held under lease by the Company and each Subsidiary are held by them under valid, subsisting and enforceable leases with which the Company and each Subsidiary are in compliance.</w:t>
      </w:r>
    </w:p>
    <w:p>
      <w:pPr>
        <w:spacing w:after="0" w:line="167" w:lineRule="exact"/>
        <w:rPr>
          <w:rFonts w:ascii="Arial" w:cs="Arial" w:eastAsia="Arial" w:hAnsi="Arial"/>
          <w:sz w:val="16"/>
          <w:szCs w:val="16"/>
          <w:color w:val="auto"/>
        </w:rPr>
      </w:pPr>
    </w:p>
    <w:p>
      <w:pPr>
        <w:ind w:left="760" w:hanging="655"/>
        <w:spacing w:after="0"/>
        <w:tabs>
          <w:tab w:leader="none" w:pos="76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427"/>
        <w:spacing w:after="0"/>
        <w:tabs>
          <w:tab w:leader="none" w:pos="11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jc w:val="both"/>
        <w:ind w:left="1720" w:hanging="319"/>
        <w:spacing w:after="0" w:line="264" w:lineRule="auto"/>
        <w:tabs>
          <w:tab w:leader="none" w:pos="17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name of the Company and each Subsidiary, all fictional business names, trading names, registered and unregistered trademarks, service marks, and applications of the Company and each Subsidiary (collectively, “</w:t>
      </w:r>
      <w:r>
        <w:rPr>
          <w:rFonts w:ascii="Arial" w:cs="Arial" w:eastAsia="Arial" w:hAnsi="Arial"/>
          <w:sz w:val="18"/>
          <w:szCs w:val="18"/>
          <w:u w:val="single" w:color="auto"/>
          <w:color w:val="auto"/>
        </w:rPr>
        <w:t>Marks''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720" w:hanging="319"/>
        <w:spacing w:after="0"/>
        <w:tabs>
          <w:tab w:leader="none" w:pos="17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all patents and patent applications of the Company and each Subsidiary (collectively, “</w:t>
      </w:r>
      <w:r>
        <w:rPr>
          <w:rFonts w:ascii="Arial" w:cs="Arial" w:eastAsia="Arial" w:hAnsi="Arial"/>
          <w:sz w:val="18"/>
          <w:szCs w:val="18"/>
          <w:u w:val="single" w:color="auto"/>
          <w:color w:val="auto"/>
        </w:rPr>
        <w:t>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319"/>
        <w:spacing w:after="0" w:line="277" w:lineRule="auto"/>
        <w:tabs>
          <w:tab w:leader="none" w:pos="17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all copyrights in both published works and unpublished works of the Company and each Subsidiary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20" w:hanging="319"/>
        <w:spacing w:after="0"/>
        <w:tabs>
          <w:tab w:leader="none" w:pos="17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all rights in mask works of the Company and each Subsidiary (collectively, “</w:t>
      </w:r>
      <w:r>
        <w:rPr>
          <w:rFonts w:ascii="Arial" w:cs="Arial" w:eastAsia="Arial" w:hAnsi="Arial"/>
          <w:sz w:val="18"/>
          <w:szCs w:val="18"/>
          <w:u w:val="single" w:color="auto"/>
          <w:color w:val="auto"/>
        </w:rPr>
        <w:t>Rights in Mask Works''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1720" w:hanging="319"/>
        <w:spacing w:after="0" w:line="264" w:lineRule="auto"/>
        <w:tabs>
          <w:tab w:leader="none" w:pos="17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all know-how, trade secrets, confidential information, customer lists, software, technical information, data, process technology, plans, drawings, and blue prints (collectively, “</w:t>
      </w:r>
      <w:r>
        <w:rPr>
          <w:rFonts w:ascii="Arial" w:cs="Arial" w:eastAsia="Arial" w:hAnsi="Arial"/>
          <w:sz w:val="18"/>
          <w:szCs w:val="18"/>
          <w:u w:val="single" w:color="auto"/>
          <w:color w:val="auto"/>
        </w:rPr>
        <w:t>Trade Secrets''</w:t>
      </w:r>
      <w:r>
        <w:rPr>
          <w:rFonts w:ascii="Arial" w:cs="Arial" w:eastAsia="Arial" w:hAnsi="Arial"/>
          <w:sz w:val="18"/>
          <w:szCs w:val="18"/>
          <w:color w:val="auto"/>
        </w:rPr>
        <w:t>); owned, used, or licensed by the Company and each Subsidiary as licensee or licensor</w:t>
      </w:r>
    </w:p>
    <w:p>
      <w:pPr>
        <w:spacing w:after="0" w:line="181" w:lineRule="exact"/>
        <w:rPr>
          <w:rFonts w:ascii="Arial" w:cs="Arial" w:eastAsia="Arial" w:hAnsi="Arial"/>
          <w:sz w:val="18"/>
          <w:szCs w:val="18"/>
          <w:color w:val="auto"/>
        </w:rPr>
      </w:pPr>
    </w:p>
    <w:p>
      <w:pPr>
        <w:ind w:left="1720" w:right="660"/>
        <w:spacing w:after="0" w:line="342" w:lineRule="auto"/>
        <w:rPr>
          <w:rFonts w:ascii="Arial" w:cs="Arial" w:eastAsia="Arial" w:hAnsi="Arial"/>
          <w:sz w:val="18"/>
          <w:szCs w:val="18"/>
          <w:color w:val="auto"/>
        </w:rPr>
      </w:pPr>
      <w:r>
        <w:rPr>
          <w:rFonts w:ascii="Arial" w:cs="Arial" w:eastAsia="Arial" w:hAnsi="Arial"/>
          <w:sz w:val="16"/>
          <w:szCs w:val="16"/>
          <w:color w:val="auto"/>
        </w:rPr>
        <w:t>insofar as 1-5 above relate solely to the Company’s and Subsidiaries’ XpresSpa business and the name of the Company and XpresSpa Subsidiaries and in no event to any of the Company’s other Subsidiaries.</w:t>
      </w:r>
    </w:p>
    <w:p>
      <w:pPr>
        <w:spacing w:after="0" w:line="123" w:lineRule="exact"/>
        <w:rPr>
          <w:rFonts w:ascii="Arial" w:cs="Arial" w:eastAsia="Arial" w:hAnsi="Arial"/>
          <w:sz w:val="18"/>
          <w:szCs w:val="18"/>
          <w:color w:val="auto"/>
        </w:rPr>
      </w:pPr>
    </w:p>
    <w:p>
      <w:pPr>
        <w:jc w:val="both"/>
        <w:ind w:left="760" w:hanging="7"/>
        <w:spacing w:after="0" w:line="264" w:lineRule="auto"/>
        <w:tabs>
          <w:tab w:leader="none" w:pos="1655"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Except as set forth in the SEC Reports, there are no outstanding and, to Company’s knowledge, no threatened disputes (in writing) or disagreements with respect to any agreements relating to any Intellectual Property Rights to which the Company is a party or by which the Company is bound.</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04" w:name="page205"/>
    <w:bookmarkEnd w:id="204"/>
    <w:p>
      <w:pPr>
        <w:jc w:val="both"/>
        <w:ind w:left="760" w:hanging="7"/>
        <w:spacing w:after="0" w:line="255" w:lineRule="auto"/>
        <w:tabs>
          <w:tab w:leader="none" w:pos="1484"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Know-How Necessary for the Business</w:t>
      </w:r>
      <w:r>
        <w:rPr>
          <w:rFonts w:ascii="Arial" w:cs="Arial" w:eastAsia="Arial" w:hAnsi="Arial"/>
          <w:sz w:val="18"/>
          <w:szCs w:val="18"/>
          <w:color w:val="auto"/>
        </w:rPr>
        <w:t>. Except as set forth in the SEC Reports, the Intellectual Property Rights are all those necessary for the operation of the Company’s and Subsidiaries’ XpresSpa business as currently conducted. Each of the Company and each Subsidiary is the owner of all right, title, and interest in and to each of their respective Intellectual Property Rights, free and clear of all Liens (other than Permitted Liens) and adverse claims, and has the right to use all of the Intellectual Property Rights. To the Company’s knowledge, no employee of the Company or any Subsidiary has entered into any contract that requires the employee to transfer, assign, or disclose information concerning his work to anyone other than the Company or a Subsidiary.</w:t>
      </w:r>
    </w:p>
    <w:p>
      <w:pPr>
        <w:spacing w:after="0" w:line="189" w:lineRule="exact"/>
        <w:rPr>
          <w:rFonts w:ascii="Arial" w:cs="Arial" w:eastAsia="Arial" w:hAnsi="Arial"/>
          <w:sz w:val="18"/>
          <w:szCs w:val="18"/>
          <w:color w:val="auto"/>
        </w:rPr>
      </w:pPr>
    </w:p>
    <w:p>
      <w:pPr>
        <w:jc w:val="both"/>
        <w:ind w:left="760" w:hanging="7"/>
        <w:spacing w:after="0" w:line="253" w:lineRule="auto"/>
        <w:tabs>
          <w:tab w:leader="none" w:pos="151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Except as set forth in the SEC Reports, the Company and each Subsidiary is the owner of all right, title and interest in and to each of the Patents related to the Company’s XpresSpa business, free and clear of all Liens (other than Permitted Liens) and adverse claims. To the Company’s knowledge, all of the issued Patents related to the Company’s XpresSpa business are currently in compliance with formal legal requirements (including payment of filing, examination, and maintenance fees and proofs of working or use), are valid and enforceable, and are not subject to any maintenance fees or taxes or actions falling due within ninety days after the Closing Date. No Patent related to the Company’s XpresSpa business has been or is now involved in any interference, reissue, reexamination, or opposition proceeding. To the Company’s knowledge, none of the products manufactured and sold, nor any process or know-how used, by the Company or any Subsidiary related to the Company’s XpresSpa business infringes or is alleged to infringe any patent or other proprietary right of any other Person for which the Company does not have a license.</w:t>
      </w:r>
    </w:p>
    <w:p>
      <w:pPr>
        <w:spacing w:after="0" w:line="194" w:lineRule="exact"/>
        <w:rPr>
          <w:rFonts w:ascii="Arial" w:cs="Arial" w:eastAsia="Arial" w:hAnsi="Arial"/>
          <w:sz w:val="18"/>
          <w:szCs w:val="18"/>
          <w:color w:val="auto"/>
        </w:rPr>
      </w:pPr>
    </w:p>
    <w:p>
      <w:pPr>
        <w:jc w:val="both"/>
        <w:ind w:left="760" w:hanging="7"/>
        <w:spacing w:after="0" w:line="270" w:lineRule="auto"/>
        <w:tabs>
          <w:tab w:leader="none" w:pos="1514"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Trademarks</w:t>
      </w:r>
      <w:r>
        <w:rPr>
          <w:rFonts w:ascii="Arial" w:cs="Arial" w:eastAsia="Arial" w:hAnsi="Arial"/>
          <w:sz w:val="17"/>
          <w:szCs w:val="17"/>
          <w:color w:val="auto"/>
        </w:rPr>
        <w:t>. The Company and each Subsidiary is the owner of all right, title, and interest in and to each of the Marks related to the Company’s XpresSpa business, free and clear of all Liens (other than Permitted Liens) and adverse claims. All Marks related to the Company’s XpresSpa business that have been registered with the United States Patent and Trademark Office are currently in compliance with all formal legal requirements (including the timely post-registration filing of affidavits of use and incontestability and renewal applications), are valid and enforceable, and are not subject to any maintenance fees or taxes or actions falling due within ninety days after the Closing Date. No Mark related to the Company’s XpresSpa business has been or is now involved in any opposition, invalidation, or cancellation and, to the Company’s knowledge, no such action is threatened with respect to any of the Marks related to the Company’s XpresSpa business. To the Company’s knowledge, none of the Marks related to the Company’s XpresSpa business used by the Company and each Subsidiary infringes or is alleged to infringe any trade name, trademark, or service mark of any third party.</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17" w:right="239" w:bottom="1440" w:gutter="0" w:footer="0" w:header="0"/>
        </w:sectPr>
      </w:pPr>
    </w:p>
    <w:bookmarkStart w:id="205" w:name="page206"/>
    <w:bookmarkEnd w:id="205"/>
    <w:p>
      <w:pPr>
        <w:jc w:val="both"/>
        <w:ind w:left="760" w:hanging="7"/>
        <w:spacing w:after="0" w:line="270" w:lineRule="auto"/>
        <w:tabs>
          <w:tab w:leader="none" w:pos="1393"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Copyrights</w:t>
      </w:r>
      <w:r>
        <w:rPr>
          <w:rFonts w:ascii="Arial" w:cs="Arial" w:eastAsia="Arial" w:hAnsi="Arial"/>
          <w:sz w:val="17"/>
          <w:szCs w:val="17"/>
          <w:color w:val="auto"/>
        </w:rPr>
        <w:t>. The Company and each Subsidiary is the owner of all right, title, and interest in and to each of the Copyrights related to the Company’s XpresSpa business, free and clear of all Liens (other than Permitted Liens) and adverse claims. All the Copyrights related to the Company’s XpresSpa business have been registered and are currently in compliance with formal requirements, are valid and enforceable, and are not subject to any maintenance fees or taxes or actions falling due within ninety days after the Closing Date. To the Company’s knowledge, no Copyright related to the Company’s XpresSpa business is infringed or has been challenged or threatened in any way. To the Company’s knowledge, none of the subject matter of any of the Copyrights related to the Company’s XpresSpa business infringes or is alleged to infringe any copyright of any third party or is a derivative work based on the work of a third party. All works encompassed by the Copyrights related to the Company’s XpresSpa business have been marked with the proper copyright notice.</w:t>
      </w:r>
    </w:p>
    <w:p>
      <w:pPr>
        <w:spacing w:after="0" w:line="181" w:lineRule="exact"/>
        <w:rPr>
          <w:rFonts w:ascii="Arial" w:cs="Arial" w:eastAsia="Arial" w:hAnsi="Arial"/>
          <w:sz w:val="17"/>
          <w:szCs w:val="17"/>
          <w:color w:val="auto"/>
        </w:rPr>
      </w:pPr>
    </w:p>
    <w:p>
      <w:pPr>
        <w:jc w:val="both"/>
        <w:ind w:left="760" w:hanging="7"/>
        <w:spacing w:after="0" w:line="270" w:lineRule="auto"/>
        <w:tabs>
          <w:tab w:leader="none" w:pos="1398"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Trade Secrets</w:t>
      </w:r>
      <w:r>
        <w:rPr>
          <w:rFonts w:ascii="Arial" w:cs="Arial" w:eastAsia="Arial" w:hAnsi="Arial"/>
          <w:sz w:val="17"/>
          <w:szCs w:val="17"/>
          <w:color w:val="auto"/>
        </w:rPr>
        <w:t>. With respect to each Trade Secret related to the Company’s XpresSpa business, the documentation relating to such Trade Secret related to the Company’s XpresSpa business is current, accurate, and sufficient in detail and content to identify and explain it and to allow its full and proper use without reliance on the knowledge or memory of any individual. The Company has taken all reasonable precautions to protect the secrecy, confidentiality, and value of its Trade Secrets related to the Company’s XpresSpa business. The Company and each Subsidiary has good title and an absolute (but not necessarily exclusive) right to use the Trade Secrets related to the Company’s XpresSpa business. The Trade Secrets related to the Company’s XpresSpa business are not part of the public knowledge or literature, and, to the Company’s knowledge, have not been used, divulged, or appropriated either for the benefit of any Person (other the Company and each Subsidiary) or to the detriment of the Company and each Subsidiary. No Trade Secret related to the Company’s XpresSpa business is subject to any adverse claim or has been challenged or threatened in writing in any way.</w:t>
      </w:r>
    </w:p>
    <w:p>
      <w:pPr>
        <w:spacing w:after="0" w:line="177" w:lineRule="exact"/>
        <w:rPr>
          <w:rFonts w:ascii="Arial" w:cs="Arial" w:eastAsia="Arial" w:hAnsi="Arial"/>
          <w:sz w:val="17"/>
          <w:szCs w:val="17"/>
          <w:color w:val="auto"/>
        </w:rPr>
      </w:pPr>
    </w:p>
    <w:p>
      <w:pPr>
        <w:jc w:val="both"/>
        <w:ind w:left="-540" w:firstLine="645"/>
        <w:spacing w:after="0" w:line="276" w:lineRule="auto"/>
        <w:tabs>
          <w:tab w:leader="none" w:pos="809"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and the Subsidiaries are currently insured by insurers of recognized financial responsibility against such losses and risks and in such amounts as are prudent and customary in the businesses in which the Company and the Subsidiaries are engaged. A description of the principal terms of the Company’s directors and officers insurance policy and the name and contact information for the issuer of such policy are set forth on </w:t>
      </w:r>
      <w:r>
        <w:rPr>
          <w:rFonts w:ascii="Arial" w:cs="Arial" w:eastAsia="Arial" w:hAnsi="Arial"/>
          <w:sz w:val="17"/>
          <w:szCs w:val="17"/>
          <w:u w:val="single" w:color="auto"/>
          <w:color w:val="auto"/>
        </w:rPr>
        <w:t>Section 3.1(p)</w:t>
      </w:r>
      <w:r>
        <w:rPr>
          <w:rFonts w:ascii="Arial" w:cs="Arial" w:eastAsia="Arial" w:hAnsi="Arial"/>
          <w:sz w:val="17"/>
          <w:szCs w:val="17"/>
          <w:color w:val="auto"/>
        </w:rPr>
        <w:t xml:space="preserve"> of the Disclosure Letter. Neither the Company nor any Subsidiary believes that it will not be able to acquire insurance coverage at reasonable cost as may be necessary to continue its business.</w:t>
      </w:r>
    </w:p>
    <w:p>
      <w:pPr>
        <w:spacing w:after="0" w:line="172" w:lineRule="exact"/>
        <w:rPr>
          <w:rFonts w:ascii="Arial" w:cs="Arial" w:eastAsia="Arial" w:hAnsi="Arial"/>
          <w:sz w:val="17"/>
          <w:szCs w:val="17"/>
          <w:color w:val="auto"/>
        </w:rPr>
      </w:pPr>
    </w:p>
    <w:p>
      <w:pPr>
        <w:jc w:val="both"/>
        <w:ind w:left="-540" w:firstLine="645"/>
        <w:spacing w:after="0" w:line="269" w:lineRule="auto"/>
        <w:tabs>
          <w:tab w:leader="none" w:pos="957"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$100,000 other than for: (i) payment of salary or consulting fees for services rendered, (ii) reimbursement for expenses incurred on behalf of the Company or any Subsidiary, (iii) other employee benefits, including stock option agreements under a Stock Option Plan or any other plan of the Company except as disclosed on </w:t>
      </w:r>
      <w:r>
        <w:rPr>
          <w:rFonts w:ascii="Arial" w:cs="Arial" w:eastAsia="Arial" w:hAnsi="Arial"/>
          <w:sz w:val="17"/>
          <w:szCs w:val="17"/>
          <w:u w:val="single" w:color="auto"/>
          <w:color w:val="auto"/>
        </w:rPr>
        <w:t>Schedule 3.1(g)</w:t>
      </w:r>
      <w:r>
        <w:rPr>
          <w:rFonts w:ascii="Arial" w:cs="Arial" w:eastAsia="Arial" w:hAnsi="Arial"/>
          <w:sz w:val="17"/>
          <w:szCs w:val="17"/>
          <w:color w:val="auto"/>
        </w:rPr>
        <w:t>, and (iv) as described in the Company’s Annual Report on Form 10-K/A filed with the Commission on April 30, 2018, with respect to a loan facility provided to the Company by Rockmore Investment Master Fund Ltd.</w:t>
      </w:r>
    </w:p>
    <w:p>
      <w:pPr>
        <w:spacing w:after="0" w:line="3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06" w:name="page207"/>
    <w:bookmarkEnd w:id="206"/>
    <w:p>
      <w:pPr>
        <w:jc w:val="both"/>
        <w:ind w:left="-540" w:firstLine="645"/>
        <w:spacing w:after="0" w:line="285" w:lineRule="auto"/>
        <w:tabs>
          <w:tab w:leader="none" w:pos="873"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xml:space="preserve">. The Company and each Subsidiary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each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each Subsidiary have established disclosure controls and procedures (as defined in Exchange Act Rules 13a-15(e) and 15d-15(e)) for the Company and each Subsidiary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each Subsidiary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5" w:lineRule="exact"/>
        <w:rPr>
          <w:rFonts w:ascii="Arial" w:cs="Arial" w:eastAsia="Arial" w:hAnsi="Arial"/>
          <w:sz w:val="16"/>
          <w:szCs w:val="16"/>
          <w:color w:val="auto"/>
        </w:rPr>
      </w:pPr>
    </w:p>
    <w:p>
      <w:pPr>
        <w:jc w:val="both"/>
        <w:ind w:left="-540" w:firstLine="645"/>
        <w:spacing w:after="0" w:line="271" w:lineRule="auto"/>
        <w:tabs>
          <w:tab w:leader="none" w:pos="802"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3.1(s)</w:t>
      </w:r>
      <w:r>
        <w:rPr>
          <w:rFonts w:ascii="Arial" w:cs="Arial" w:eastAsia="Arial" w:hAnsi="Arial"/>
          <w:sz w:val="17"/>
          <w:szCs w:val="17"/>
          <w:color w:val="auto"/>
        </w:rPr>
        <w:t xml:space="preserve">, no brokerage, finder’s fees, commissions or due diligence fees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such fees or with respect to any claims made by or on behalf of other Persons for fees of a type contemplated in this Section 3.1(s) that may be due in connection with the transactions contemplated by the Transaction Documents. The cash portion of the fee payable to the due diligence fee recipient identified on </w:t>
      </w:r>
      <w:r>
        <w:rPr>
          <w:rFonts w:ascii="Arial" w:cs="Arial" w:eastAsia="Arial" w:hAnsi="Arial"/>
          <w:sz w:val="17"/>
          <w:szCs w:val="17"/>
          <w:u w:val="single" w:color="auto"/>
          <w:color w:val="auto"/>
        </w:rPr>
        <w:t>Schedule 3.1(s)</w:t>
      </w:r>
      <w:r>
        <w:rPr>
          <w:rFonts w:ascii="Arial" w:cs="Arial" w:eastAsia="Arial" w:hAnsi="Arial"/>
          <w:sz w:val="17"/>
          <w:szCs w:val="17"/>
          <w:color w:val="auto"/>
        </w:rPr>
        <w:t xml:space="preserve"> shall be applied by such recipient as payment of a Subscription Amount,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other Purchasers and such recipient shall be deemed a Purchaser with respect to such Subscription Amount entitled to all of the benefits and rights of a Purchaser with respect thereto, including the issuance of Warrants and registration rights.</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769"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540" w:firstLine="645"/>
        <w:spacing w:after="0" w:line="277" w:lineRule="auto"/>
        <w:tabs>
          <w:tab w:leader="none" w:pos="782"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 except for the Purchasers and as set forth in the SEC Reports.</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207" w:name="page208"/>
    <w:bookmarkEnd w:id="207"/>
    <w:p>
      <w:pPr>
        <w:jc w:val="both"/>
        <w:ind w:left="-540" w:firstLine="645"/>
        <w:spacing w:after="0" w:line="293" w:lineRule="auto"/>
        <w:tabs>
          <w:tab w:leader="none" w:pos="953"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Reporting Company/Shell Company</w:t>
      </w:r>
      <w:r>
        <w:rPr>
          <w:rFonts w:ascii="Arial" w:cs="Arial" w:eastAsia="Arial" w:hAnsi="Arial"/>
          <w:sz w:val="16"/>
          <w:szCs w:val="16"/>
          <w:color w:val="auto"/>
        </w:rPr>
        <w:t>. The Company is a publicly-held company subject to reporting obligations pursuant to Sections 12(g), 13 and 15(d) of the Exchange Act. Pursuant to the provisions of the Exchange Act, the Company has timely filed all reports and other materials required to be filed by the Company thereunder with the SEC during the twelve months preceding the date of this Agreement. The Company has no reason to believe that it will not in the year following the Closing continue to be in compliance with all listing and reporting requirements applicable to the Company as of the Closing Date and thereafter. As of the date of this Agreement and the Closing Date, the Company is not a “shell company” nor a former “shell company” (as defined in Rule 405 of the Securities Act) and has never been a “shell company”.</w:t>
      </w:r>
    </w:p>
    <w:p>
      <w:pPr>
        <w:spacing w:after="0" w:line="164" w:lineRule="exact"/>
        <w:rPr>
          <w:rFonts w:ascii="Arial" w:cs="Arial" w:eastAsia="Arial" w:hAnsi="Arial"/>
          <w:sz w:val="16"/>
          <w:szCs w:val="16"/>
          <w:color w:val="auto"/>
        </w:rPr>
      </w:pPr>
    </w:p>
    <w:p>
      <w:pPr>
        <w:jc w:val="both"/>
        <w:ind w:left="-540" w:firstLine="645"/>
        <w:spacing w:after="0" w:line="273" w:lineRule="auto"/>
        <w:tabs>
          <w:tab w:leader="none" w:pos="889"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the Board of Directors has taken all necessary action in order to render inapplicable any control share acquisition, business combination (as defined in the DGCL), poison pill (including any distribution under a rights agreement) or other similar anti-takeover provision under the Company’s certificate of incorporation (or similar charter documents) or the laws of Delaware, including under Section 203(a)(1) of the DGCL that are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78" w:lineRule="exact"/>
        <w:rPr>
          <w:rFonts w:ascii="Arial" w:cs="Arial" w:eastAsia="Arial" w:hAnsi="Arial"/>
          <w:sz w:val="17"/>
          <w:szCs w:val="17"/>
          <w:color w:val="auto"/>
        </w:rPr>
      </w:pPr>
    </w:p>
    <w:p>
      <w:pPr>
        <w:jc w:val="both"/>
        <w:ind w:left="-540" w:firstLine="645"/>
        <w:spacing w:after="0" w:line="287" w:lineRule="auto"/>
        <w:tabs>
          <w:tab w:leader="none" w:pos="1065"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68" w:lineRule="exact"/>
        <w:rPr>
          <w:rFonts w:ascii="Arial" w:cs="Arial" w:eastAsia="Arial" w:hAnsi="Arial"/>
          <w:sz w:val="16"/>
          <w:szCs w:val="16"/>
          <w:color w:val="auto"/>
        </w:rPr>
      </w:pPr>
    </w:p>
    <w:p>
      <w:pPr>
        <w:jc w:val="both"/>
        <w:ind w:left="-540" w:firstLine="645"/>
        <w:spacing w:after="0" w:line="255" w:lineRule="auto"/>
        <w:tabs>
          <w:tab w:leader="none" w:pos="83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the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08" w:name="page209"/>
    <w:bookmarkEnd w:id="208"/>
    <w:p>
      <w:pPr>
        <w:jc w:val="both"/>
        <w:ind w:left="-540" w:firstLine="645"/>
        <w:spacing w:after="0" w:line="267" w:lineRule="auto"/>
        <w:tabs>
          <w:tab w:leader="none" w:pos="1015"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xml:space="preserve">. Based on the consolidated financial condition of the Company and Subsidiaries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Arial" w:cs="Arial" w:eastAsia="Arial" w:hAnsi="Arial"/>
          <w:sz w:val="17"/>
          <w:szCs w:val="17"/>
          <w:u w:val="single" w:color="auto"/>
          <w:color w:val="auto"/>
        </w:rPr>
        <w:t>Schedule 3.1(z)</w:t>
      </w:r>
      <w:r>
        <w:rPr>
          <w:rFonts w:ascii="Arial" w:cs="Arial" w:eastAsia="Arial" w:hAnsi="Arial"/>
          <w:sz w:val="17"/>
          <w:szCs w:val="17"/>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$400,000 in the aggregate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$400,000 due under leases required to be capitalized in accordance with GAAP. Neither the Company nor any Subsidiary is in default with respect to any Indebtedness.</w:t>
      </w:r>
    </w:p>
    <w:p>
      <w:pPr>
        <w:spacing w:after="0" w:line="190" w:lineRule="exact"/>
        <w:rPr>
          <w:sz w:val="20"/>
          <w:szCs w:val="20"/>
          <w:color w:val="auto"/>
        </w:rPr>
      </w:pPr>
    </w:p>
    <w:p>
      <w:pPr>
        <w:jc w:val="both"/>
        <w:ind w:left="-540" w:firstLine="645"/>
        <w:spacing w:after="0" w:line="291" w:lineRule="auto"/>
        <w:tabs>
          <w:tab w:leader="none" w:pos="941"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reasonable basis for any such claim.</w:t>
      </w:r>
    </w:p>
    <w:p>
      <w:pPr>
        <w:spacing w:after="0" w:line="167" w:lineRule="exact"/>
        <w:rPr>
          <w:rFonts w:ascii="Arial" w:cs="Arial" w:eastAsia="Arial" w:hAnsi="Arial"/>
          <w:sz w:val="16"/>
          <w:szCs w:val="16"/>
          <w:color w:val="auto"/>
        </w:rPr>
      </w:pPr>
    </w:p>
    <w:p>
      <w:pPr>
        <w:jc w:val="both"/>
        <w:ind w:left="-540" w:firstLine="645"/>
        <w:spacing w:after="0" w:line="273" w:lineRule="auto"/>
        <w:tabs>
          <w:tab w:leader="none" w:pos="827"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09" w:name="page210"/>
    <w:bookmarkEnd w:id="209"/>
    <w:p>
      <w:pPr>
        <w:jc w:val="both"/>
        <w:ind w:left="-540" w:firstLine="645"/>
        <w:spacing w:after="0" w:line="273" w:lineRule="auto"/>
        <w:tabs>
          <w:tab w:leader="none" w:pos="874"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Accountants and Lawyers</w:t>
      </w:r>
      <w:r>
        <w:rPr>
          <w:rFonts w:ascii="Arial" w:cs="Arial" w:eastAsia="Arial" w:hAnsi="Arial"/>
          <w:sz w:val="17"/>
          <w:szCs w:val="17"/>
          <w:color w:val="auto"/>
        </w:rPr>
        <w:t xml:space="preserve">. The Company’s accounting firm is set forth on </w:t>
      </w:r>
      <w:r>
        <w:rPr>
          <w:rFonts w:ascii="Arial" w:cs="Arial" w:eastAsia="Arial" w:hAnsi="Arial"/>
          <w:sz w:val="17"/>
          <w:szCs w:val="17"/>
          <w:u w:val="single" w:color="auto"/>
          <w:color w:val="auto"/>
        </w:rPr>
        <w:t>Schedule 3.1(cc)</w:t>
      </w:r>
      <w:r>
        <w:rPr>
          <w:rFonts w:ascii="Arial" w:cs="Arial" w:eastAsia="Arial" w:hAnsi="Arial"/>
          <w:sz w:val="17"/>
          <w:szCs w:val="17"/>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2018. There are no disagreements of any kind presently existing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8" w:lineRule="exact"/>
        <w:rPr>
          <w:rFonts w:ascii="Arial" w:cs="Arial" w:eastAsia="Arial" w:hAnsi="Arial"/>
          <w:sz w:val="17"/>
          <w:szCs w:val="17"/>
          <w:color w:val="auto"/>
        </w:rPr>
      </w:pPr>
    </w:p>
    <w:p>
      <w:pPr>
        <w:jc w:val="both"/>
        <w:ind w:left="-540" w:firstLine="645"/>
        <w:spacing w:after="0" w:line="254" w:lineRule="auto"/>
        <w:tabs>
          <w:tab w:leader="none" w:pos="107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Purchase of Securities</w:t>
      </w:r>
      <w:r>
        <w:rPr>
          <w:rFonts w:ascii="Arial" w:cs="Arial" w:eastAsia="Arial" w:hAnsi="Arial"/>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rFonts w:ascii="Arial" w:cs="Arial" w:eastAsia="Arial" w:hAnsi="Arial"/>
          <w:sz w:val="18"/>
          <w:szCs w:val="18"/>
          <w:color w:val="auto"/>
        </w:rPr>
      </w:pPr>
    </w:p>
    <w:p>
      <w:pPr>
        <w:jc w:val="both"/>
        <w:ind w:left="-540" w:firstLine="645"/>
        <w:spacing w:after="0" w:line="268" w:lineRule="auto"/>
        <w:tabs>
          <w:tab w:leader="none" w:pos="1009"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 4.16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Underlying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 The Company acknowledges that anything to the contrary in the Transaction Documents notwithstanding, Purchaser may sell long any Underlying Shares it anticipates receiving after conversion of any part of a Note or exercise of a Warrant.</w:t>
      </w:r>
    </w:p>
    <w:p>
      <w:pPr>
        <w:spacing w:after="0" w:line="183" w:lineRule="exact"/>
        <w:rPr>
          <w:rFonts w:ascii="Arial" w:cs="Arial" w:eastAsia="Arial" w:hAnsi="Arial"/>
          <w:sz w:val="17"/>
          <w:szCs w:val="17"/>
          <w:color w:val="auto"/>
        </w:rPr>
      </w:pPr>
    </w:p>
    <w:p>
      <w:pPr>
        <w:jc w:val="both"/>
        <w:ind w:left="-540" w:firstLine="645"/>
        <w:spacing w:after="0" w:line="302" w:lineRule="auto"/>
        <w:tabs>
          <w:tab w:leader="none" w:pos="885"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37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10" w:name="page211"/>
    <w:bookmarkEnd w:id="210"/>
    <w:p>
      <w:pPr>
        <w:jc w:val="both"/>
        <w:ind w:left="-540" w:firstLine="645"/>
        <w:spacing w:after="0" w:line="297" w:lineRule="auto"/>
        <w:tabs>
          <w:tab w:leader="none" w:pos="86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58" w:lineRule="exact"/>
        <w:rPr>
          <w:rFonts w:ascii="Arial" w:cs="Arial" w:eastAsia="Arial" w:hAnsi="Arial"/>
          <w:sz w:val="16"/>
          <w:szCs w:val="16"/>
          <w:color w:val="auto"/>
        </w:rPr>
      </w:pPr>
    </w:p>
    <w:p>
      <w:pPr>
        <w:jc w:val="both"/>
        <w:ind w:left="-540" w:firstLine="645"/>
        <w:spacing w:after="0" w:line="273" w:lineRule="auto"/>
        <w:tabs>
          <w:tab w:leader="none" w:pos="84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and similar security granted by the Company was granted (i) in accordance with the terms of such any applicable stock option plans and (ii) with an exercise price at least equal to the fair market value of the Common Stock on the date such stock option would be considered granted under GAAP and applicable law. No stock option granted under any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8" w:lineRule="exact"/>
        <w:rPr>
          <w:rFonts w:ascii="Arial" w:cs="Arial" w:eastAsia="Arial" w:hAnsi="Arial"/>
          <w:sz w:val="17"/>
          <w:szCs w:val="17"/>
          <w:color w:val="auto"/>
        </w:rPr>
      </w:pPr>
    </w:p>
    <w:p>
      <w:pPr>
        <w:jc w:val="both"/>
        <w:ind w:left="-540" w:firstLine="645"/>
        <w:spacing w:after="0" w:line="264" w:lineRule="auto"/>
        <w:tabs>
          <w:tab w:leader="none" w:pos="74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540" w:firstLine="645"/>
        <w:spacing w:after="0" w:line="286" w:lineRule="auto"/>
        <w:tabs>
          <w:tab w:leader="none" w:pos="733"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65" w:lineRule="exact"/>
        <w:rPr>
          <w:rFonts w:ascii="Arial" w:cs="Arial" w:eastAsia="Arial" w:hAnsi="Arial"/>
          <w:sz w:val="17"/>
          <w:szCs w:val="17"/>
          <w:color w:val="auto"/>
        </w:rPr>
      </w:pPr>
    </w:p>
    <w:p>
      <w:pPr>
        <w:jc w:val="both"/>
        <w:ind w:left="-540" w:firstLine="645"/>
        <w:spacing w:after="0" w:line="264" w:lineRule="auto"/>
        <w:tabs>
          <w:tab w:leader="none" w:pos="921"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w:t>
      </w:r>
    </w:p>
    <w:p>
      <w:pPr>
        <w:spacing w:after="0" w:line="181" w:lineRule="exact"/>
        <w:rPr>
          <w:rFonts w:ascii="Arial" w:cs="Arial" w:eastAsia="Arial" w:hAnsi="Arial"/>
          <w:sz w:val="18"/>
          <w:szCs w:val="18"/>
          <w:color w:val="auto"/>
        </w:rPr>
      </w:pPr>
    </w:p>
    <w:p>
      <w:pPr>
        <w:jc w:val="both"/>
        <w:ind w:left="-540" w:firstLine="645"/>
        <w:spacing w:after="0" w:line="257" w:lineRule="auto"/>
        <w:tabs>
          <w:tab w:leader="none" w:pos="77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Indebtedness and Seniority</w:t>
      </w:r>
      <w:r>
        <w:rPr>
          <w:rFonts w:ascii="Arial" w:cs="Arial" w:eastAsia="Arial" w:hAnsi="Arial"/>
          <w:sz w:val="18"/>
          <w:szCs w:val="18"/>
          <w:color w:val="auto"/>
        </w:rPr>
        <w:t xml:space="preserve">. As of the date hereof, all Indebtedness of the Company and the principal terms thereof are set forth in the SEC Reports. Except as set forth on </w:t>
      </w:r>
      <w:r>
        <w:rPr>
          <w:rFonts w:ascii="Arial" w:cs="Arial" w:eastAsia="Arial" w:hAnsi="Arial"/>
          <w:sz w:val="18"/>
          <w:szCs w:val="18"/>
          <w:u w:val="single" w:color="auto"/>
          <w:color w:val="auto"/>
        </w:rPr>
        <w:t>Schedule 3.1(ll)</w:t>
      </w:r>
      <w:r>
        <w:rPr>
          <w:rFonts w:ascii="Arial" w:cs="Arial" w:eastAsia="Arial" w:hAnsi="Arial"/>
          <w:sz w:val="18"/>
          <w:szCs w:val="18"/>
          <w:color w:val="auto"/>
        </w:rPr>
        <w:t xml:space="preserve">, as of the Closing Date, no Indebtedness or other equity of the Company is or will be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or senior to the Notes in right of payment, whether with respect to interest or upon liquidation or dissolution, or otherwise,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secured by purchase money security interests (which is senior only as to underlying assets covered thereby) and capital lease obligations (which is senior only as to the property covered thereby).</w:t>
      </w:r>
    </w:p>
    <w:p>
      <w:pPr>
        <w:spacing w:after="0" w:line="188" w:lineRule="exact"/>
        <w:rPr>
          <w:rFonts w:ascii="Arial" w:cs="Arial" w:eastAsia="Arial" w:hAnsi="Arial"/>
          <w:sz w:val="18"/>
          <w:szCs w:val="18"/>
          <w:color w:val="auto"/>
        </w:rPr>
      </w:pPr>
    </w:p>
    <w:p>
      <w:pPr>
        <w:jc w:val="both"/>
        <w:ind w:left="-540" w:firstLine="645"/>
        <w:spacing w:after="0" w:line="279" w:lineRule="auto"/>
        <w:tabs>
          <w:tab w:leader="none" w:pos="75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xml:space="preserve">. The Common Stock is listed on the Nasdaq Capital Market under the symbol “XSPA.” Except as set forth on </w:t>
      </w:r>
      <w:r>
        <w:rPr>
          <w:rFonts w:ascii="Arial" w:cs="Arial" w:eastAsia="Arial" w:hAnsi="Arial"/>
          <w:sz w:val="17"/>
          <w:szCs w:val="17"/>
          <w:u w:val="single" w:color="auto"/>
          <w:color w:val="auto"/>
        </w:rPr>
        <w:t>Section 3.1(mm)</w:t>
      </w:r>
      <w:r>
        <w:rPr>
          <w:rFonts w:ascii="Arial" w:cs="Arial" w:eastAsia="Arial" w:hAnsi="Arial"/>
          <w:sz w:val="17"/>
          <w:szCs w:val="17"/>
          <w:color w:val="auto"/>
        </w:rPr>
        <w:t xml:space="preserve"> of the Disclosure Schedules or disclosed in the SEC Reports,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w:t>
      </w:r>
    </w:p>
    <w:p>
      <w:pPr>
        <w:spacing w:after="0" w:line="3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1" w:right="239" w:bottom="1440" w:gutter="0" w:footer="0" w:header="0"/>
        </w:sectPr>
      </w:pPr>
    </w:p>
    <w:bookmarkStart w:id="211" w:name="page212"/>
    <w:bookmarkEnd w:id="211"/>
    <w:p>
      <w:pPr>
        <w:ind w:left="2000" w:hanging="695"/>
        <w:spacing w:after="0"/>
        <w:tabs>
          <w:tab w:leader="none" w:pos="200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FDA</w:t>
      </w:r>
      <w:r>
        <w:rPr>
          <w:rFonts w:ascii="Arial" w:cs="Arial" w:eastAsia="Arial" w:hAnsi="Arial"/>
          <w:sz w:val="18"/>
          <w:szCs w:val="18"/>
          <w:color w:val="auto"/>
        </w:rPr>
        <w:t>. The Company has no products subject to the jurisdiction of the U.S. Food and Drug Administration.</w:t>
      </w:r>
    </w:p>
    <w:p>
      <w:pPr>
        <w:spacing w:after="0" w:line="225" w:lineRule="exact"/>
        <w:rPr>
          <w:rFonts w:ascii="Arial" w:cs="Arial" w:eastAsia="Arial" w:hAnsi="Arial"/>
          <w:sz w:val="18"/>
          <w:szCs w:val="18"/>
          <w:color w:val="auto"/>
        </w:rPr>
      </w:pPr>
    </w:p>
    <w:p>
      <w:pPr>
        <w:jc w:val="both"/>
        <w:ind w:left="660" w:firstLine="645"/>
        <w:spacing w:after="0" w:line="270" w:lineRule="auto"/>
        <w:tabs>
          <w:tab w:leader="none" w:pos="204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No Disqualification Events</w:t>
      </w:r>
      <w:r>
        <w:rPr>
          <w:rFonts w:ascii="Arial" w:cs="Arial" w:eastAsia="Arial" w:hAnsi="Arial"/>
          <w:sz w:val="17"/>
          <w:szCs w:val="17"/>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7"/>
          <w:szCs w:val="17"/>
          <w:u w:val="single" w:color="auto"/>
          <w:color w:val="auto"/>
        </w:rPr>
        <w:t>Issuer Covered Person</w:t>
      </w:r>
      <w:r>
        <w:rPr>
          <w:rFonts w:ascii="Arial" w:cs="Arial" w:eastAsia="Arial" w:hAnsi="Arial"/>
          <w:sz w:val="17"/>
          <w:szCs w:val="17"/>
          <w:color w:val="auto"/>
        </w:rPr>
        <w:t>” and, together, “</w:t>
      </w:r>
      <w:r>
        <w:rPr>
          <w:rFonts w:ascii="Arial" w:cs="Arial" w:eastAsia="Arial" w:hAnsi="Arial"/>
          <w:sz w:val="17"/>
          <w:szCs w:val="17"/>
          <w:u w:val="single" w:color="auto"/>
          <w:color w:val="auto"/>
        </w:rPr>
        <w:t>Issuer Covered Persons</w:t>
      </w:r>
      <w:r>
        <w:rPr>
          <w:rFonts w:ascii="Arial" w:cs="Arial" w:eastAsia="Arial" w:hAnsi="Arial"/>
          <w:sz w:val="17"/>
          <w:szCs w:val="17"/>
          <w:color w:val="auto"/>
        </w:rPr>
        <w:t>”) is subject to any of the “Bad Actor” disqualifications described in Rule 506(d)(1)(i) to (viii) under the Securities Act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1" w:lineRule="exact"/>
        <w:rPr>
          <w:rFonts w:ascii="Arial" w:cs="Arial" w:eastAsia="Arial" w:hAnsi="Arial"/>
          <w:sz w:val="17"/>
          <w:szCs w:val="17"/>
          <w:color w:val="auto"/>
        </w:rPr>
      </w:pPr>
    </w:p>
    <w:p>
      <w:pPr>
        <w:ind w:left="660" w:firstLine="645"/>
        <w:spacing w:after="0" w:line="342" w:lineRule="auto"/>
        <w:tabs>
          <w:tab w:leader="none" w:pos="204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Regulatory Matters.</w:t>
      </w:r>
      <w:r>
        <w:rPr>
          <w:rFonts w:ascii="Arial" w:cs="Arial" w:eastAsia="Arial" w:hAnsi="Arial"/>
          <w:sz w:val="16"/>
          <w:szCs w:val="16"/>
          <w:color w:val="auto"/>
        </w:rPr>
        <w:t xml:space="preserve"> The Company and its Subsidiaries have complied in all material respects with all statutes and regulations related to the research, manufacture and sale of its products to the extent applicable to the Company’s and its Subsidiaries’ activities.</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204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3.1(s)</w:t>
      </w:r>
      <w:r>
        <w:rPr>
          <w:rFonts w:ascii="Arial" w:cs="Arial" w:eastAsia="Arial" w:hAnsi="Arial"/>
          <w:sz w:val="18"/>
          <w:szCs w:val="18"/>
          <w:color w:val="auto"/>
        </w:rPr>
        <w:t xml:space="preserve"> or to attorneys for legal services, the Company is not aware of any person that has been or will be paid (directly or indirectly) remuneration in connection with the sale of any Regulation D Securities pursuant to this Agreement.</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214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 Outstanding Variable Priced Equity Linked Instruments</w:t>
      </w:r>
      <w:r>
        <w:rPr>
          <w:rFonts w:ascii="Arial" w:cs="Arial" w:eastAsia="Arial" w:hAnsi="Arial"/>
          <w:sz w:val="18"/>
          <w:szCs w:val="18"/>
          <w:color w:val="auto"/>
        </w:rPr>
        <w:t>. As of the Closing Date and for so long as Notes or Warrants are outstanding, the Company will not have outstanding nor issuable any Variable Priced Equity Linked Instruments, nor any debt or equity with anti-dilution, ratchet or reset rights except for the Securities.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foregoing representations and warranties shall survive the Closing.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w:t>
      </w:r>
    </w:p>
    <w:p>
      <w:pPr>
        <w:spacing w:after="0" w:line="170" w:lineRule="exact"/>
        <w:rPr>
          <w:sz w:val="20"/>
          <w:szCs w:val="20"/>
          <w:color w:val="auto"/>
        </w:rPr>
      </w:pPr>
    </w:p>
    <w:p>
      <w:pPr>
        <w:jc w:val="both"/>
        <w:ind w:left="660" w:firstLine="645"/>
        <w:spacing w:after="0" w:line="269" w:lineRule="auto"/>
        <w:tabs>
          <w:tab w:leader="none" w:pos="2053"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2" w:name="page213"/>
    <w:bookmarkEnd w:id="212"/>
    <w:p>
      <w:pPr>
        <w:jc w:val="both"/>
        <w:ind w:firstLine="645"/>
        <w:spacing w:after="0" w:line="271" w:lineRule="auto"/>
        <w:tabs>
          <w:tab w:leader="none" w:pos="147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any registration statement or otherwise in compliance with applicable federal and state securities laws). Such Purchaser is acquiring the Securities hereunder in the ordinary course of its business.</w:t>
      </w:r>
    </w:p>
    <w:p>
      <w:pPr>
        <w:spacing w:after="0" w:line="178" w:lineRule="exact"/>
        <w:rPr>
          <w:rFonts w:ascii="Arial" w:cs="Arial" w:eastAsia="Arial" w:hAnsi="Arial"/>
          <w:sz w:val="17"/>
          <w:szCs w:val="17"/>
          <w:color w:val="auto"/>
        </w:rPr>
      </w:pPr>
    </w:p>
    <w:p>
      <w:pPr>
        <w:jc w:val="both"/>
        <w:ind w:firstLine="645"/>
        <w:spacing w:after="0" w:line="291" w:lineRule="auto"/>
        <w:tabs>
          <w:tab w:leader="none" w:pos="1325"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Warrants or converts any Notes it will be either: (i) an accredited investor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as defined in Rule 501(a)</w:t>
      </w: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 (a)(2), (a)(3), (a)(7) or (a)(8) under the Securities Act or (ii) a “qualified institutional buyer” as defined in Rule 144A(a) under the Securities Act. Such Purchaser is not required to be registered as a broker-dealer under Section 15 of the Exchange Act. Such Purchaser has the authority and is duly and legally qualified to purchase and own the Securities. Such Purchaser is able to bear the risk of such investment for an indefinite period and to afford a complete loss thereof. Such Purchaser has provided the information in the Accredited Investor Questionnaire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Investor Questionnaire</w:t>
      </w:r>
      <w:r>
        <w:rPr>
          <w:rFonts w:ascii="Arial" w:cs="Arial" w:eastAsia="Arial" w:hAnsi="Arial"/>
          <w:sz w:val="17"/>
          <w:szCs w:val="17"/>
          <w:color w:val="auto"/>
        </w:rPr>
        <w:t>”). The information set forth on the signature pages hereto and the Investor Questionnaire regarding such Purchaser is true and complete in all respects. Except as disclosed in the Investor Questionnaire, such Purchaser has had no position, office or other material relationship within the past three years with the Company or Persons (as defined below) known to such Purchaser to be affiliates of the Company, and is not a member of the Financial Industry Regulatory Authority or an “associated person” (as such term is defined under the FINRA Membership and Registration Rules Section 1011).</w:t>
      </w:r>
    </w:p>
    <w:p>
      <w:pPr>
        <w:spacing w:after="0" w:line="182" w:lineRule="exact"/>
        <w:rPr>
          <w:rFonts w:ascii="Arial" w:cs="Arial" w:eastAsia="Arial" w:hAnsi="Arial"/>
          <w:sz w:val="16"/>
          <w:szCs w:val="16"/>
          <w:color w:val="auto"/>
        </w:rPr>
      </w:pPr>
    </w:p>
    <w:p>
      <w:pPr>
        <w:jc w:val="both"/>
        <w:ind w:firstLine="645"/>
        <w:spacing w:after="0" w:line="259" w:lineRule="auto"/>
        <w:tabs>
          <w:tab w:leader="none" w:pos="1713"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1" w:right="239" w:bottom="1440" w:gutter="0" w:footer="0" w:header="0"/>
        </w:sectPr>
      </w:pPr>
    </w:p>
    <w:bookmarkStart w:id="213" w:name="page214"/>
    <w:bookmarkEnd w:id="213"/>
    <w:p>
      <w:pPr>
        <w:jc w:val="both"/>
        <w:ind w:left="4" w:firstLine="645"/>
        <w:spacing w:after="0" w:line="269" w:lineRule="auto"/>
        <w:tabs>
          <w:tab w:leader="none" w:pos="1477"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Information on Company</w:t>
      </w:r>
      <w:r>
        <w:rPr>
          <w:rFonts w:ascii="Arial" w:cs="Arial" w:eastAsia="Arial" w:hAnsi="Arial"/>
          <w:sz w:val="17"/>
          <w:szCs w:val="17"/>
          <w:color w:val="auto"/>
        </w:rPr>
        <w:t>. Such Purchaser has been furnished with or has had access to the SEC Reports. Purchasers are not deemed to have any knowledge of any information not included in the SEC Reports unless such information is delivered in the manner described in the next sentence. In addition, such Purchaser may have received in writing from the Company such other information concerning its operations, financial condition and other matters as such Purchaser has requested, identified thereon as OTHER WRITTEN INFORMATION (such other information is collectively, the “</w:t>
      </w:r>
      <w:r>
        <w:rPr>
          <w:rFonts w:ascii="Arial" w:cs="Arial" w:eastAsia="Arial" w:hAnsi="Arial"/>
          <w:sz w:val="17"/>
          <w:szCs w:val="17"/>
          <w:i w:val="1"/>
          <w:iCs w:val="1"/>
          <w:color w:val="auto"/>
        </w:rPr>
        <w:t>Other Written Information</w:t>
      </w:r>
      <w:r>
        <w:rPr>
          <w:rFonts w:ascii="Arial" w:cs="Arial" w:eastAsia="Arial" w:hAnsi="Arial"/>
          <w:sz w:val="17"/>
          <w:szCs w:val="17"/>
          <w:color w:val="auto"/>
        </w:rPr>
        <w:t>”), and considered all factors such Purchaser deems material in deciding on the advisability of investing in the Securities. Such Purchaser was afforded (i) the opportunity to ask such questions as such Purchaser deemed necessary of, and to receive answers from, representatives of the Company concerning the merits and risks of acquiring the Securities; (ii) the right of access to information about the Company and its financial condition, results of operations, business, properties, management and prospects sufficient to enable such Purchaser to evaluate the Securities; and (iii) the opportunity to obtain such additional information that the Company possesses or can acquire without unreasonable effort or expense that is necessary to make an informed investment decision with respect to acquiring the Securities.</w:t>
      </w:r>
    </w:p>
    <w:p>
      <w:pPr>
        <w:spacing w:after="0" w:line="182" w:lineRule="exact"/>
        <w:rPr>
          <w:rFonts w:ascii="Arial" w:cs="Arial" w:eastAsia="Arial" w:hAnsi="Arial"/>
          <w:sz w:val="17"/>
          <w:szCs w:val="17"/>
          <w:color w:val="auto"/>
        </w:rPr>
      </w:pPr>
    </w:p>
    <w:p>
      <w:pPr>
        <w:jc w:val="both"/>
        <w:ind w:left="4" w:firstLine="645"/>
        <w:spacing w:after="0" w:line="271" w:lineRule="auto"/>
        <w:tabs>
          <w:tab w:leader="none" w:pos="1295"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Act; Reliance on Exemptions</w:t>
      </w:r>
      <w:r>
        <w:rPr>
          <w:rFonts w:ascii="Arial" w:cs="Arial" w:eastAsia="Arial" w:hAnsi="Arial"/>
          <w:sz w:val="17"/>
          <w:szCs w:val="17"/>
          <w:color w:val="auto"/>
        </w:rPr>
        <w:t>. Such Purchaser understands and agrees that the Securities have not been registered under the Securities Act or any applicable state securities laws, by reason of their issuance in a transaction that does not require registration under the Securities Act, and that such Securities must be held indefinitely unless a subsequent disposition is registered under the Securities Act or any applicable state securities laws or is exempt from such registration. Such Purchaser understands and agrees that the Securities are being offered and sold to such Purchaser in reliance on specific exemptions from the registration requirements of United States federal and state securities laws and regulations and that the Company is relying in part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w:t>
      </w:r>
    </w:p>
    <w:p>
      <w:pPr>
        <w:spacing w:after="0" w:line="178" w:lineRule="exact"/>
        <w:rPr>
          <w:rFonts w:ascii="Arial" w:cs="Arial" w:eastAsia="Arial" w:hAnsi="Arial"/>
          <w:sz w:val="17"/>
          <w:szCs w:val="17"/>
          <w:color w:val="auto"/>
        </w:rPr>
      </w:pPr>
    </w:p>
    <w:p>
      <w:pPr>
        <w:jc w:val="both"/>
        <w:ind w:left="4" w:firstLine="645"/>
        <w:spacing w:after="0" w:line="259" w:lineRule="auto"/>
        <w:tabs>
          <w:tab w:leader="none" w:pos="1474"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Communication of Offer</w:t>
      </w:r>
      <w:r>
        <w:rPr>
          <w:rFonts w:ascii="Arial" w:cs="Arial" w:eastAsia="Arial" w:hAnsi="Arial"/>
          <w:sz w:val="18"/>
          <w:szCs w:val="18"/>
          <w:color w:val="auto"/>
        </w:rPr>
        <w:t>. Such Purchaser is not purchasing the Securities as a result of any “general solicitation” or “general advertising,” as such terms are defined in Regulation D, which includes, but is not limited to, any advertisement, article, notice or other communication regarding the Securities published in any newspaper, magazine or similar media or on the internet or broadcast over television, radio or the internet or presented at any seminar or any other general solicitation or general advertisement.</w:t>
      </w:r>
    </w:p>
    <w:p>
      <w:pPr>
        <w:spacing w:after="0" w:line="186" w:lineRule="exact"/>
        <w:rPr>
          <w:rFonts w:ascii="Arial" w:cs="Arial" w:eastAsia="Arial" w:hAnsi="Arial"/>
          <w:sz w:val="18"/>
          <w:szCs w:val="18"/>
          <w:color w:val="auto"/>
        </w:rPr>
      </w:pPr>
    </w:p>
    <w:p>
      <w:pPr>
        <w:jc w:val="both"/>
        <w:ind w:left="4" w:firstLine="645"/>
        <w:spacing w:after="0" w:line="264" w:lineRule="auto"/>
        <w:tabs>
          <w:tab w:leader="none" w:pos="1339"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Such Purchaser understands that no United States federal or state agency or any other governmental or state agency has passed on or made recommendations or endorsement of the Securities or the suitability of the investment in the Securities nor have such authorities passed upon or endorsed the merits of the Offering.</w:t>
      </w:r>
    </w:p>
    <w:p>
      <w:pPr>
        <w:spacing w:after="0" w:line="181" w:lineRule="exact"/>
        <w:rPr>
          <w:rFonts w:ascii="Arial" w:cs="Arial" w:eastAsia="Arial" w:hAnsi="Arial"/>
          <w:sz w:val="18"/>
          <w:szCs w:val="18"/>
          <w:color w:val="auto"/>
        </w:rPr>
      </w:pPr>
    </w:p>
    <w:p>
      <w:pPr>
        <w:jc w:val="both"/>
        <w:ind w:left="4" w:firstLine="645"/>
        <w:spacing w:after="0" w:line="286" w:lineRule="auto"/>
        <w:tabs>
          <w:tab w:leader="none" w:pos="1272"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w:t>
      </w:r>
    </w:p>
    <w:p>
      <w:pPr>
        <w:spacing w:after="0" w:line="1" w:lineRule="exact"/>
        <w:rPr>
          <w:rFonts w:ascii="Arial" w:cs="Arial" w:eastAsia="Arial" w:hAnsi="Arial"/>
          <w:sz w:val="16"/>
          <w:szCs w:val="16"/>
          <w:color w:val="auto"/>
        </w:rPr>
      </w:pPr>
    </w:p>
    <w:p>
      <w:pPr>
        <w:jc w:val="both"/>
        <w:ind w:left="4" w:hanging="4"/>
        <w:spacing w:after="0" w:line="290" w:lineRule="auto"/>
        <w:tabs>
          <w:tab w:leader="none" w:pos="3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380"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1" w:right="239" w:bottom="1440" w:gutter="0" w:footer="0" w:header="0"/>
        </w:sectPr>
      </w:pPr>
    </w:p>
    <w:bookmarkStart w:id="214" w:name="page215"/>
    <w:bookmarkEnd w:id="214"/>
    <w:p>
      <w:pPr>
        <w:jc w:val="both"/>
        <w:ind w:left="660" w:firstLine="645"/>
        <w:spacing w:after="0" w:line="257" w:lineRule="auto"/>
        <w:tabs>
          <w:tab w:leader="none" w:pos="2009"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Other than consummating the transactions contemplated hereunder, such Purchaser has not directly or indirectly, nor has any Person acting on behalf of or pursuant to any understanding with such Purchaser, executed any purchases or sales, including Short Sales, of the securities of the Company during the period commencing as of the time that such Purchaser first received a written term sheet from the Company or any other Person representing the Company setting forth the material terms of the transactions contemplated hereby and ending immediately prior to the execution hereof.</w:t>
      </w:r>
    </w:p>
    <w:p>
      <w:pPr>
        <w:spacing w:after="0" w:line="188" w:lineRule="exact"/>
        <w:rPr>
          <w:rFonts w:ascii="Arial" w:cs="Arial" w:eastAsia="Arial" w:hAnsi="Arial"/>
          <w:sz w:val="18"/>
          <w:szCs w:val="18"/>
          <w:color w:val="auto"/>
        </w:rPr>
      </w:pPr>
    </w:p>
    <w:p>
      <w:pPr>
        <w:jc w:val="both"/>
        <w:ind w:left="660" w:firstLine="645"/>
        <w:spacing w:after="0" w:line="279" w:lineRule="auto"/>
        <w:tabs>
          <w:tab w:leader="none" w:pos="1995"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Non-Affiliate Status</w:t>
      </w:r>
      <w:r>
        <w:rPr>
          <w:rFonts w:ascii="Arial" w:cs="Arial" w:eastAsia="Arial" w:hAnsi="Arial"/>
          <w:sz w:val="17"/>
          <w:szCs w:val="17"/>
          <w:color w:val="auto"/>
        </w:rPr>
        <w:t>. The Purchaser represents and warrants that: (i) it is not an “affiliate” of the Company as such term is defined in Rule 405 promulgated under the Securities Act or Rule 12b-2 promulgated under the Exchange Act; (ii) during the last six months the Purchaser has not engaged in any transactions in violation of Section 16 of the Exchange Act; and (iii) the consummation of the transactions contemplated hereby will not result in any violation of Section 16 of the Exchange Act by the Purchaser.</w:t>
      </w:r>
    </w:p>
    <w:p>
      <w:pPr>
        <w:spacing w:after="0" w:line="171" w:lineRule="exact"/>
        <w:rPr>
          <w:rFonts w:ascii="Arial" w:cs="Arial" w:eastAsia="Arial" w:hAnsi="Arial"/>
          <w:sz w:val="17"/>
          <w:szCs w:val="17"/>
          <w:color w:val="auto"/>
        </w:rPr>
      </w:pPr>
    </w:p>
    <w:p>
      <w:pPr>
        <w:ind w:left="1920" w:hanging="615"/>
        <w:spacing w:after="0"/>
        <w:tabs>
          <w:tab w:leader="none" w:pos="192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foregoing representations and warranties shall survive the Closing.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560" w:type="dxa"/>
            <w:vAlign w:val="bottom"/>
          </w:tcPr>
          <w:p>
            <w:pPr>
              <w:jc w:val="center"/>
              <w:ind w:right="1710"/>
              <w:spacing w:after="0"/>
              <w:rPr>
                <w:sz w:val="20"/>
                <w:szCs w:val="20"/>
                <w:color w:val="auto"/>
              </w:rPr>
            </w:pPr>
            <w:r>
              <w:rPr>
                <w:rFonts w:ascii="Arial" w:cs="Arial" w:eastAsia="Arial" w:hAnsi="Arial"/>
                <w:sz w:val="18"/>
                <w:szCs w:val="18"/>
                <w:b w:val="1"/>
                <w:bCs w:val="1"/>
                <w:color w:val="auto"/>
              </w:rPr>
              <w:t>ARTICLE IV.</w:t>
            </w:r>
          </w:p>
        </w:tc>
      </w:tr>
      <w:tr>
        <w:trPr>
          <w:trHeight w:val="234"/>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60" w:type="dxa"/>
            <w:vAlign w:val="bottom"/>
          </w:tcPr>
          <w:p>
            <w:pPr>
              <w:jc w:val="center"/>
              <w:ind w:right="1730"/>
              <w:spacing w:after="0"/>
              <w:rPr>
                <w:sz w:val="20"/>
                <w:szCs w:val="20"/>
                <w:color w:val="auto"/>
              </w:rPr>
            </w:pPr>
            <w:r>
              <w:rPr>
                <w:rFonts w:ascii="Arial" w:cs="Arial" w:eastAsia="Arial" w:hAnsi="Arial"/>
                <w:sz w:val="18"/>
                <w:szCs w:val="18"/>
                <w:b w:val="1"/>
                <w:bCs w:val="1"/>
                <w:color w:val="auto"/>
              </w:rPr>
              <w:t>OTHER AGREEMENTS OF THE PARTIES</w:t>
            </w:r>
          </w:p>
        </w:tc>
      </w:tr>
      <w:tr>
        <w:trPr>
          <w:trHeight w:val="432"/>
        </w:trPr>
        <w:tc>
          <w:tcPr>
            <w:tcW w:w="480" w:type="dxa"/>
            <w:vAlign w:val="bottom"/>
          </w:tcPr>
          <w:p>
            <w:pPr>
              <w:jc w:val="right"/>
              <w:ind w:right="170"/>
              <w:spacing w:after="0"/>
              <w:rPr>
                <w:sz w:val="20"/>
                <w:szCs w:val="20"/>
                <w:color w:val="auto"/>
              </w:rPr>
            </w:pPr>
            <w:r>
              <w:rPr>
                <w:rFonts w:ascii="Arial" w:cs="Arial" w:eastAsia="Arial" w:hAnsi="Arial"/>
                <w:sz w:val="18"/>
                <w:szCs w:val="18"/>
                <w:color w:val="auto"/>
                <w:w w:val="79"/>
              </w:rPr>
              <w:t>4.1</w:t>
            </w: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9560" w:type="dxa"/>
            <w:vAlign w:val="bottom"/>
          </w:tcPr>
          <w:p>
            <w:pPr>
              <w:ind w:left="240"/>
              <w:spacing w:after="0"/>
              <w:rPr>
                <w:sz w:val="20"/>
                <w:szCs w:val="20"/>
                <w:color w:val="auto"/>
              </w:rPr>
            </w:pPr>
            <w:r>
              <w:rPr>
                <w:rFonts w:ascii="Arial" w:cs="Arial" w:eastAsia="Arial" w:hAnsi="Arial"/>
                <w:sz w:val="18"/>
                <w:szCs w:val="18"/>
                <w:u w:val="single" w:color="auto"/>
                <w:color w:val="auto"/>
                <w:w w:val="91"/>
              </w:rPr>
              <w:t>Transfer Restrictions</w:t>
            </w:r>
            <w:r>
              <w:rPr>
                <w:rFonts w:ascii="Arial" w:cs="Arial" w:eastAsia="Arial" w:hAnsi="Arial"/>
                <w:sz w:val="18"/>
                <w:szCs w:val="18"/>
                <w:color w:val="auto"/>
                <w:w w:val="91"/>
              </w:rPr>
              <w:t>. The Securities may only be disposed of in compliance with state and federal securities laws. In connection</w:t>
            </w:r>
          </w:p>
        </w:tc>
      </w:tr>
    </w:tbl>
    <w:p>
      <w:pPr>
        <w:jc w:val="both"/>
        <w:ind w:left="660"/>
        <w:spacing w:after="0" w:line="252" w:lineRule="auto"/>
        <w:rPr>
          <w:sz w:val="20"/>
          <w:szCs w:val="20"/>
          <w:color w:val="auto"/>
        </w:rPr>
      </w:pPr>
      <w:r>
        <w:rPr>
          <w:rFonts w:ascii="Arial" w:cs="Arial" w:eastAsia="Arial" w:hAnsi="Arial"/>
          <w:sz w:val="18"/>
          <w:szCs w:val="18"/>
          <w:color w:val="auto"/>
        </w:rPr>
        <w:t>with any transfer of Securities other than pursuant to an effective registration statement or Rule 144, to the Company or to an Affiliate of a Purchaser or in connection with a pledge as contemplated in Section 4.1(c), the Company may require the transferor thereof to provide to the Company, at the Company’s expense,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such transfer, any such transferee shall agree in writing to be bound by the terms of this Agreement and the Registration Rights Agreement and shall have the rights and obligations of a Purchaser under this Agreement and the other Transaction Documents.</w:t>
      </w:r>
    </w:p>
    <w:p>
      <w:pPr>
        <w:spacing w:after="0" w:line="193" w:lineRule="exact"/>
        <w:rPr>
          <w:sz w:val="20"/>
          <w:szCs w:val="20"/>
          <w:color w:val="auto"/>
        </w:rPr>
      </w:pPr>
    </w:p>
    <w:p>
      <w:pPr>
        <w:ind w:left="660" w:firstLine="645"/>
        <w:spacing w:after="0" w:line="277" w:lineRule="auto"/>
        <w:tabs>
          <w:tab w:leader="none" w:pos="2022"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Purchasers agree to the imprinting, so long as is required by this Section 4.1, of a legend on any of the Securities in the following form: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5" w:name="page216"/>
    <w:bookmarkEnd w:id="215"/>
    <w:p>
      <w:pPr>
        <w:jc w:val="both"/>
        <w:spacing w:after="0" w:line="252" w:lineRule="auto"/>
        <w:rPr>
          <w:sz w:val="20"/>
          <w:szCs w:val="20"/>
          <w:color w:val="auto"/>
        </w:rPr>
      </w:pPr>
      <w:r>
        <w:rPr>
          <w:rFonts w:ascii="Arial" w:cs="Arial" w:eastAsia="Arial" w:hAnsi="Arial"/>
          <w:sz w:val="18"/>
          <w:szCs w:val="18"/>
          <w:color w:val="auto"/>
        </w:rPr>
        <w:t>[NEITHER] THIS SECURITY [NOR THE SECURITIES INTO WHICH THIS SECURITY IS [EXERCISABLE] [CONVERTIBLE]] HAS [NOT] BEEN REGISTERED WITH THE SECURITIES AND EXCHANGE COMMISSION OR THE SECURITIES COMMISSION OF ANY STATE IN RELIANCE UPON AN EXEMPTION FROM REGISTRATION UNDER THE SECURITIES ACT OF 1933, AS AMENDED (THE “SECURITIES ACT”) AND APPLICABLE STATE SECURITIES LAWS,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TO THE EXTENT PERMITTED BY APPLICABLE SECURITIES LAWS, THIS SECURITY [AND THE SECURITIES ISSUABLE UPON [EXERCISE]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00" w:lineRule="exact"/>
        <w:rPr>
          <w:sz w:val="20"/>
          <w:szCs w:val="20"/>
          <w:color w:val="auto"/>
        </w:rPr>
      </w:pPr>
    </w:p>
    <w:p>
      <w:pPr>
        <w:jc w:val="both"/>
        <w:ind w:firstLine="645"/>
        <w:spacing w:after="0" w:line="270" w:lineRule="auto"/>
        <w:tabs>
          <w:tab w:leader="none" w:pos="1406"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Pledge</w:t>
      </w:r>
      <w:r>
        <w:rPr>
          <w:rFonts w:ascii="Arial" w:cs="Arial" w:eastAsia="Arial" w:hAnsi="Arial"/>
          <w:sz w:val="17"/>
          <w:szCs w:val="17"/>
          <w:color w:val="auto"/>
        </w:rPr>
        <w:t>. The Company acknowledges and agrees that a Purchaser may from time to time pledge pursuant to a bona fide margin agreement with a registered broker-dealer or grant a security interest in some or all of the Securities to a financial institution that is an Accredited Investor and who agrees to be bound by the provisions of this Agreement and the Registration Rights Agreement and, if required under the terms of such arrangement, such Purchaser may transfer pledge or secure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77" w:lineRule="exact"/>
        <w:rPr>
          <w:rFonts w:ascii="Arial" w:cs="Arial" w:eastAsia="Arial" w:hAnsi="Arial"/>
          <w:sz w:val="17"/>
          <w:szCs w:val="17"/>
          <w:color w:val="auto"/>
        </w:rPr>
      </w:pPr>
    </w:p>
    <w:p>
      <w:pPr>
        <w:jc w:val="both"/>
        <w:ind w:firstLine="645"/>
        <w:spacing w:after="0" w:line="283" w:lineRule="auto"/>
        <w:tabs>
          <w:tab w:leader="none" w:pos="1403"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Legend Removal</w:t>
      </w:r>
      <w:r>
        <w:rPr>
          <w:rFonts w:ascii="Arial" w:cs="Arial" w:eastAsia="Arial" w:hAnsi="Arial"/>
          <w:sz w:val="16"/>
          <w:szCs w:val="16"/>
          <w:color w:val="auto"/>
        </w:rPr>
        <w:t>. Certificates evidencing the Underlying Shares shall not contain any legend (“</w:t>
      </w:r>
      <w:r>
        <w:rPr>
          <w:rFonts w:ascii="Arial" w:cs="Arial" w:eastAsia="Arial" w:hAnsi="Arial"/>
          <w:sz w:val="16"/>
          <w:szCs w:val="16"/>
          <w:u w:val="single" w:color="auto"/>
          <w:color w:val="auto"/>
        </w:rPr>
        <w:t>Unlegended Shares</w:t>
      </w:r>
      <w:r>
        <w:rPr>
          <w:rFonts w:ascii="Arial" w:cs="Arial" w:eastAsia="Arial" w:hAnsi="Arial"/>
          <w:sz w:val="16"/>
          <w:szCs w:val="16"/>
          <w:color w:val="auto"/>
        </w:rPr>
        <w:t>”) (including the legend set forth in Section 4.1(b) hereof): (i) while a registration statement covering the resale of such security is effective under the Securities Act, (ii) following any sale of such Underlying Shares pursuant to Rule 144, (iii) if such Underlying Shares are eligible for sale under Rule 144, without the requirement for the Company to be in compliance with the current public information required under Rule 144 as to such Underlying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If all or any Notes are converted or any portion of a Warrant is exercised at a time when there is an effective registration statement to cover the resale of the Underlying Shares, or if such Underlying Shares may be sold under Rule 144 or if such legend is not otherwise required under applicable requirements of the Securities Act (including judicial interpretations and pronouncements issued by the staff of the Commission) then such Underlying Shares shall be issued free of all legends. The Company agrees that following such time as such legend is no longer required under this Section 4.1(c), it will, no later than two (2) Trading Days following the delivery by a Purchaser to the Company or the Transfer Agent of a certificate</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representing Underlying Shares, as applicable, issued with a restrictive legend (such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the “</w:t>
      </w:r>
      <w:r>
        <w:rPr>
          <w:rFonts w:ascii="Arial" w:cs="Arial" w:eastAsia="Arial" w:hAnsi="Arial"/>
          <w:sz w:val="17"/>
          <w:szCs w:val="17"/>
          <w:u w:val="single" w:color="auto"/>
          <w:color w:val="auto"/>
        </w:rPr>
        <w:t>Legend Removal Date</w:t>
      </w:r>
      <w:r>
        <w:rPr>
          <w:rFonts w:ascii="Arial" w:cs="Arial" w:eastAsia="Arial" w:hAnsi="Arial"/>
          <w:sz w:val="17"/>
          <w:szCs w:val="17"/>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Shares subject to legend removal hereunder shall be transmitted by the Transfer Agent to the Purchaser by crediting the account of the Purchaser’s prime broker with the Depository Trust Company System as directed by such Purchaser.</w:t>
      </w:r>
    </w:p>
    <w:p>
      <w:pPr>
        <w:spacing w:after="0" w:line="200" w:lineRule="exact"/>
        <w:rPr>
          <w:sz w:val="20"/>
          <w:szCs w:val="20"/>
          <w:color w:val="auto"/>
        </w:rPr>
      </w:pPr>
    </w:p>
    <w:p>
      <w:pPr>
        <w:spacing w:after="0" w:line="2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216" w:name="page217"/>
    <w:bookmarkEnd w:id="216"/>
    <w:p>
      <w:pPr>
        <w:jc w:val="both"/>
        <w:ind w:left="-540" w:firstLine="645"/>
        <w:spacing w:after="0" w:line="271" w:lineRule="auto"/>
        <w:tabs>
          <w:tab w:leader="none" w:pos="785"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Legend Removal Default</w:t>
      </w:r>
      <w:r>
        <w:rPr>
          <w:rFonts w:ascii="Arial" w:cs="Arial" w:eastAsia="Arial" w:hAnsi="Arial"/>
          <w:sz w:val="17"/>
          <w:szCs w:val="17"/>
          <w:color w:val="auto"/>
        </w:rPr>
        <w:t>. In addition to such Purchaser’s other available remedies, provided the conditions for legend removal set forth in Section 4.1(c) exist, the Company shall pay to a Purchaser, in cash, as partial liquidated damages and not as a penalty, for each $1,000 of Underlying Shares (based on the higher of the actual purchase price or VWAP of the Common Stock on the date such Securities are submitted to the Transfer Agent) delivered for removal of the restrictive legend and subject to Section 4.1(c), $10 per Trading Day for each Trading Day after the Legend Removal Date (increasing to $20 per Trading Day after the fifth Trading Day) until such certificate is delivered without a legend. Nothing herein shall limit such Purchaser’s right to pursue actual damages for the Company’s failure to deliver certificates representing any Securities as required by the Transaction Documents, and such Purchaser shall have the right to pursue all remedies available to it at law or in equity including, without limitation, a decree of specific performance and/or injunctive relief.</w:t>
      </w:r>
    </w:p>
    <w:p>
      <w:pPr>
        <w:spacing w:after="0" w:line="178" w:lineRule="exact"/>
        <w:rPr>
          <w:rFonts w:ascii="Arial" w:cs="Arial" w:eastAsia="Arial" w:hAnsi="Arial"/>
          <w:sz w:val="17"/>
          <w:szCs w:val="17"/>
          <w:color w:val="auto"/>
        </w:rPr>
      </w:pPr>
    </w:p>
    <w:p>
      <w:pPr>
        <w:jc w:val="both"/>
        <w:ind w:left="-540" w:firstLine="645"/>
        <w:spacing w:after="0" w:line="255" w:lineRule="auto"/>
        <w:tabs>
          <w:tab w:leader="none" w:pos="77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DWAC</w:t>
      </w:r>
      <w:r>
        <w:rPr>
          <w:rFonts w:ascii="Arial" w:cs="Arial" w:eastAsia="Arial" w:hAnsi="Arial"/>
          <w:sz w:val="18"/>
          <w:szCs w:val="18"/>
          <w:color w:val="auto"/>
        </w:rPr>
        <w:t>. In lieu of delivering physical certificates representing the Unlegended Shares, upon request of a Purchaser, so long as the certificates therefor do not bear a legend and the Purchaser is not obligated to return such certificate for the placement of a legend thereon, the Company shall cause its transfer agent to electronically transmit the Unlegended Shares by crediting the account of Purchaser’s prime broker with the Depository Trust Company through its Deposit Withdrawal At Custodian system, provided that the Company’s Common Stock is DTC eligible and the Company’s transfer agent participates in the Deposit Withdrawal at Custodian system. Such delivery must be made on or before the Legend Removal Date.</w:t>
      </w:r>
    </w:p>
    <w:p>
      <w:pPr>
        <w:spacing w:after="0" w:line="193" w:lineRule="exact"/>
        <w:rPr>
          <w:rFonts w:ascii="Arial" w:cs="Arial" w:eastAsia="Arial" w:hAnsi="Arial"/>
          <w:sz w:val="18"/>
          <w:szCs w:val="18"/>
          <w:color w:val="auto"/>
        </w:rPr>
      </w:pPr>
    </w:p>
    <w:p>
      <w:pPr>
        <w:jc w:val="both"/>
        <w:ind w:left="-540" w:firstLine="645"/>
        <w:spacing w:after="0" w:line="289" w:lineRule="auto"/>
        <w:tabs>
          <w:tab w:leader="none" w:pos="795"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In the event a Purchaser shall request delivery of Unlegended Shares as described in this Section 4.1 and the Company is required to deliver such Unlegended Shares, the Company may not refuse to deliver Unlegended Shares based on any claim that such Purchaser or anyone associated or affiliated with such Purchaser has not complied with Purchaser’s obligations under the Transaction Documents, or for any other reason, unless, an injunction or temporary restraining order from a court, on notice, restraining and or enjoining delivery of such Unlegended Shares shall have been sought and obtained by the Company and the Company has posted a surety bond for the benefit of such Purchaser in the amount of the greater of (i) 120% of the amount of the aggregate purchase price of the Underlying Shares to be subject to the injunction or temporary restraining order, or (ii) the VWAP of the Common Stock on the trading day before the issue date of the injunction multiplied by the number of Unlegended Shares to be subject to the injunction, which bond shall remain in effect until the completion of arbitration/litigation of the dispute and the proceeds of which shall be payable to such Purchaser to the extent Purchaser obtains judgment in Purchaser’s favor.</w:t>
      </w:r>
    </w:p>
    <w:p>
      <w:pPr>
        <w:spacing w:after="0" w:line="38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17" w:right="239" w:bottom="1440" w:gutter="0" w:footer="0" w:header="0"/>
        </w:sectPr>
      </w:pPr>
    </w:p>
    <w:bookmarkStart w:id="217" w:name="page218"/>
    <w:bookmarkEnd w:id="217"/>
    <w:p>
      <w:pPr>
        <w:jc w:val="both"/>
        <w:ind w:left="660" w:firstLine="645"/>
        <w:spacing w:after="0" w:line="269" w:lineRule="auto"/>
        <w:tabs>
          <w:tab w:leader="none" w:pos="1995"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Buy-In</w:t>
      </w:r>
      <w:r>
        <w:rPr>
          <w:rFonts w:ascii="Arial" w:cs="Arial" w:eastAsia="Arial" w:hAnsi="Arial"/>
          <w:sz w:val="17"/>
          <w:szCs w:val="17"/>
          <w:color w:val="auto"/>
        </w:rPr>
        <w:t>. In addition to any other rights available to Purchaser, if the Company fails to deliver to a Purchaser Unlegended Shares as required pursuant to this Agreement and after the Legend Removal Date the Purchaser, or a broker on the Purchaser’s behalf, purchases (in an open market transaction or otherwise) shares of Common Stock to deliver in satisfaction of a sale by such Purchaser of the shares of Common Stock which the Purchaser was entitled to receive in unlegended form from the Company (a “</w:t>
      </w:r>
      <w:r>
        <w:rPr>
          <w:rFonts w:ascii="Arial" w:cs="Arial" w:eastAsia="Arial" w:hAnsi="Arial"/>
          <w:sz w:val="17"/>
          <w:szCs w:val="17"/>
          <w:u w:val="single" w:color="auto"/>
          <w:color w:val="auto"/>
        </w:rPr>
        <w:t>Buy-In</w:t>
      </w:r>
      <w:r>
        <w:rPr>
          <w:rFonts w:ascii="Arial" w:cs="Arial" w:eastAsia="Arial" w:hAnsi="Arial"/>
          <w:sz w:val="17"/>
          <w:szCs w:val="17"/>
          <w:color w:val="auto"/>
        </w:rPr>
        <w:t>”), then the Company shall promptly pay in cash to the Purchaser (in addition to any remedies available to or elected by the Purchaser) the amount, if any, by which (A) the Purchaser’s total purchase price (including brokerage commissions, if any) for the shares of Common Stock so purchased exceeds (B) the aggregate purchase price of the shares of Common Stock delivered to the Company for reissuance as Unlegended Shares, together with interest thereon at a rate of 15% per annum accruing until such amount and any accrued interest thereon is paid in full (which amount shall be paid as liquidated damages and not as a penalty. For example, if a Purchaser purchases shares of Common Stock having a total purchase price of $11,000 to cover a Buy-In with respect to $10,000 of purchase price of Underlying Shares delivered to the Company for reissuance as Unlegended Shares, the Company shall be required to pay the Purchaser $1,000, plus interest, if any. The Purchaser shall provide the Company written notice indicating the amounts payable to the Purchaser in respect of the Buy-In.</w:t>
      </w:r>
    </w:p>
    <w:p>
      <w:pPr>
        <w:spacing w:after="0" w:line="179" w:lineRule="exact"/>
        <w:rPr>
          <w:rFonts w:ascii="Arial" w:cs="Arial" w:eastAsia="Arial" w:hAnsi="Arial"/>
          <w:sz w:val="17"/>
          <w:szCs w:val="17"/>
          <w:color w:val="auto"/>
        </w:rPr>
      </w:pPr>
    </w:p>
    <w:p>
      <w:pPr>
        <w:jc w:val="both"/>
        <w:ind w:left="660" w:firstLine="645"/>
        <w:spacing w:after="0" w:line="276" w:lineRule="auto"/>
        <w:tabs>
          <w:tab w:leader="none" w:pos="2117"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Plan of Distribution</w:t>
      </w:r>
      <w:r>
        <w:rPr>
          <w:rFonts w:ascii="Arial" w:cs="Arial" w:eastAsia="Arial" w:hAnsi="Arial"/>
          <w:sz w:val="17"/>
          <w:szCs w:val="17"/>
          <w:color w:val="auto"/>
        </w:rPr>
        <w:t>.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Acknowledgment of Dilution</w:t>
      </w:r>
      <w:r>
        <w:rPr>
          <w:rFonts w:ascii="Arial" w:cs="Arial" w:eastAsia="Arial" w:hAnsi="Arial"/>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Underlying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Furnishing of Information; Public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44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Until the earliest of the time that (i) no Purchaser owns Securities or (ii) the Warrants have expired, the Company covenants to file all periodic reports with the Commission pursuant to the Exchange Act and maintain the registration of the Common Stock under Section 12(b) or 12(g) of the Exchange Act after such time as the Company initially becomes subject to such requirements and to timely file (or obtain extensions in respect thereof and file within the applicable grace period) all reports required to be filed by the Company after the date hereof pursuant to the Exchange Act and timely file all reports that would be required to be filed by an issuer subject to Section 12(b) or 12(g) of the Exchange Act even if the Company is not then subject to the reporting requirements of the Exchange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8" w:name="page219"/>
    <w:bookmarkEnd w:id="218"/>
    <w:p>
      <w:pPr>
        <w:jc w:val="both"/>
        <w:ind w:firstLine="656"/>
        <w:spacing w:after="0" w:line="286" w:lineRule="auto"/>
        <w:tabs>
          <w:tab w:leader="none" w:pos="132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At any time commencing on the Closing Date and ending at such time that all of the Securities may be sold without the requirement for the Company to be in compliance with Rule 144(c)(1) and otherwise without restriction or limitation pursuant to Rule 144, if the Company shall fail for any reason to satisfy the current public information requirement under Rule 144(c) (a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such Purchaser’s other available remedies, the Company shall pay to a Purchaser, in cash, as partial liquidated damages and not as a penalty, by reason of any such delay in or impairment of its ability to sell the Securities, an amount in cash equal to 1.0% of the aggregate principal amount of Notes and accrued interest thereon, and aggregate Exercise Price of Warrant Shares held by such Purchaser on the day of a Public Information Failure and on every thirtieth (30th) day (pro-rated for periods totaling less than thirty days) thereafter until the earlier of (a) the date such Public Information Failure is cured and (b) such time that such public information is no longer required for the Purchasers to transfer the Underlying Shares pursuant to Rule 144. The payments to which a Purchaser shall be entitled pursuant to this Section 4.3(b) are referred to herein as “</w:t>
      </w:r>
      <w:r>
        <w:rPr>
          <w:rFonts w:ascii="Arial" w:cs="Arial" w:eastAsia="Arial" w:hAnsi="Arial"/>
          <w:sz w:val="16"/>
          <w:szCs w:val="16"/>
          <w:u w:val="single" w:color="auto"/>
          <w:color w:val="auto"/>
        </w:rPr>
        <w:t>Public Information Failure Payments</w:t>
      </w:r>
      <w:r>
        <w:rPr>
          <w:rFonts w:ascii="Arial" w:cs="Arial" w:eastAsia="Arial" w:hAnsi="Arial"/>
          <w:sz w:val="16"/>
          <w:szCs w:val="16"/>
          <w:color w:val="auto"/>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1.0%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or to effectuate such other transaction unless shareholder approval is obtained before the earlier of the closing of such subsequent transaction or effectuation of such other transaction.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Conversion and Exercise Procedures</w:t>
      </w:r>
      <w:r>
        <w:rPr>
          <w:rFonts w:ascii="Arial" w:cs="Arial" w:eastAsia="Arial" w:hAnsi="Arial"/>
          <w:sz w:val="18"/>
          <w:szCs w:val="18"/>
          <w:color w:val="auto"/>
        </w:rPr>
        <w:t>. Each of the form of Notice of Exercise included in the Warrants and the form of Notice of Conversion included in the Notes set forth the totality of the procedures required of the Purchasers in order to exercise the Warrants or convert the Notes. No additional legal opinion, other information or instructions shall be required of the Purchasers to exercise their Warrants or convert their Notes. The Company shall honor exercises of the Warrants and conversions of the Notes and shall deliver Underlying Shares in accordance with the terms, conditions and time periods set forth in the Transaction Documents.</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on or before the third Trading Day following the Closing Date, file a Current Report on Form 8-K including the Transaction Documents as exhibits thereto with the Commission (“</w:t>
      </w:r>
      <w:r>
        <w:rPr>
          <w:rFonts w:ascii="Arial" w:cs="Arial" w:eastAsia="Arial" w:hAnsi="Arial"/>
          <w:sz w:val="16"/>
          <w:szCs w:val="16"/>
          <w:u w:val="single" w:color="auto"/>
          <w:color w:val="auto"/>
        </w:rPr>
        <w:t>Form 8-K</w:t>
      </w:r>
      <w:r>
        <w:rPr>
          <w:rFonts w:ascii="Arial" w:cs="Arial" w:eastAsia="Arial" w:hAnsi="Arial"/>
          <w:sz w:val="16"/>
          <w:szCs w:val="16"/>
          <w:color w:val="auto"/>
        </w:rPr>
        <w:t xml:space="preserve">”). A form of the Form 8-K is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Such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will be identical to the Form 8-K which will be filed with the Commission except for the omission of signatures thereto by the Company. From and after the filing of the Form 8-K, the Company represents to the Purchasers that it shall have publicly disclosed all material, non-public information delivered to any of the Purchasers by the Company or any Subsidiary, or any of their respective officers, directors, employees or agents in connection with the transactions contemplated by the Transaction Documents. The Company and each Purchaser shall consult with each other in issuing any press releases with respect to the transactions contemplated hereby, and neither the Company nor any Purchaser shall issue any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unless the name of such Purchaser is already included in the body of the Transaction Documents, without the prior written consent of such Purchaser, except: (a) as required by federal securities law in connection with the filing of final Transaction Documents with the Commission and any registration statement contemplated by the Registration Rights Agreement, and (b) to the extent such disclosure is required by law or Trading Market regulations, in which case the Company shall provide the Purchasers with prior notice of such disclosure permitted under this clause (b). The Company may file a Form 10-Q in lieu of the Form 8-K provided such filing contains the content required to be included in the Form 8-K and the Form 10-Q is filed not later than the Trading Day after the Closing Date.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9" w:name="page220"/>
    <w:bookmarkEnd w:id="219"/>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entered into a written agreement with the Company regarding the confidentiality and use of such information. The Company understands and confirms that each Purchaser shall be relying on the foregoing covenant in effecting transactions in securities of the Company.</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Company shall use the net proceeds from the sale of the Securities hereunder substantially for the purposes set forth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hereto and shall not use such proceeds: (a) for the satisfaction of any portion of the Company’s debt except as disclosed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(other than payment of trade payables in the ordinary course of the Company’s business and consistent with prior practices), (b) for the redemption of any Common Stock or Common Stock Equivalents, (c) for the settlement of any outstanding litigation or (d) in violation of FCPA or OFAC regulations.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0" w:name="page221"/>
    <w:bookmarkEnd w:id="220"/>
    <w:p>
      <w:pPr>
        <w:jc w:val="both"/>
        <w:ind w:firstLine="648"/>
        <w:spacing w:after="0" w:line="28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for all Purchaser Parties.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its material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39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Reservation and Listing of Securities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85" w:lineRule="auto"/>
        <w:tabs>
          <w:tab w:leader="none" w:pos="205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As of the date hereof, the Company, ignoring any conversion or exercise, has reserved for each Purchaser and the Company shall continue to reserve and keep available at all times, the “Required Minimum”, free of preemptive rights. If, on any date, the number of authorized but unissued (and otherwise unreserved) shares of Common Stock is less than the Required Minimum on such date (an “</w:t>
      </w:r>
      <w:r>
        <w:rPr>
          <w:rFonts w:ascii="Arial" w:cs="Arial" w:eastAsia="Arial" w:hAnsi="Arial"/>
          <w:sz w:val="16"/>
          <w:szCs w:val="16"/>
          <w:u w:val="single" w:color="auto"/>
          <w:color w:val="auto"/>
        </w:rPr>
        <w:t>Authorized Share Failure</w:t>
      </w:r>
      <w:r>
        <w:rPr>
          <w:rFonts w:ascii="Arial" w:cs="Arial" w:eastAsia="Arial" w:hAnsi="Arial"/>
          <w:sz w:val="16"/>
          <w:szCs w:val="16"/>
          <w:color w:val="auto"/>
        </w:rPr>
        <w:t>”), then the Board of Directors shall use commercially reasonable efforts to amend the Company’s certificate of incorporation to increase the number of authorized but unissued shares of Common Stock to at least the Required Minimum plus such other amount as may be required for the Company’s other purposes, and</w:t>
      </w:r>
    </w:p>
    <w:p>
      <w:pPr>
        <w:spacing w:after="0" w:line="2" w:lineRule="exact"/>
        <w:rPr>
          <w:sz w:val="20"/>
          <w:szCs w:val="20"/>
          <w:color w:val="auto"/>
        </w:rPr>
      </w:pPr>
    </w:p>
    <w:p>
      <w:pPr>
        <w:jc w:val="both"/>
        <w:ind w:left="80"/>
        <w:spacing w:after="0" w:line="254" w:lineRule="auto"/>
        <w:rPr>
          <w:sz w:val="20"/>
          <w:szCs w:val="20"/>
          <w:color w:val="auto"/>
        </w:rPr>
      </w:pPr>
      <w:r>
        <w:rPr>
          <w:rFonts w:ascii="Arial" w:cs="Arial" w:eastAsia="Arial" w:hAnsi="Arial"/>
          <w:sz w:val="17"/>
          <w:szCs w:val="17"/>
          <w:color w:val="auto"/>
        </w:rPr>
        <w:t>reserve the Required Minimum on behalf of the Purchasers, as soon as possible and in any event not later than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such date.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1" w:name="page222"/>
    <w:bookmarkEnd w:id="221"/>
    <w:p>
      <w:pPr>
        <w:jc w:val="both"/>
        <w:ind w:left="80" w:firstLine="1306"/>
        <w:spacing w:after="0" w:line="268" w:lineRule="auto"/>
        <w:tabs>
          <w:tab w:leader="none" w:pos="213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Company shall prior to the Closing: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Purchasers evidence of such listing or quotation and (iv) maintain the listing or quotation of such Common Stock on any date at least equal to the Required Minimum on such date on such Trading Market or another Trading Market. The Company will take all action necessary to continue the listing or quotation and trading of its Common Stock on a Trading Market until the later of (i) at least five (5) years after the Closing Date, and (ii) for so long as the Notes or Warrants are outstanding, and will comply in all respects with the Company’s reporting, filing and other obligations under the bylaws or rules of the Trading Market. In the event the aforedescribed listing is not continuously maintained for five (5) years after the Closing Date and for so long as Notes or Warrants are outstanding (a “</w:t>
      </w:r>
      <w:r>
        <w:rPr>
          <w:rFonts w:ascii="Arial" w:cs="Arial" w:eastAsia="Arial" w:hAnsi="Arial"/>
          <w:sz w:val="17"/>
          <w:szCs w:val="17"/>
          <w:u w:val="single" w:color="auto"/>
          <w:color w:val="auto"/>
        </w:rPr>
        <w:t>Listing Default</w:t>
      </w:r>
      <w:r>
        <w:rPr>
          <w:rFonts w:ascii="Arial" w:cs="Arial" w:eastAsia="Arial" w:hAnsi="Arial"/>
          <w:sz w:val="17"/>
          <w:szCs w:val="17"/>
          <w:color w:val="auto"/>
        </w:rPr>
        <w:t>”), then in addition to any other rights the Purchasers may have hereunder or under Applicable Law, on the first day of a Listing Default and on each monthly anniversary of each such Listing Default date (if the applicable Listing Default shall not have been cured by such date) until the applicable Listing Default is cured, the Company shall pay to each Purchaser an amount in cash, as partial liquidated damages and not as a penalty, equal to 1.0% of the aggregate outstanding Note principal and accrued interest, conversion price of Conversion Shares and purchase price of Warrant Shares held by such Purchaser or which may be acquired upon exercise of Warrants on the day of a Listing Default and on every thirtieth day (pro-rated for periods less than thirty days) thereafter until the date such Listing Default is cured. If the Company fails to pay any liquidated damages pursuant to this Section in a timely manner, the Company will pay interest thereon at a rate of 1.0% per month (pro-rated for partial months) to the Purchaser.</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a Closing under Applicable Law, including “Blue Sky” laws of the states of the United States, and shall provide evidence of such actions promptly upon request of any Purchaser.</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Subsequent Equity Sales</w:t>
      </w:r>
      <w:r>
        <w:rPr>
          <w:rFonts w:ascii="Arial" w:cs="Arial" w:eastAsia="Arial" w:hAnsi="Arial"/>
          <w:sz w:val="16"/>
          <w:szCs w:val="16"/>
          <w:color w:val="auto"/>
        </w:rPr>
        <w:t>. From the date hereof until the date no Purchaser (or permitted assignee) holds at least ten percent (10%) of the Notes originally issued to such Purchaser, the Company will not, without the consent of a Majority in Interest, enter into any Equity Line of Credit or similar agreement, issue or agree to issue floating or Variable Priced Equity Linked Instruments nor issue or agree to issue any of the foregoing (subject to adjustment for stock splits, distributions, dividends, recapitalizations and the like) (collectively, a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For purposes hereof, “</w:t>
      </w:r>
      <w:r>
        <w:rPr>
          <w:rFonts w:ascii="Arial" w:cs="Arial" w:eastAsia="Arial" w:hAnsi="Arial"/>
          <w:sz w:val="16"/>
          <w:szCs w:val="16"/>
          <w:u w:val="single" w:color="auto"/>
          <w:color w:val="auto"/>
        </w:rPr>
        <w:t>Equity Line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w:t>
      </w:r>
      <w:r>
        <w:rPr>
          <w:rFonts w:ascii="Arial" w:cs="Arial" w:eastAsia="Arial" w:hAnsi="Arial"/>
          <w:sz w:val="16"/>
          <w:szCs w:val="16"/>
          <w:color w:val="auto"/>
        </w:rPr>
        <w:t>” shall include any transaction involving a written agreement between the Company and an investor or underwriter whereby the Company has the right to “put” its securities to the investor or underwriter over an agreed period of time and at an agreed price or price formula, and “</w:t>
      </w:r>
      <w:r>
        <w:rPr>
          <w:rFonts w:ascii="Arial" w:cs="Arial" w:eastAsia="Arial" w:hAnsi="Arial"/>
          <w:sz w:val="16"/>
          <w:szCs w:val="16"/>
          <w:u w:val="single" w:color="auto"/>
          <w:color w:val="auto"/>
        </w:rPr>
        <w:t>Variable Priced Equity Linked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Instruments</w:t>
      </w:r>
      <w:r>
        <w:rPr>
          <w:rFonts w:ascii="Arial" w:cs="Arial" w:eastAsia="Arial" w:hAnsi="Arial"/>
          <w:sz w:val="16"/>
          <w:szCs w:val="16"/>
          <w:color w:val="auto"/>
        </w:rPr>
        <w:t>”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Company’s Common Stock since date of initial issuance, or upon the issuance of any debt, equity or Common Stock Equivalent, and (B) any amortizing convertible security which amortizes prior to its maturity date, where the Company is required or has the option to (or any investor in such transaction has the option to require the Company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 For purposes of determining the total consideration for a convertible instrument (including a right to purchase equity of the Company) issued, subject to an original issue or similar discount or which principal amount is directly or indirectly increased after issuance, the consideration will be deemed to be the actual net cash amount received by the Company in consideration of the original issuance of such convertible instrument and reduced by any consideration or value given by the Company to the purchaser of such convertible instrument. For so long as any Notes and Warrants are outstanding, the Company will not issue or amend the terms of any securities or Common Stock Equivalents or of any agreement outstanding or in effect as of the date of this Agreement pursuant to which same were or may be acquired without the consent of a Majority in Interest, if the result of such issuance or amendment would be to issue Common Stock or to reduce the effective price per share of Common Stock to less than the higher of the Conversion Price or Warrant Exercise Price in effect at the time of such issuance or amendment. The restrictions and limitations in this Section 4.13 are in addition to and shall apply whether or not a Purchaser exercises its rights pursuant to Section 4.17 and Section 4.23.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2" w:name="page223"/>
    <w:bookmarkEnd w:id="222"/>
    <w:p>
      <w:pPr>
        <w:jc w:val="both"/>
        <w:ind w:firstLine="648"/>
        <w:spacing w:after="0" w:line="276"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any of this Agreement unless the same consideration is also offered on a ratable basis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Capital Changes</w:t>
      </w:r>
      <w:r>
        <w:rPr>
          <w:rFonts w:ascii="Arial" w:cs="Arial" w:eastAsia="Arial" w:hAnsi="Arial"/>
          <w:sz w:val="18"/>
          <w:szCs w:val="18"/>
          <w:color w:val="auto"/>
        </w:rPr>
        <w:t>.. In no event will the Company reduce the par value of the Common Stock to an amount less than the lesser of (i) the Conversion Price, or (ii) Warrant Exercise Price, then in effect.</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Each Purchaser, severally and not jointly with the other Purchasers, covenants that neither it, nor any Affiliate acting on such Purchaser’s behalf or pursuant to any understanding with such Purchaser will execute any purchases or sales, including Short Sales, of any of the Company’s securities during the period commencing with the execution of this Agreement and ending at such time that the transactions contemplated by this Agreement are first publicly announced pursuant to a press release or Form 8-K as described in Section 4.6. Each Purchaser, severally and not jointly with the other Purchasers, covenants that until such time as the transactions contemplated by this Agreement are publicly disclosed by the Company pursuant to a press release or Form 8-K as described in Section 4.6, such Purchaser will maintain the confidentiality of the existence and terms of this transaction and the information included in the Transaction Documents and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a press release or Form 8-K as described in Section 4.6, (ii) no Purchaser shall be restricted or prohibited from effecting any transactions in any securities of the Company in accordance with Applicable Law from and after the time that the transactions contemplated by this Agreement are first publicly announced pursuant to a press release or Form 8-K, and (iii) no Purchaser shall have any duty of confidentiality to the Company or its Subsidiaries after the filing of the Form 8-K.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3" w:name="page224"/>
    <w:bookmarkEnd w:id="223"/>
    <w:p>
      <w:pPr>
        <w:ind w:left="580"/>
        <w:spacing w:after="0"/>
        <w:tabs>
          <w:tab w:leader="none" w:pos="12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Participation in Future Financing</w:t>
      </w:r>
      <w:r>
        <w:rPr>
          <w:rFonts w:ascii="Arial" w:cs="Arial" w:eastAsia="Arial" w:hAnsi="Arial"/>
          <w:sz w:val="16"/>
          <w:szCs w:val="16"/>
          <w:color w:val="auto"/>
        </w:rPr>
        <w:t>.</w:t>
      </w:r>
    </w:p>
    <w:p>
      <w:pPr>
        <w:spacing w:after="0" w:line="225" w:lineRule="exact"/>
        <w:rPr>
          <w:sz w:val="20"/>
          <w:szCs w:val="20"/>
          <w:color w:val="auto"/>
        </w:rPr>
      </w:pPr>
    </w:p>
    <w:p>
      <w:pPr>
        <w:jc w:val="both"/>
        <w:ind w:firstLine="1306"/>
        <w:spacing w:after="0" w:line="270" w:lineRule="auto"/>
        <w:tabs>
          <w:tab w:leader="none" w:pos="198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Until one year after the Closing Date, upon any proposed issuance by the Company or any of its Subsidiaries of Common Stock, Common Stock Equivalents for cash consideration, Indebtedness or a combination thereof, other than (i) a rights offering to all holders of Common Stock (which may include extending such rights offering to holders of Notes), (ii) an Exempt Issuance, or (iii) an underwritten public offering made pursuant to an effective registration statement on Form S-1 or Form S-3 (each a “</w:t>
      </w:r>
      <w:r>
        <w:rPr>
          <w:rFonts w:ascii="Arial" w:cs="Arial" w:eastAsia="Arial" w:hAnsi="Arial"/>
          <w:sz w:val="17"/>
          <w:szCs w:val="17"/>
          <w:u w:val="single" w:color="auto"/>
          <w:color w:val="auto"/>
        </w:rPr>
        <w:t>Subsequent Financing</w:t>
      </w:r>
      <w:r>
        <w:rPr>
          <w:rFonts w:ascii="Arial" w:cs="Arial" w:eastAsia="Arial" w:hAnsi="Arial"/>
          <w:sz w:val="17"/>
          <w:szCs w:val="17"/>
          <w:color w:val="auto"/>
        </w:rPr>
        <w:t>”), the Purchasers shall have the right to participate in up to an amount of the Subsequent Financing equal to twenty-five percent (25%) of the Subsequent Financing (the “</w:t>
      </w:r>
      <w:r>
        <w:rPr>
          <w:rFonts w:ascii="Arial" w:cs="Arial" w:eastAsia="Arial" w:hAnsi="Arial"/>
          <w:sz w:val="17"/>
          <w:szCs w:val="17"/>
          <w:u w:val="single" w:color="auto"/>
          <w:color w:val="auto"/>
        </w:rPr>
        <w:t>Participation Maximum</w:t>
      </w:r>
      <w:r>
        <w:rPr>
          <w:rFonts w:ascii="Arial" w:cs="Arial" w:eastAsia="Arial" w:hAnsi="Arial"/>
          <w:sz w:val="17"/>
          <w:szCs w:val="17"/>
          <w:color w:val="auto"/>
        </w:rPr>
        <w:t>”) pro rata to each other in proportion to their Subscription Amounts on the same terms, conditions and price provided for in the Subsequent Financing, unless the Subsequent Financing is an underwritten public offering, in which case the Company shall notify each Purchaser of such public offering when it is lawful for the Company to do so, but no Purchaser shall be entitled to purchase any particular amount of such public offering without the approval of the lead underwriter of such underwritten public offering.</w:t>
      </w:r>
    </w:p>
    <w:p>
      <w:pPr>
        <w:spacing w:after="0" w:line="181" w:lineRule="exact"/>
        <w:rPr>
          <w:rFonts w:ascii="Arial" w:cs="Arial" w:eastAsia="Arial" w:hAnsi="Arial"/>
          <w:sz w:val="17"/>
          <w:szCs w:val="17"/>
          <w:color w:val="auto"/>
        </w:rPr>
      </w:pPr>
    </w:p>
    <w:p>
      <w:pPr>
        <w:jc w:val="both"/>
        <w:ind w:firstLine="1306"/>
        <w:spacing w:after="0" w:line="270" w:lineRule="auto"/>
        <w:tabs>
          <w:tab w:leader="none" w:pos="206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At least seven (7) Trading Days prior to the closing of the Subsequent Financing (or two (2) business hours on a Trading Day with respect to a registered Subsequent Financing conducted pursuant to a Form S-3 registration statement (a “</w:t>
      </w:r>
      <w:r>
        <w:rPr>
          <w:rFonts w:ascii="Arial" w:cs="Arial" w:eastAsia="Arial" w:hAnsi="Arial"/>
          <w:sz w:val="17"/>
          <w:szCs w:val="17"/>
          <w:u w:val="single" w:color="auto"/>
          <w:color w:val="auto"/>
        </w:rPr>
        <w:t>Registered Offering</w:t>
      </w:r>
      <w:r>
        <w:rPr>
          <w:rFonts w:ascii="Arial" w:cs="Arial" w:eastAsia="Arial" w:hAnsi="Arial"/>
          <w:sz w:val="17"/>
          <w:szCs w:val="17"/>
          <w:color w:val="auto"/>
        </w:rPr>
        <w:t>”)), the Company shall deliver to each Purchaser a written notice of its intention to effect a Subsequent Financing (“</w:t>
      </w:r>
      <w:r>
        <w:rPr>
          <w:rFonts w:ascii="Arial" w:cs="Arial" w:eastAsia="Arial" w:hAnsi="Arial"/>
          <w:sz w:val="17"/>
          <w:szCs w:val="17"/>
          <w:u w:val="single" w:color="auto"/>
          <w:color w:val="auto"/>
        </w:rPr>
        <w:t>Pre-Notice</w:t>
      </w:r>
      <w:r>
        <w:rPr>
          <w:rFonts w:ascii="Arial" w:cs="Arial" w:eastAsia="Arial" w:hAnsi="Arial"/>
          <w:sz w:val="17"/>
          <w:szCs w:val="17"/>
          <w:color w:val="auto"/>
        </w:rPr>
        <w:t>”), which Pre-Notice shall ask such Purchaser if it wants to review the details of such financing (such additional notice, a “</w:t>
      </w:r>
      <w:r>
        <w:rPr>
          <w:rFonts w:ascii="Arial" w:cs="Arial" w:eastAsia="Arial" w:hAnsi="Arial"/>
          <w:sz w:val="17"/>
          <w:szCs w:val="17"/>
          <w:u w:val="single" w:color="auto"/>
          <w:color w:val="auto"/>
        </w:rPr>
        <w:t>Subsequent Financing Notice</w:t>
      </w:r>
      <w:r>
        <w:rPr>
          <w:rFonts w:ascii="Arial" w:cs="Arial" w:eastAsia="Arial" w:hAnsi="Arial"/>
          <w:sz w:val="17"/>
          <w:szCs w:val="17"/>
          <w:color w:val="auto"/>
        </w:rPr>
        <w:t>”). Upon the request of a Purchaser, and only upon a request by such Purchaser, for a Subsequent Financing Notice, the Company shall promptly, but no later than one (1) Trading Day (or (i) one-half (1/2) hour with respect to a Registered Offering) after such request, deliver a Subsequent Financing Notice to such Purchaser. The requesting Purchaser shall be deemed to have acknowledged that the Subsequent Financing Notice may contain material non-public information.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177" w:lineRule="exact"/>
        <w:rPr>
          <w:rFonts w:ascii="Arial" w:cs="Arial" w:eastAsia="Arial" w:hAnsi="Arial"/>
          <w:sz w:val="17"/>
          <w:szCs w:val="17"/>
          <w:color w:val="auto"/>
        </w:rPr>
      </w:pPr>
    </w:p>
    <w:p>
      <w:pPr>
        <w:ind w:left="1960" w:hanging="654"/>
        <w:spacing w:after="0"/>
        <w:tabs>
          <w:tab w:leader="none" w:pos="19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Purchaser desiring to participate in such Subsequent Financing must provide written notice to the Company by not later than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5:30 p.m. (New York City time) on the seventh (7</w:t>
      </w:r>
      <w:r>
        <w:rPr>
          <w:rFonts w:ascii="Arial" w:cs="Arial" w:eastAsia="Arial" w:hAnsi="Arial"/>
          <w:sz w:val="26"/>
          <w:szCs w:val="26"/>
          <w:color w:val="auto"/>
          <w:vertAlign w:val="superscript"/>
        </w:rPr>
        <w:t>th</w:t>
      </w:r>
      <w:r>
        <w:rPr>
          <w:rFonts w:ascii="Arial" w:cs="Arial" w:eastAsia="Arial" w:hAnsi="Arial"/>
          <w:sz w:val="16"/>
          <w:szCs w:val="16"/>
          <w:color w:val="auto"/>
        </w:rPr>
        <w:t>) Trading Day (or one (1) hour with respect to a Registered Offering) after all of the Purchasers have received the Pre-Notice that the Purchaser is willing to participate in the Subsequent Financing, the amount of such Purchaser’s participation, and representing and warranting that such Purchaser has such funds ready, willing, and available for investment on the terms set forth in the Subsequent</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auto"/>
        </w:rPr>
        <w:t>Financing Notice. If the Company receives no such notice from a Purchaser as of such seventh (7</w:t>
      </w:r>
      <w:r>
        <w:rPr>
          <w:rFonts w:ascii="Arial" w:cs="Arial" w:eastAsia="Arial" w:hAnsi="Arial"/>
          <w:sz w:val="30"/>
          <w:szCs w:val="30"/>
          <w:color w:val="auto"/>
          <w:vertAlign w:val="superscript"/>
        </w:rPr>
        <w:t>th</w:t>
      </w:r>
      <w:r>
        <w:rPr>
          <w:rFonts w:ascii="Arial" w:cs="Arial" w:eastAsia="Arial" w:hAnsi="Arial"/>
          <w:sz w:val="18"/>
          <w:szCs w:val="18"/>
          <w:color w:val="auto"/>
        </w:rPr>
        <w:t>) Trading Day (or one (1) hour with respect to a Registered Offering), such Purchaser shall be deemed to have notified the Company that it does not elect to participate.</w:t>
      </w:r>
    </w:p>
    <w:p>
      <w:pPr>
        <w:spacing w:after="0" w:line="207" w:lineRule="exact"/>
        <w:rPr>
          <w:sz w:val="20"/>
          <w:szCs w:val="20"/>
          <w:color w:val="auto"/>
        </w:rPr>
      </w:pPr>
    </w:p>
    <w:p>
      <w:pPr>
        <w:jc w:val="both"/>
        <w:ind w:firstLine="1306"/>
        <w:spacing w:after="0" w:line="234" w:lineRule="auto"/>
        <w:tabs>
          <w:tab w:leader="none" w:pos="205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by 5:30 p.m. (New York City time) on the seventh (7</w:t>
      </w:r>
      <w:r>
        <w:rPr>
          <w:rFonts w:ascii="Arial" w:cs="Arial" w:eastAsia="Arial" w:hAnsi="Arial"/>
          <w:sz w:val="30"/>
          <w:szCs w:val="30"/>
          <w:color w:val="auto"/>
          <w:vertAlign w:val="superscript"/>
        </w:rPr>
        <w:t>th</w:t>
      </w:r>
      <w:r>
        <w:rPr>
          <w:rFonts w:ascii="Arial" w:cs="Arial" w:eastAsia="Arial" w:hAnsi="Arial"/>
          <w:sz w:val="18"/>
          <w:szCs w:val="18"/>
          <w:color w:val="auto"/>
        </w:rPr>
        <w:t>) Trading Day (or one (1) hour with respect to a Registered Offering) after all of the Purchasers have received the Pre-Notice, notifications by the Purchasers of their willingness to participate in the Subsequent Financing (or to cause their designees who at the time are Accredited Investors to participate) is, in the aggregate, less than the total amount of the Subsequent Financing, then the Company may affect the remaining portion of such Subsequent Financing on the terms and with the Persons set forth in the Subsequent Financing Notice and the Purchasers shall simultaneously affect their portion of such Subsequent Financing as set forth in their notifications to the Company consistent with the terms set forth in the Subsequent Financing Notice.</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801" w:right="239" w:bottom="1440" w:gutter="0" w:footer="0" w:header="0"/>
        </w:sectPr>
      </w:pPr>
    </w:p>
    <w:bookmarkStart w:id="224" w:name="page225"/>
    <w:bookmarkEnd w:id="224"/>
    <w:p>
      <w:pPr>
        <w:jc w:val="both"/>
        <w:ind w:left="80" w:firstLine="1306"/>
        <w:spacing w:after="0" w:line="234" w:lineRule="auto"/>
        <w:tabs>
          <w:tab w:leader="none" w:pos="212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by 5:30 p.m. (New York City time) on the seventh (7</w:t>
      </w:r>
      <w:r>
        <w:rPr>
          <w:rFonts w:ascii="Arial" w:cs="Arial" w:eastAsia="Arial" w:hAnsi="Arial"/>
          <w:sz w:val="30"/>
          <w:szCs w:val="30"/>
          <w:color w:val="auto"/>
          <w:vertAlign w:val="superscript"/>
        </w:rPr>
        <w:t>th</w:t>
      </w:r>
      <w:r>
        <w:rPr>
          <w:rFonts w:ascii="Arial" w:cs="Arial" w:eastAsia="Arial" w:hAnsi="Arial"/>
          <w:sz w:val="18"/>
          <w:szCs w:val="18"/>
          <w:color w:val="auto"/>
        </w:rPr>
        <w:t>) Trading Day (or one (1) hour with respect to a Registered Offering) after all of the Purchasers have received the Pre-Notice, the Company receives responses to a Subsequent Financing Notice (other than with respect to a Registered Offering) from Purchasers seeking to purchase more than the aggregate amount of the Participation Maximum, each such Purchaser shall have the right to purchase its Pro Rata Portion (as defined below) of the Participation Maximum. “</w:t>
      </w:r>
      <w:r>
        <w:rPr>
          <w:rFonts w:ascii="Arial" w:cs="Arial" w:eastAsia="Arial" w:hAnsi="Arial"/>
          <w:sz w:val="18"/>
          <w:szCs w:val="18"/>
          <w:u w:val="single" w:color="auto"/>
          <w:color w:val="auto"/>
        </w:rPr>
        <w:t>Pro Rata Portion</w:t>
      </w:r>
      <w:r>
        <w:rPr>
          <w:rFonts w:ascii="Arial" w:cs="Arial" w:eastAsia="Arial" w:hAnsi="Arial"/>
          <w:sz w:val="18"/>
          <w:szCs w:val="18"/>
          <w:color w:val="auto"/>
        </w:rPr>
        <w:t>” means the ratio of (x) the principal amount of Notes purchased hereunder by a Purchaser participating under this Section 4.17 and (y) the sum of the aggregate principal amounts of Notes purchased hereunder by all Purchasers participating under this Section 4.17.</w:t>
      </w:r>
    </w:p>
    <w:p>
      <w:pPr>
        <w:spacing w:after="0" w:line="204" w:lineRule="exact"/>
        <w:rPr>
          <w:rFonts w:ascii="Arial" w:cs="Arial" w:eastAsia="Arial" w:hAnsi="Arial"/>
          <w:sz w:val="18"/>
          <w:szCs w:val="18"/>
          <w:color w:val="auto"/>
        </w:rPr>
      </w:pPr>
    </w:p>
    <w:p>
      <w:pPr>
        <w:jc w:val="both"/>
        <w:ind w:left="80" w:firstLine="1306"/>
        <w:spacing w:after="0" w:line="259" w:lineRule="auto"/>
        <w:tabs>
          <w:tab w:leader="none" w:pos="20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Company must provide the Purchasers with a second Subsequent Financing Notice, and the Purchasers will again have the right of participation set forth above in this Section 4.18, if the Subsequent Financing subject to the initial Subsequent Financing Notice is not consummated for any reason on the terms set forth in such Subsequent Financing Notice within sixty (60) Trading Days after the date of the initial Subsequent Financing Notice.</w:t>
      </w:r>
    </w:p>
    <w:p>
      <w:pPr>
        <w:spacing w:after="0" w:line="186" w:lineRule="exact"/>
        <w:rPr>
          <w:rFonts w:ascii="Arial" w:cs="Arial" w:eastAsia="Arial" w:hAnsi="Arial"/>
          <w:sz w:val="18"/>
          <w:szCs w:val="18"/>
          <w:color w:val="auto"/>
        </w:rPr>
      </w:pPr>
    </w:p>
    <w:p>
      <w:pPr>
        <w:jc w:val="both"/>
        <w:ind w:left="80" w:firstLine="1306"/>
        <w:spacing w:after="0" w:line="257" w:lineRule="auto"/>
        <w:tabs>
          <w:tab w:leader="none" w:pos="213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Company and each Purchaser agree that if any Purchaser elects to participate in the Subsequent Financing, the transaction documents related to the Subsequent Financing shall not include any term or provision whereby such Purchaser shall be required to agree to any restrictions on trading as to any of the Securities purchased hereunder (for avoidance of doubt, the securities purchased in the Subsequent Financing shall not be considered securities purchased hereunder) or be required to consent to any amendment to or termination of, or grant any waiver, release or the like under or in connection with, this Agreement, without the prior written consent of such Purchaser.</w:t>
      </w:r>
    </w:p>
    <w:p>
      <w:pPr>
        <w:spacing w:after="0" w:line="188" w:lineRule="exact"/>
        <w:rPr>
          <w:rFonts w:ascii="Arial" w:cs="Arial" w:eastAsia="Arial" w:hAnsi="Arial"/>
          <w:sz w:val="18"/>
          <w:szCs w:val="18"/>
          <w:color w:val="auto"/>
        </w:rPr>
      </w:pPr>
    </w:p>
    <w:p>
      <w:pPr>
        <w:jc w:val="both"/>
        <w:ind w:left="80" w:firstLine="1302"/>
        <w:spacing w:after="0" w:line="259" w:lineRule="auto"/>
        <w:tabs>
          <w:tab w:leader="none" w:pos="21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4.17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the seventeenth (17</w:t>
      </w:r>
      <w:r>
        <w:rPr>
          <w:rFonts w:ascii="Arial" w:cs="Arial" w:eastAsia="Arial" w:hAnsi="Arial"/>
          <w:sz w:val="26"/>
          <w:szCs w:val="26"/>
          <w:color w:val="auto"/>
          <w:vertAlign w:val="superscript"/>
        </w:rPr>
        <w:t>th</w:t>
      </w:r>
      <w:r>
        <w:rPr>
          <w:rFonts w:ascii="Arial" w:cs="Arial" w:eastAsia="Arial" w:hAnsi="Arial"/>
          <w:sz w:val="16"/>
          <w:szCs w:val="16"/>
          <w:color w:val="auto"/>
        </w:rPr>
        <w:t>) Trading Day following delivery of the Subsequent Financing Notice. If by such seventeenth</w:t>
      </w:r>
    </w:p>
    <w:p>
      <w:pPr>
        <w:spacing w:after="0" w:line="2" w:lineRule="exact"/>
        <w:rPr>
          <w:sz w:val="20"/>
          <w:szCs w:val="20"/>
          <w:color w:val="auto"/>
        </w:rPr>
      </w:pPr>
    </w:p>
    <w:p>
      <w:pPr>
        <w:jc w:val="both"/>
        <w:ind w:left="80"/>
        <w:spacing w:after="0" w:line="231" w:lineRule="auto"/>
        <w:rPr>
          <w:sz w:val="20"/>
          <w:szCs w:val="20"/>
          <w:color w:val="auto"/>
        </w:rPr>
      </w:pPr>
      <w:r>
        <w:rPr>
          <w:rFonts w:ascii="Arial" w:cs="Arial" w:eastAsia="Arial" w:hAnsi="Arial"/>
          <w:sz w:val="17"/>
          <w:szCs w:val="17"/>
          <w:color w:val="auto"/>
        </w:rPr>
        <w:t>(17</w:t>
      </w:r>
      <w:r>
        <w:rPr>
          <w:rFonts w:ascii="Arial" w:cs="Arial" w:eastAsia="Arial" w:hAnsi="Arial"/>
          <w:sz w:val="28"/>
          <w:szCs w:val="28"/>
          <w:color w:val="auto"/>
          <w:vertAlign w:val="superscript"/>
        </w:rPr>
        <w:t>th</w:t>
      </w:r>
      <w:r>
        <w:rPr>
          <w:rFonts w:ascii="Arial" w:cs="Arial" w:eastAsia="Arial" w:hAnsi="Arial"/>
          <w:sz w:val="17"/>
          <w:szCs w:val="17"/>
          <w:color w:val="auto"/>
        </w:rPr>
        <w:t>) Trading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Purchaser’s Exercise Limitations</w:t>
      </w:r>
      <w:r>
        <w:rPr>
          <w:rFonts w:ascii="Arial" w:cs="Arial" w:eastAsia="Arial" w:hAnsi="Arial"/>
          <w:sz w:val="16"/>
          <w:szCs w:val="16"/>
          <w:color w:val="auto"/>
        </w:rPr>
        <w:t>. The Company shall not effect exercise of the rights granted in Sections 4.17 and 4.23 of this Agreement, and a Purchaser shall not have the right to exercise any portion of such rights granted in Sections 4.17 and 4.23 only to the extent that after giving effect to such exercise, the Purchaser, would beneficially own in excess of the Beneficial Ownership Limitation (as defined in the Note), applied in the manner set forth in the Note. In such event the right by Purchaser to benefit from such rights or receive shares in excess of the Beneficial Ownership Limitation shall be held in abeyance until such times as such excess shares shall not exceed the Beneficial Ownership Limitation, provided the Purchaser complies with the Purchaser’s other obligations in connection with the exercise by Purchaser of its rights pursuant to Sections 4.17 and 4.23.</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Maintenance of Property/Insurance</w:t>
      </w:r>
      <w:r>
        <w:rPr>
          <w:rFonts w:ascii="Arial" w:cs="Arial" w:eastAsia="Arial" w:hAnsi="Arial"/>
          <w:sz w:val="18"/>
          <w:szCs w:val="18"/>
          <w:color w:val="auto"/>
        </w:rPr>
        <w:t>. The Company shall, and shall cause each Subsidiary to, keep all of its property, which is necessary or useful to the conduct of its business, in good working order and condition, ordinary wear and tear excepted and insured by insurers of recognized financial responsibility against such losses and risks and in such amounts as are prudent and customary for the businesses of the Company and Subsidiary. From and after the Closing Date and for so long as any Securities are held by a Purchaser, the Company will maintain directors and officers insurance coverage at least equal to the aggregate Subscription Amount.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4" w:right="239" w:bottom="1440" w:gutter="0" w:footer="0" w:header="0"/>
        </w:sectPr>
      </w:pPr>
    </w:p>
    <w:bookmarkStart w:id="225" w:name="page226"/>
    <w:bookmarkEnd w:id="225"/>
    <w:p>
      <w:pPr>
        <w:jc w:val="both"/>
        <w:ind w:firstLine="648"/>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The Company shall preserve and maintain its corporate existence, rights, privileges and franchises in the jurisdiction of its incorporation, and qualify and remain qualified, as a foreign entity in each jurisdiction in which such qualification is necessary in view of its business or operations and where the failure to qualify or remain qualified might reasonably have a Material Adverse Effect upon the financial condition, business or operations of the Company taken as a whole.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DTC Program</w:t>
      </w:r>
      <w:r>
        <w:rPr>
          <w:rFonts w:ascii="Arial" w:cs="Arial" w:eastAsia="Arial" w:hAnsi="Arial"/>
          <w:sz w:val="18"/>
          <w:szCs w:val="18"/>
          <w:color w:val="auto"/>
        </w:rPr>
        <w:t>. At all times that Notes or Warrants are outstanding, the Company shall employ as the transfer agent for its Common Stock and Underlying Shares a participant in the Depository Trust Company Automated Securities Transfer Program and cause the Common Stock and Underlying Shares to be transferable pursuant to such program.</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any Purchaser becomes involved in any capacity in any Proceeding by or against any Person who is a stockholder of the Company (except as a result of sales, pledges, margin sales and similar transactions by such Purchaser to or with any current stockholder), solely as a result of such Purchaser’s acquisition of the Securities under this Agreement, the Company will reimburse such Purchaser for its reasonable legal and other expenses (including the cost of any investigation preparation and travel in connection therewith) incurred in connection therewith, as such expenses are incurred. The reimbursement obligations of the Company under this paragraph shall be in addition to any liability which the Company may otherwise have, shall extend upon the same terms and conditions to any Affiliates of the Purchasers who are actually named in such action, proceeding or investigation, and partners, directors, agents, employees and controlling persons (if any), as the case may be, of the Purchasers and any such Affiliate, and shall be binding upon and inure to the benefit of any successors, assigns, heirs and personal representatives of the Company, the Purchasers and any such Affiliate and any such Person. The Company also agrees that neither the Purchasers nor any such Affiliates, partners, directors, agents, employees or controlling persons shall have any liability to the Company or any Person asserting claims on behalf of or in right of the Company solely as a result of acquiring the Securities under this Agreement.</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Indebtedness</w:t>
      </w:r>
      <w:r>
        <w:rPr>
          <w:rFonts w:ascii="Arial" w:cs="Arial" w:eastAsia="Arial" w:hAnsi="Arial"/>
          <w:sz w:val="18"/>
          <w:szCs w:val="18"/>
          <w:color w:val="auto"/>
        </w:rPr>
        <w:t>. For so long as any Note is outstanding, the Company on a consolidated basis with the Subsidiaries will not incur nor be liable for any Indebtedness other than Permitted Indebtedness, without the consent of the Majority in Interest.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become a Disqualification Event relating to any Issuer Covered Person not otherwise disclosed herein or in the SEC Reports.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Duration of Undertakings</w:t>
      </w:r>
      <w:r>
        <w:rPr>
          <w:rFonts w:ascii="Arial" w:cs="Arial" w:eastAsia="Arial" w:hAnsi="Arial"/>
          <w:sz w:val="18"/>
          <w:szCs w:val="18"/>
          <w:color w:val="auto"/>
        </w:rPr>
        <w:t>. Unless otherwise stated in this Article IV, all of the Company’s undertakings, obligations and responsibilities set forth in Article IV of this Agreement shall remain in effect for so long as any Securities remain outstanding.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6" w:name="page227"/>
    <w:bookmarkEnd w:id="226"/>
    <w:p>
      <w:pPr>
        <w:jc w:val="both"/>
        <w:ind w:firstLine="648"/>
        <w:spacing w:after="0" w:line="293" w:lineRule="auto"/>
        <w:rPr>
          <w:sz w:val="20"/>
          <w:szCs w:val="20"/>
          <w:color w:val="auto"/>
        </w:rPr>
      </w:pPr>
      <w:r>
        <w:rPr>
          <w:rFonts w:ascii="Arial" w:cs="Arial" w:eastAsia="Arial" w:hAnsi="Arial"/>
          <w:sz w:val="16"/>
          <w:szCs w:val="16"/>
          <w:color w:val="auto"/>
        </w:rPr>
        <w:t xml:space="preserve">4.27 </w:t>
      </w:r>
      <w:r>
        <w:rPr>
          <w:rFonts w:ascii="Arial" w:cs="Arial" w:eastAsia="Arial" w:hAnsi="Arial"/>
          <w:sz w:val="16"/>
          <w:szCs w:val="16"/>
          <w:u w:val="single" w:color="auto"/>
          <w:color w:val="auto"/>
        </w:rPr>
        <w:t>Shareholder Approval</w:t>
      </w:r>
      <w:r>
        <w:rPr>
          <w:rFonts w:ascii="Arial" w:cs="Arial" w:eastAsia="Arial" w:hAnsi="Arial"/>
          <w:sz w:val="16"/>
          <w:szCs w:val="16"/>
          <w:color w:val="auto"/>
        </w:rPr>
        <w:t>. The Company undertakes to use commercially reasonable efforts within one hundred (120) days after the Closing Date to obtain the consent of its shareholders (the “</w:t>
      </w:r>
      <w:r>
        <w:rPr>
          <w:rFonts w:ascii="Arial" w:cs="Arial" w:eastAsia="Arial" w:hAnsi="Arial"/>
          <w:sz w:val="16"/>
          <w:szCs w:val="16"/>
          <w:u w:val="single" w:color="auto"/>
          <w:color w:val="auto"/>
        </w:rPr>
        <w:t>Shareholder Approval</w:t>
      </w:r>
      <w:r>
        <w:rPr>
          <w:rFonts w:ascii="Arial" w:cs="Arial" w:eastAsia="Arial" w:hAnsi="Arial"/>
          <w:sz w:val="16"/>
          <w:szCs w:val="16"/>
          <w:color w:val="auto"/>
        </w:rPr>
        <w:t xml:space="preserve">”) for the issuance of any additional shares of its Common Stock that would be issued pursuant to Section 5 of the Notes and Section 2(a) of the Warrants, and any other shares of Common Stock or other securities issuable to the Purchasers pursuant to the Transaction Documents. The Company represents and warrants that not less than the amount of Underlying Shares set forth on </w:t>
      </w:r>
      <w:r>
        <w:rPr>
          <w:rFonts w:ascii="Arial" w:cs="Arial" w:eastAsia="Arial" w:hAnsi="Arial"/>
          <w:sz w:val="16"/>
          <w:szCs w:val="16"/>
          <w:u w:val="single" w:color="auto"/>
          <w:color w:val="auto"/>
        </w:rPr>
        <w:t>Schedule 4.27</w:t>
      </w:r>
      <w:r>
        <w:rPr>
          <w:rFonts w:ascii="Arial" w:cs="Arial" w:eastAsia="Arial" w:hAnsi="Arial"/>
          <w:sz w:val="16"/>
          <w:szCs w:val="16"/>
          <w:color w:val="auto"/>
        </w:rPr>
        <w:t xml:space="preserve"> may be immediately issued to the Purchasers upon Closing without the requirement of Shareholder Approval or any other approval. Each Purchaser may allocate its Pro Rata Portion of such Purchaser’s aggregate Underlying Shares to be issued upon conversion of Notes and exercise of Warrants.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will not affect the right of any party to sue for any breach by any other party (or parties).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At the Closing, the Company has agreed to pay G&amp;M for the legal fees in connection with G&amp;M’s representation of Alpha Capital Anstalt (and no other Purchasers except pursuant to the Escrow Agreement) in the amount of $30,000 (of which $15,000 has been paid). Except as expressly set forth in the Transaction Documents and on </w:t>
      </w:r>
      <w:r>
        <w:rPr>
          <w:rFonts w:ascii="Arial" w:cs="Arial" w:eastAsia="Arial" w:hAnsi="Arial"/>
          <w:sz w:val="16"/>
          <w:szCs w:val="16"/>
          <w:u w:val="single" w:color="auto"/>
          <w:color w:val="auto"/>
        </w:rPr>
        <w:t>Schedule 3.1(s)</w:t>
      </w:r>
      <w:r>
        <w:rPr>
          <w:rFonts w:ascii="Arial" w:cs="Arial" w:eastAsia="Arial" w:hAnsi="Arial"/>
          <w:sz w:val="16"/>
          <w:szCs w:val="16"/>
          <w:color w:val="auto"/>
        </w:rPr>
        <w:t>, each party shall pay the fees and expenses of its advisers, counsel, accountants and other experts, if any, and all other expenses incurred by such party incident to the negotiation, preparation, execution, delivery and performance of this Agreement. The Company shall reimburse Purchasers for all expenses incurred in connection with UCC, lien, judgment, tax and similar searches conducted in connection with the Offering.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 The Company shall be responsible for all wire fees incurred by the Escrow Agent for the receipt and disbursement of Subscription Amounts. Such fees may be disbursed by the Escrow Agent from any funds deliverable to or for the benefit of the Company. All of the Purchasers acknowledge that they have been advised to seek the advice of their own attorneys.</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and including the Disclosure Schedules,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7" w:name="page228"/>
    <w:bookmarkEnd w:id="227"/>
    <w:p>
      <w:pPr>
        <w:jc w:val="both"/>
        <w:ind w:firstLine="648"/>
        <w:spacing w:after="0" w:line="27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or telegram, or (v) transmitted via electronic mail, in each case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on a Business Day, and on the next Business Day if sent after normal business hours of the recipient on a non-Business Day. The addresses for such communications shall be: (i) if to the Company, to: XpresSpa Group, Inc,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 Attn: Edward Jankowski, CEO, email:</w:t>
      </w:r>
    </w:p>
    <w:p>
      <w:pPr>
        <w:spacing w:after="0" w:line="206" w:lineRule="auto"/>
        <w:rPr>
          <w:sz w:val="20"/>
          <w:szCs w:val="20"/>
          <w:color w:val="auto"/>
        </w:rPr>
      </w:pPr>
      <w:r>
        <w:rPr>
          <w:rFonts w:ascii="Arial" w:cs="Arial" w:eastAsia="Arial" w:hAnsi="Arial"/>
          <w:sz w:val="16"/>
          <w:szCs w:val="16"/>
          <w:color w:val="auto"/>
        </w:rPr>
        <w:t>notices@xpresspagroup.com, with a copy by 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w:t>
      </w:r>
    </w:p>
    <w:p>
      <w:pPr>
        <w:spacing w:after="0"/>
        <w:rPr>
          <w:sz w:val="20"/>
          <w:szCs w:val="20"/>
          <w:color w:val="auto"/>
        </w:rPr>
      </w:pPr>
      <w:r>
        <w:rPr>
          <w:rFonts w:ascii="Arial" w:cs="Arial" w:eastAsia="Arial" w:hAnsi="Arial"/>
          <w:sz w:val="16"/>
          <w:szCs w:val="16"/>
          <w:color w:val="auto"/>
        </w:rPr>
        <w:t>York, NY 10017, Attn: Kenneth R. Koch, Esq., email: krkoch@mintz.com, and (ii) if to the Purchasers, to: the addresses and email addresses indicated on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signature pages hereto, with an additional copy by email only to (which shall not constitute notice): Grushko &amp; Mittman, P.C., 515 Rockaway Avenue, Valley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Stream, New York 11581, email: counslers@gmail.com.</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the Purchasers holding at least a majority in interest of the component of the affected Securities then outstanding which must include Alpha Capital Anstalt for so long as Alpha Capital Anstalt holds a Note with outstanding principal and accrued interest of not less than $750,000 (the “</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or, in the case of a waiver, by the party against whom enforcement of any such waived provision is sought. Whenever the term “consent of the Purchasers” or a similar term is employed herein, it shall mean the consent of a Majority in Interest.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Following a Closing,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8" w:name="page229"/>
    <w:bookmarkEnd w:id="228"/>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suit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Section 4.10,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at any time prior to the Company’s performance of such obligations,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rescission of a conversion of a Note or exercise of a Warrant, the applicable Purchaser shall be required to return any shares of Common Stock subject to any such rescinded conversion or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9" w:name="page230"/>
    <w:bookmarkEnd w:id="229"/>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Usury</w:t>
      </w:r>
      <w:r>
        <w:rPr>
          <w:rFonts w:ascii="Arial" w:cs="Arial" w:eastAsia="Arial" w:hAnsi="Arial"/>
          <w:sz w:val="17"/>
          <w:szCs w:val="17"/>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Closing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0" w:name="page231"/>
    <w:bookmarkEnd w:id="230"/>
    <w:p>
      <w:pPr>
        <w:jc w:val="both"/>
        <w:ind w:firstLine="648"/>
        <w:spacing w:after="0" w:line="286"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G&amp;M.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If the last or appointed day for the taking of any action or the expiration of any right required or granted herein shall not be a Business Day or Trading Day, as the case may be, then such action may be taken or such right may be exercised on the next succeeding Business Day or Trading Day, as the case may be.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u w:val="single" w:color="auto"/>
          <w:color w:val="auto"/>
        </w:rPr>
        <w:t>Equitable Adjustment</w:t>
      </w:r>
      <w:r>
        <w:rPr>
          <w:rFonts w:ascii="Arial" w:cs="Arial" w:eastAsia="Arial" w:hAnsi="Arial"/>
          <w:sz w:val="17"/>
          <w:szCs w:val="17"/>
          <w:color w:val="auto"/>
        </w:rPr>
        <w:t>. Trading volume amounts, price/volume amounts, the amount of Warrants, the amount of shares of Common Stock identified in this Agreement, Conversion Price, Exercise Price, Underlying Shares and similar figures in the Transaction Documents shall be equitably adjusted (but without duplication) to offset the effect of stock splits, similar events and as otherwise described in this Agreement, Note and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1" w:name="page232"/>
    <w:bookmarkEnd w:id="23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6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XPRESSPA GROUP, INC.</w:t>
      </w:r>
      <w:r>
        <w:rPr>
          <w:sz w:val="20"/>
          <w:szCs w:val="20"/>
          <w:color w:val="auto"/>
        </w:rPr>
        <w:tab/>
      </w:r>
      <w:r>
        <w:rPr>
          <w:rFonts w:ascii="Arial" w:cs="Arial" w:eastAsia="Arial" w:hAnsi="Arial"/>
          <w:sz w:val="16"/>
          <w:szCs w:val="16"/>
          <w:u w:val="single" w:color="auto"/>
          <w:color w:val="auto"/>
        </w:rPr>
        <w:t>Address for Notice:</w:t>
      </w:r>
    </w:p>
    <w:p>
      <w:pPr>
        <w:spacing w:after="0" w:line="1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06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EJankowski@xpresspa.com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8987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Chrysler Center</w:t>
      </w:r>
    </w:p>
    <w:p>
      <w:pPr>
        <w:spacing w:after="0" w:line="186" w:lineRule="auto"/>
        <w:rPr>
          <w:sz w:val="20"/>
          <w:szCs w:val="20"/>
          <w:color w:val="auto"/>
        </w:rPr>
      </w:pPr>
      <w:r>
        <w:rPr>
          <w:rFonts w:ascii="Arial" w:cs="Arial" w:eastAsia="Arial" w:hAnsi="Arial"/>
          <w:sz w:val="18"/>
          <w:szCs w:val="18"/>
          <w:color w:val="auto"/>
        </w:rPr>
        <w:t>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w:t>
      </w:r>
    </w:p>
    <w:p>
      <w:pPr>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Kenneth R. Koch,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krkoch@mintz.com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2" w:name="page233"/>
    <w:bookmarkEnd w:id="232"/>
    <w:p>
      <w:pPr>
        <w:jc w:val="center"/>
        <w:ind w:right="-99"/>
        <w:spacing w:after="0"/>
        <w:rPr>
          <w:sz w:val="20"/>
          <w:szCs w:val="20"/>
          <w:color w:val="auto"/>
        </w:rPr>
      </w:pPr>
      <w:r>
        <w:rPr>
          <w:rFonts w:ascii="Arial" w:cs="Arial" w:eastAsia="Arial" w:hAnsi="Arial"/>
          <w:sz w:val="18"/>
          <w:szCs w:val="18"/>
          <w:color w:val="auto"/>
        </w:rPr>
        <w:t>[PURCHASER SIGNATURE PAGE TO XPRESSPA GROUP,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SECURITIES PURCHASE AGREEMENT]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Residence of Purchaser: 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Subscription Amount: </w:t>
      </w:r>
      <w:r>
        <w:rPr>
          <w:rFonts w:ascii="Arial" w:cs="Arial" w:eastAsia="Arial" w:hAnsi="Arial"/>
          <w:sz w:val="18"/>
          <w:szCs w:val="18"/>
          <w:u w:val="single" w:color="auto"/>
          <w:color w:val="auto"/>
        </w:rPr>
        <w:t>US$</w:t>
      </w:r>
      <w:r>
        <w:rPr>
          <w:rFonts w:ascii="Arial" w:cs="Arial" w:eastAsia="Arial" w:hAnsi="Arial"/>
          <w:sz w:val="18"/>
          <w:szCs w:val="18"/>
          <w:color w:val="auto"/>
        </w:rPr>
        <w:t>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principal amount: </w:t>
      </w:r>
      <w:r>
        <w:rPr>
          <w:rFonts w:ascii="Arial" w:cs="Arial" w:eastAsia="Arial" w:hAnsi="Arial"/>
          <w:sz w:val="18"/>
          <w:szCs w:val="18"/>
          <w:u w:val="single" w:color="auto"/>
          <w:color w:val="auto"/>
        </w:rPr>
        <w:t>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Class A Warrants: </w:t>
      </w:r>
      <w:r>
        <w:rPr>
          <w:rFonts w:ascii="Arial" w:cs="Arial" w:eastAsia="Arial" w:hAnsi="Arial"/>
          <w:sz w:val="18"/>
          <w:szCs w:val="18"/>
          <w:u w:val="single" w:color="auto"/>
          <w:color w:val="auto"/>
        </w:rPr>
        <w:t>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B Warrants: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if applicable, will be provided under separate cover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01"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9660" w:type="dxa"/>
            <w:vAlign w:val="bottom"/>
            <w:gridSpan w:val="3"/>
          </w:tcPr>
          <w:p>
            <w:pPr>
              <w:ind w:left="2740"/>
              <w:spacing w:after="0"/>
              <w:rPr>
                <w:sz w:val="20"/>
                <w:szCs w:val="20"/>
                <w:color w:val="auto"/>
              </w:rPr>
            </w:pPr>
            <w:r>
              <w:rPr>
                <w:rFonts w:ascii="Arial" w:cs="Arial" w:eastAsia="Arial" w:hAnsi="Arial"/>
                <w:sz w:val="18"/>
                <w:szCs w:val="18"/>
                <w:b w:val="1"/>
                <w:bCs w:val="1"/>
                <w:color w:val="auto"/>
              </w:rPr>
              <w:t>EXHIBITS AND SCHEDULES</w:t>
            </w:r>
          </w:p>
        </w:tc>
      </w:tr>
      <w:tr>
        <w:trPr>
          <w:trHeight w:val="438"/>
        </w:trPr>
        <w:tc>
          <w:tcPr>
            <w:tcW w:w="1760" w:type="dxa"/>
            <w:vAlign w:val="bottom"/>
          </w:tcPr>
          <w:p>
            <w:pPr>
              <w:spacing w:after="0"/>
              <w:rPr>
                <w:sz w:val="20"/>
                <w:szCs w:val="20"/>
                <w:color w:val="auto"/>
              </w:rPr>
            </w:pPr>
            <w:r>
              <w:rPr>
                <w:rFonts w:ascii="Arial" w:cs="Arial" w:eastAsia="Arial" w:hAnsi="Arial"/>
                <w:sz w:val="18"/>
                <w:szCs w:val="18"/>
                <w:color w:val="auto"/>
              </w:rPr>
              <w:t>Exhibit A</w:t>
            </w:r>
          </w:p>
        </w:tc>
        <w:tc>
          <w:tcPr>
            <w:tcW w:w="2740" w:type="dxa"/>
            <w:vAlign w:val="bottom"/>
          </w:tcPr>
          <w:p>
            <w:pPr>
              <w:ind w:left="540"/>
              <w:spacing w:after="0"/>
              <w:rPr>
                <w:sz w:val="20"/>
                <w:szCs w:val="20"/>
                <w:color w:val="auto"/>
              </w:rPr>
            </w:pPr>
            <w:r>
              <w:rPr>
                <w:rFonts w:ascii="Arial" w:cs="Arial" w:eastAsia="Arial" w:hAnsi="Arial"/>
                <w:sz w:val="18"/>
                <w:szCs w:val="18"/>
                <w:color w:val="auto"/>
              </w:rPr>
              <w:t>Form of Note</w:t>
            </w:r>
          </w:p>
        </w:tc>
        <w:tc>
          <w:tcPr>
            <w:tcW w:w="24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B-1</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Form of Class A Warrant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B-2</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Form of Class B Warrant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C</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Escrow Agreement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D</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Form of Security Agreement and Joinder Agreement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E</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Form of Legal Opinion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F</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Form of Investor Questionnaire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G</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Form of Form 8-K</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H</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Amendment to Credit Agreement</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Exhibit I</w:t>
            </w:r>
          </w:p>
        </w:tc>
        <w:tc>
          <w:tcPr>
            <w:tcW w:w="9660" w:type="dxa"/>
            <w:vAlign w:val="bottom"/>
            <w:gridSpan w:val="3"/>
          </w:tcPr>
          <w:p>
            <w:pPr>
              <w:ind w:left="540"/>
              <w:spacing w:after="0"/>
              <w:rPr>
                <w:sz w:val="20"/>
                <w:szCs w:val="20"/>
                <w:color w:val="auto"/>
              </w:rPr>
            </w:pPr>
            <w:r>
              <w:rPr>
                <w:rFonts w:ascii="Arial" w:cs="Arial" w:eastAsia="Arial" w:hAnsi="Arial"/>
                <w:sz w:val="18"/>
                <w:szCs w:val="18"/>
                <w:color w:val="auto"/>
              </w:rPr>
              <w:t>Registration Rights Agreement</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Schedule 3.1(a)</w:t>
            </w:r>
          </w:p>
        </w:tc>
        <w:tc>
          <w:tcPr>
            <w:tcW w:w="2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3.1(g)</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3.1(h)</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3.1(i)</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3.1(k)</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3.1(p)</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3.1(s)</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3.1(z)</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3.1(cc)</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3.1(ll)</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4.9</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4.13</w:t>
            </w:r>
          </w:p>
        </w:tc>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Schedule 4.27</w:t>
            </w:r>
          </w:p>
        </w:tc>
        <w:tc>
          <w:tcPr>
            <w:tcW w:w="2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48"/>
        </w:trPr>
        <w:tc>
          <w:tcPr>
            <w:tcW w:w="1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ind w:left="3880"/>
              <w:spacing w:after="0"/>
              <w:rPr>
                <w:sz w:val="20"/>
                <w:szCs w:val="20"/>
                <w:color w:val="auto"/>
              </w:rPr>
            </w:pPr>
            <w:r>
              <w:rPr>
                <w:rFonts w:ascii="Arial" w:cs="Arial" w:eastAsia="Arial" w:hAnsi="Arial"/>
                <w:sz w:val="18"/>
                <w:szCs w:val="18"/>
                <w:color w:val="auto"/>
              </w:rPr>
              <w:t>47</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4"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ACCREDITED INVESTOR QUESTIONNAIRE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CONNECTION WITH INVESTMENT IN 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PURCHASE AGREEMENT DATED MAY 15, 2018</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XpresSpa Group, Inc.</w:t>
      </w:r>
    </w:p>
    <w:p>
      <w:pPr>
        <w:ind w:left="58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EJankowski@xpresspa.com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ANSWER ALL QUESTIONS. If the appropriate answer is “None” or “Not Applicable”, so state. Please print or type your answers to all questions. Attach additional sheets if necessary to complete your answers to any item.</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Your answers will be kept strictly confidential at all times. However, XpresSpa Group, Inc. (the “Company”) may present this Questionnaire to such parties as it deems appropriate in order to assure itself that the offer and sale of securities of the Company will not result in a violation of the registration provisions of the Securities Act of 1933, as amended, or a violation of the securities laws of any state.</w:t>
      </w:r>
    </w:p>
    <w:p>
      <w:pPr>
        <w:spacing w:after="0" w:line="181" w:lineRule="exact"/>
        <w:rPr>
          <w:sz w:val="20"/>
          <w:szCs w:val="20"/>
          <w:color w:val="auto"/>
        </w:rPr>
      </w:pPr>
    </w:p>
    <w:p>
      <w:pPr>
        <w:ind w:left="600" w:hanging="592"/>
        <w:spacing w:after="0"/>
        <w:tabs>
          <w:tab w:leader="none" w:pos="6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Please provide the following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additional purchaser: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information in Question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54286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of birth, or if other than an individual, year of organization or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0" w:hanging="592"/>
        <w:spacing w:after="0"/>
        <w:tabs>
          <w:tab w:leader="none" w:pos="6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Residence address, or if other than an individual, principal office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14605</wp:posOffset>
            </wp:positionV>
            <wp:extent cx="52825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Business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9" w:lineRule="exact"/>
        <w:rPr>
          <w:sz w:val="20"/>
          <w:szCs w:val="20"/>
          <w:color w:val="auto"/>
        </w:rPr>
      </w:pPr>
    </w:p>
    <w:p>
      <w:pPr>
        <w:spacing w:after="0"/>
        <w:tabs>
          <w:tab w:leader="none" w:pos="340" w:val="left"/>
          <w:tab w:leader="none" w:pos="4000" w:val="left"/>
          <w:tab w:leader="none" w:pos="7760" w:val="left"/>
        </w:tabs>
        <w:rPr>
          <w:sz w:val="20"/>
          <w:szCs w:val="20"/>
          <w:color w:val="auto"/>
        </w:rPr>
      </w:pPr>
      <w:r>
        <w:rPr>
          <w:rFonts w:ascii="Arial" w:cs="Arial" w:eastAsia="Arial" w:hAnsi="Arial"/>
          <w:sz w:val="18"/>
          <w:szCs w:val="18"/>
          <w:color w:val="auto"/>
        </w:rPr>
        <w:t>4.</w:t>
        <w:tab/>
        <w:t>Send mail to:</w:t>
      </w:r>
      <w:r>
        <w:rPr>
          <w:sz w:val="20"/>
          <w:szCs w:val="20"/>
          <w:color w:val="auto"/>
        </w:rPr>
        <w:tab/>
      </w:r>
      <w:r>
        <w:rPr>
          <w:rFonts w:ascii="Arial" w:cs="Arial" w:eastAsia="Arial" w:hAnsi="Arial"/>
          <w:sz w:val="18"/>
          <w:szCs w:val="18"/>
          <w:color w:val="auto"/>
        </w:rPr>
        <w:t>Residence ______</w:t>
      </w:r>
      <w:r>
        <w:rPr>
          <w:sz w:val="20"/>
          <w:szCs w:val="20"/>
          <w:color w:val="auto"/>
        </w:rPr>
        <w:tab/>
      </w:r>
      <w:r>
        <w:rPr>
          <w:rFonts w:ascii="Arial" w:cs="Arial" w:eastAsia="Arial" w:hAnsi="Arial"/>
          <w:sz w:val="15"/>
          <w:szCs w:val="15"/>
          <w:color w:val="auto"/>
        </w:rPr>
        <w:t>Business _______</w:t>
      </w:r>
    </w:p>
    <w:p>
      <w:pPr>
        <w:spacing w:after="0" w:line="225" w:lineRule="exact"/>
        <w:rPr>
          <w:sz w:val="20"/>
          <w:szCs w:val="20"/>
          <w:color w:val="auto"/>
        </w:rPr>
      </w:pPr>
    </w:p>
    <w:p>
      <w:pPr>
        <w:ind w:right="1500" w:firstLine="8"/>
        <w:spacing w:after="0" w:line="528" w:lineRule="auto"/>
        <w:tabs>
          <w:tab w:leader="none" w:pos="58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With respect to tenants in common, joint tenants and tenants by the entirety, complete only if information differs from that above: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-148590</wp:posOffset>
            </wp:positionV>
            <wp:extent cx="63119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61144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14605</wp:posOffset>
            </wp:positionV>
            <wp:extent cx="57372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Business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54286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3880" w:val="left"/>
          <w:tab w:leader="none" w:pos="7640" w:val="left"/>
        </w:tabs>
        <w:rPr>
          <w:sz w:val="20"/>
          <w:szCs w:val="20"/>
          <w:color w:val="auto"/>
        </w:rPr>
      </w:pPr>
      <w:r>
        <w:rPr>
          <w:rFonts w:ascii="Arial" w:cs="Arial" w:eastAsia="Arial" w:hAnsi="Arial"/>
          <w:sz w:val="18"/>
          <w:szCs w:val="18"/>
          <w:color w:val="auto"/>
        </w:rPr>
        <w:t>Send Mail to:</w:t>
      </w:r>
      <w:r>
        <w:rPr>
          <w:sz w:val="20"/>
          <w:szCs w:val="20"/>
          <w:color w:val="auto"/>
        </w:rPr>
        <w:tab/>
      </w:r>
      <w:r>
        <w:rPr>
          <w:rFonts w:ascii="Arial" w:cs="Arial" w:eastAsia="Arial" w:hAnsi="Arial"/>
          <w:sz w:val="18"/>
          <w:szCs w:val="18"/>
          <w:color w:val="auto"/>
        </w:rPr>
        <w:t>Residence _______</w:t>
      </w:r>
      <w:r>
        <w:rPr>
          <w:sz w:val="20"/>
          <w:szCs w:val="20"/>
          <w:color w:val="auto"/>
        </w:rPr>
        <w:tab/>
      </w:r>
      <w:r>
        <w:rPr>
          <w:rFonts w:ascii="Arial" w:cs="Arial" w:eastAsia="Arial" w:hAnsi="Arial"/>
          <w:sz w:val="16"/>
          <w:szCs w:val="16"/>
          <w:color w:val="auto"/>
        </w:rPr>
        <w:t>Business _______</w:t>
      </w:r>
    </w:p>
    <w:p>
      <w:pPr>
        <w:spacing w:after="0" w:line="225" w:lineRule="exact"/>
        <w:rPr>
          <w:sz w:val="20"/>
          <w:szCs w:val="20"/>
          <w:color w:val="auto"/>
        </w:rPr>
      </w:pPr>
    </w:p>
    <w:p>
      <w:pPr>
        <w:jc w:val="both"/>
        <w:ind w:firstLine="8"/>
        <w:spacing w:after="0" w:line="264" w:lineRule="auto"/>
        <w:tabs>
          <w:tab w:leader="none" w:pos="67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Please describe your present or most recent business or occupation and indicate such information as the nature of your employment, how long you have been employed there, the principal business of your employer, the principal activities under your management or supervision and the scope (e.g. dollar volume, industry rank, etc.) of such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6" w:name="page237"/>
    <w:bookmarkEnd w:id="236"/>
    <w:p>
      <w:pPr>
        <w:jc w:val="both"/>
        <w:ind w:firstLine="8"/>
        <w:spacing w:after="0" w:line="264" w:lineRule="auto"/>
        <w:tabs>
          <w:tab w:leader="none" w:pos="59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Please state whether you (i) are associated with or affiliated with a member of the Financial Industry Regulatory Association, Inc. (“FINRA”), (ii) are an owner of stock or other securities of FINRA member (other than stock or other securities purchased on the open market), or (iii) have made a subordinated loan to any FINRA member:</w:t>
      </w:r>
    </w:p>
    <w:p>
      <w:pPr>
        <w:sectPr>
          <w:pgSz w:w="11900" w:h="16838" w:orient="portrait"/>
          <w:cols w:equalWidth="0" w:num="1">
            <w:col w:w="11420"/>
          </w:cols>
          <w:pgMar w:left="240" w:top="800" w:right="239" w:bottom="1440" w:gutter="0" w:footer="0" w:header="0"/>
        </w:sectPr>
      </w:pPr>
    </w:p>
    <w:p>
      <w:pPr>
        <w:spacing w:after="0" w:line="149"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you answered yes to any of (i) – (iii) above, please indicate the applicable answer and briefly describe the facts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8A. Applicable to Individuals ONLY. Please answer the following questions concerning your financial condition as an Accredited Investor (within the meaning of Rule 501 of Regulation D). If the purchaser is more than one individual, each individual must initial an answer where the question indicates a “yes” or “no” response and must answer any other question fully, indicating to which individual such answer applies. If the purchaser is purchasing jointly with his or her spouse, one answer may be indicated for the couple as a whole:</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Does your net worth* (or joint net worth with your spouse) exceed $1,000,000?</w:t>
      </w:r>
    </w:p>
    <w:p>
      <w:pPr>
        <w:sectPr>
          <w:pgSz w:w="11900" w:h="16838" w:orient="portrait"/>
          <w:cols w:equalWidth="0" w:num="1">
            <w:col w:w="11420"/>
          </w:cols>
          <w:pgMar w:left="240" w:top="800" w:right="239" w:bottom="1440" w:gutter="0" w:footer="0" w:header="0"/>
          <w:type w:val="continuous"/>
        </w:sectPr>
      </w:pPr>
    </w:p>
    <w:p>
      <w:pPr>
        <w:spacing w:after="0" w:line="193"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8.2 Did you have an individual income** in excess of $200,000 or joint income together with your spouse in excess of $300,000 in each of the two most recent years and do you reasonably expect to reach the same income level in the current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80" w:type="dxa"/>
            <w:vAlign w:val="bottom"/>
          </w:tcPr>
          <w:p>
            <w:pPr>
              <w:spacing w:after="0"/>
              <w:rPr>
                <w:sz w:val="21"/>
                <w:szCs w:val="21"/>
                <w:color w:val="auto"/>
              </w:rPr>
            </w:pPr>
          </w:p>
        </w:tc>
        <w:tc>
          <w:tcPr>
            <w:tcW w:w="4480" w:type="dxa"/>
            <w:vAlign w:val="bottom"/>
          </w:tcPr>
          <w:p>
            <w:pPr>
              <w:ind w:left="250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80" w:type="dxa"/>
            <w:vAlign w:val="bottom"/>
          </w:tcPr>
          <w:p>
            <w:pPr>
              <w:spacing w:after="0"/>
              <w:rPr>
                <w:sz w:val="20"/>
                <w:szCs w:val="20"/>
                <w:color w:val="auto"/>
              </w:rPr>
            </w:pPr>
          </w:p>
        </w:tc>
        <w:tc>
          <w:tcPr>
            <w:tcW w:w="4480" w:type="dxa"/>
            <w:vAlign w:val="bottom"/>
          </w:tcPr>
          <w:p>
            <w:pPr>
              <w:ind w:left="2500"/>
              <w:spacing w:after="0"/>
              <w:rPr>
                <w:sz w:val="20"/>
                <w:szCs w:val="20"/>
                <w:color w:val="auto"/>
              </w:rPr>
            </w:pPr>
            <w:r>
              <w:rPr>
                <w:rFonts w:ascii="Arial" w:cs="Arial" w:eastAsia="Arial" w:hAnsi="Arial"/>
                <w:sz w:val="18"/>
                <w:szCs w:val="18"/>
                <w:color w:val="auto"/>
              </w:rPr>
              <w:t>Yes</w:t>
            </w:r>
          </w:p>
        </w:tc>
        <w:tc>
          <w:tcPr>
            <w:tcW w:w="1100" w:type="dxa"/>
            <w:vAlign w:val="bottom"/>
          </w:tcPr>
          <w:p>
            <w:pPr>
              <w:ind w:left="880"/>
              <w:spacing w:after="0"/>
              <w:rPr>
                <w:sz w:val="20"/>
                <w:szCs w:val="20"/>
                <w:color w:val="auto"/>
              </w:rPr>
            </w:pPr>
            <w:r>
              <w:rPr>
                <w:rFonts w:ascii="Arial" w:cs="Arial" w:eastAsia="Arial" w:hAnsi="Arial"/>
                <w:sz w:val="18"/>
                <w:szCs w:val="18"/>
                <w:color w:val="auto"/>
                <w:w w:val="86"/>
              </w:rPr>
              <w:t>No</w:t>
            </w:r>
          </w:p>
        </w:tc>
      </w:tr>
      <w:tr>
        <w:trPr>
          <w:trHeight w:val="432"/>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8.3</w:t>
            </w:r>
          </w:p>
        </w:tc>
        <w:tc>
          <w:tcPr>
            <w:tcW w:w="4480" w:type="dxa"/>
            <w:vAlign w:val="bottom"/>
          </w:tcPr>
          <w:p>
            <w:pPr>
              <w:ind w:left="240"/>
              <w:spacing w:after="0"/>
              <w:rPr>
                <w:sz w:val="20"/>
                <w:szCs w:val="20"/>
                <w:color w:val="auto"/>
              </w:rPr>
            </w:pPr>
            <w:r>
              <w:rPr>
                <w:rFonts w:ascii="Arial" w:cs="Arial" w:eastAsia="Arial" w:hAnsi="Arial"/>
                <w:sz w:val="18"/>
                <w:szCs w:val="18"/>
                <w:color w:val="auto"/>
              </w:rPr>
              <w:t>Are you an executive officer of the Company?</w:t>
            </w:r>
          </w:p>
        </w:tc>
        <w:tc>
          <w:tcPr>
            <w:tcW w:w="1100" w:type="dxa"/>
            <w:vAlign w:val="bottom"/>
          </w:tcPr>
          <w:p>
            <w:pPr>
              <w:spacing w:after="0"/>
              <w:rPr>
                <w:sz w:val="24"/>
                <w:szCs w:val="24"/>
                <w:color w:val="auto"/>
              </w:rPr>
            </w:pPr>
          </w:p>
        </w:tc>
      </w:tr>
      <w:tr>
        <w:trPr>
          <w:trHeight w:val="418"/>
        </w:trPr>
        <w:tc>
          <w:tcPr>
            <w:tcW w:w="480" w:type="dxa"/>
            <w:vAlign w:val="bottom"/>
          </w:tcPr>
          <w:p>
            <w:pPr>
              <w:spacing w:after="0"/>
              <w:rPr>
                <w:sz w:val="24"/>
                <w:szCs w:val="24"/>
                <w:color w:val="auto"/>
              </w:rPr>
            </w:pPr>
          </w:p>
        </w:tc>
        <w:tc>
          <w:tcPr>
            <w:tcW w:w="4480" w:type="dxa"/>
            <w:vAlign w:val="bottom"/>
          </w:tcPr>
          <w:p>
            <w:pPr>
              <w:ind w:left="250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80" w:type="dxa"/>
            <w:vAlign w:val="bottom"/>
          </w:tcPr>
          <w:p>
            <w:pPr>
              <w:spacing w:after="0"/>
              <w:rPr>
                <w:sz w:val="20"/>
                <w:szCs w:val="20"/>
                <w:color w:val="auto"/>
              </w:rPr>
            </w:pPr>
          </w:p>
        </w:tc>
        <w:tc>
          <w:tcPr>
            <w:tcW w:w="4480" w:type="dxa"/>
            <w:vAlign w:val="bottom"/>
          </w:tcPr>
          <w:p>
            <w:pPr>
              <w:ind w:left="2500"/>
              <w:spacing w:after="0"/>
              <w:rPr>
                <w:sz w:val="20"/>
                <w:szCs w:val="20"/>
                <w:color w:val="auto"/>
              </w:rPr>
            </w:pPr>
            <w:r>
              <w:rPr>
                <w:rFonts w:ascii="Arial" w:cs="Arial" w:eastAsia="Arial" w:hAnsi="Arial"/>
                <w:sz w:val="18"/>
                <w:szCs w:val="18"/>
                <w:color w:val="auto"/>
              </w:rPr>
              <w:t>Yes</w:t>
            </w:r>
          </w:p>
        </w:tc>
        <w:tc>
          <w:tcPr>
            <w:tcW w:w="1100" w:type="dxa"/>
            <w:vAlign w:val="bottom"/>
          </w:tcPr>
          <w:p>
            <w:pPr>
              <w:ind w:left="880"/>
              <w:spacing w:after="0"/>
              <w:rPr>
                <w:sz w:val="20"/>
                <w:szCs w:val="20"/>
                <w:color w:val="auto"/>
              </w:rPr>
            </w:pPr>
            <w:r>
              <w:rPr>
                <w:rFonts w:ascii="Arial" w:cs="Arial" w:eastAsia="Arial" w:hAnsi="Arial"/>
                <w:sz w:val="18"/>
                <w:szCs w:val="18"/>
                <w:color w:val="auto"/>
                <w:w w:val="86"/>
              </w:rPr>
              <w:t>No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For purposes hereof, net worth shall be deemed to include ALL of your assets, liquid or illiquid MINUS any liabilities.</w:t>
      </w:r>
    </w:p>
    <w:p>
      <w:pPr>
        <w:spacing w:after="0" w:line="225" w:lineRule="exact"/>
        <w:rPr>
          <w:sz w:val="20"/>
          <w:szCs w:val="20"/>
          <w:color w:val="auto"/>
        </w:rPr>
      </w:pPr>
    </w:p>
    <w:p>
      <w:pPr>
        <w:jc w:val="both"/>
        <w:ind w:firstLine="8"/>
        <w:spacing w:after="0" w:line="276" w:lineRule="auto"/>
        <w:tabs>
          <w:tab w:leader="none" w:pos="24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For purposes hereof, the term “income” is not limited to “adjusted gross income” as that term is defined for federal income tax purposes, but rather includes certain items of income which are deducted in computing “adjusted gross income”. For investors who are salaried employees, the gross salary of such investor, minus any significant expenses personally incurred by such investor in connection with earning the salary, plus any income from any other source including unearned income, is a fair measure of “income” for purposes hereof. For investors who are self-employed, “income” is generally construed to mean total revenues received during the calendar year minus significant expenses incurred in connection with earning such revenues.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37" w:name="page238"/>
    <w:bookmarkEnd w:id="237"/>
    <w:p>
      <w:pPr>
        <w:spacing w:after="0"/>
        <w:tabs>
          <w:tab w:leader="none" w:pos="460" w:val="left"/>
        </w:tabs>
        <w:rPr>
          <w:sz w:val="20"/>
          <w:szCs w:val="20"/>
          <w:color w:val="auto"/>
        </w:rPr>
      </w:pPr>
      <w:r>
        <w:rPr>
          <w:rFonts w:ascii="Arial" w:cs="Arial" w:eastAsia="Arial" w:hAnsi="Arial"/>
          <w:sz w:val="18"/>
          <w:szCs w:val="18"/>
          <w:color w:val="auto"/>
        </w:rPr>
        <w:t>8.B</w:t>
      </w:r>
      <w:r>
        <w:rPr>
          <w:sz w:val="20"/>
          <w:szCs w:val="20"/>
          <w:color w:val="auto"/>
        </w:rPr>
        <w:tab/>
      </w:r>
      <w:r>
        <w:rPr>
          <w:rFonts w:ascii="Arial" w:cs="Arial" w:eastAsia="Arial" w:hAnsi="Arial"/>
          <w:sz w:val="16"/>
          <w:szCs w:val="16"/>
          <w:color w:val="auto"/>
        </w:rPr>
        <w:t>Applicable to Corporations, Partnerships, Trusts, Limited Liability Companies and other Entities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purchaser is an Accredited Investor because the purchaser falls within at least one of the following categories (Check all appropriate lines):</w:t>
      </w:r>
    </w:p>
    <w:p>
      <w:pPr>
        <w:spacing w:after="0" w:line="225" w:lineRule="exact"/>
        <w:rPr>
          <w:sz w:val="20"/>
          <w:szCs w:val="20"/>
          <w:color w:val="auto"/>
        </w:rPr>
      </w:pPr>
    </w:p>
    <w:p>
      <w:pPr>
        <w:ind w:left="1960" w:hanging="655"/>
        <w:spacing w:after="0"/>
        <w:tabs>
          <w:tab w:leader="none" w:pos="1960" w:val="left"/>
        </w:tabs>
        <w:numPr>
          <w:ilvl w:val="0"/>
          <w:numId w:val="227"/>
        </w:numPr>
        <w:rPr>
          <w:rFonts w:ascii="MS PGothic" w:cs="MS PGothic" w:eastAsia="MS PGothic" w:hAnsi="MS PGothic"/>
          <w:sz w:val="16"/>
          <w:szCs w:val="16"/>
          <w:color w:val="auto"/>
        </w:rPr>
      </w:pPr>
      <w:r>
        <w:rPr>
          <w:rFonts w:ascii="Arial" w:cs="Arial" w:eastAsia="Arial" w:hAnsi="Arial"/>
          <w:sz w:val="16"/>
          <w:szCs w:val="16"/>
          <w:color w:val="auto"/>
        </w:rPr>
        <w:t>(i) a bank as defined in Section 3(a)(2) of the Act or a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1960"/>
        <w:spacing w:after="0"/>
        <w:rPr>
          <w:rFonts w:ascii="MS PGothic" w:cs="MS PGothic" w:eastAsia="MS PGothic" w:hAnsi="MS PGothic"/>
          <w:sz w:val="16"/>
          <w:szCs w:val="16"/>
          <w:color w:val="auto"/>
        </w:rPr>
      </w:pPr>
      <w:r>
        <w:rPr>
          <w:rFonts w:ascii="Arial" w:cs="Arial" w:eastAsia="Arial" w:hAnsi="Arial"/>
          <w:sz w:val="18"/>
          <w:szCs w:val="18"/>
          <w:color w:val="auto"/>
        </w:rPr>
        <w:t>(A) of the Act whether acting in its individual or fiduciary capacity;</w:t>
      </w:r>
    </w:p>
    <w:p>
      <w:pPr>
        <w:spacing w:after="0" w:line="209" w:lineRule="exact"/>
        <w:rPr>
          <w:rFonts w:ascii="MS PGothic" w:cs="MS PGothic" w:eastAsia="MS PGothic" w:hAnsi="MS PGothic"/>
          <w:sz w:val="16"/>
          <w:szCs w:val="16"/>
          <w:color w:val="auto"/>
        </w:rPr>
      </w:pPr>
    </w:p>
    <w:p>
      <w:pPr>
        <w:ind w:left="1960" w:hanging="655"/>
        <w:spacing w:after="0"/>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(ii) a broker-dealer registered pursuant to Section 15 of the Securities Exchange Act of 1934, as amended;</w:t>
      </w:r>
    </w:p>
    <w:p>
      <w:pPr>
        <w:spacing w:after="0" w:line="225" w:lineRule="exact"/>
        <w:rPr>
          <w:rFonts w:ascii="MS PGothic" w:cs="MS PGothic" w:eastAsia="MS PGothic" w:hAnsi="MS PGothic"/>
          <w:sz w:val="18"/>
          <w:szCs w:val="18"/>
          <w:color w:val="auto"/>
        </w:rPr>
      </w:pPr>
    </w:p>
    <w:p>
      <w:pPr>
        <w:ind w:left="1960" w:hanging="655"/>
        <w:spacing w:after="0"/>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(iii) an insurance company as defined in Section 2(13) of the Act;</w:t>
      </w:r>
    </w:p>
    <w:p>
      <w:pPr>
        <w:spacing w:after="0" w:line="225" w:lineRule="exact"/>
        <w:rPr>
          <w:rFonts w:ascii="MS PGothic" w:cs="MS PGothic" w:eastAsia="MS PGothic" w:hAnsi="MS PGothic"/>
          <w:sz w:val="18"/>
          <w:szCs w:val="18"/>
          <w:color w:val="auto"/>
        </w:rPr>
      </w:pPr>
    </w:p>
    <w:p>
      <w:pPr>
        <w:ind w:left="1960" w:hanging="655"/>
        <w:spacing w:after="0" w:line="277" w:lineRule="auto"/>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(iv) an investment company registered under the Investment Company Act of 1940, as amended (the “Investment Act”) or a business development company as defined in Section 2(a)(48) of the Investment Act;</w:t>
      </w:r>
    </w:p>
    <w:p>
      <w:pPr>
        <w:spacing w:after="0" w:line="170" w:lineRule="exact"/>
        <w:rPr>
          <w:rFonts w:ascii="MS PGothic" w:cs="MS PGothic" w:eastAsia="MS PGothic" w:hAnsi="MS PGothic"/>
          <w:sz w:val="18"/>
          <w:szCs w:val="18"/>
          <w:color w:val="auto"/>
        </w:rPr>
      </w:pPr>
    </w:p>
    <w:p>
      <w:pPr>
        <w:ind w:left="1960" w:hanging="655"/>
        <w:spacing w:after="0" w:line="277" w:lineRule="auto"/>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(v) a Small Business Investment Company licensed by the U.S. Small Business Administration under Section 301(c) or (d) of the Small Business Investment Act of 1958, as amended;</w:t>
      </w:r>
    </w:p>
    <w:p>
      <w:pPr>
        <w:spacing w:after="0" w:line="170" w:lineRule="exact"/>
        <w:rPr>
          <w:rFonts w:ascii="MS PGothic" w:cs="MS PGothic" w:eastAsia="MS PGothic" w:hAnsi="MS PGothic"/>
          <w:sz w:val="18"/>
          <w:szCs w:val="18"/>
          <w:color w:val="auto"/>
        </w:rPr>
      </w:pPr>
    </w:p>
    <w:p>
      <w:pPr>
        <w:ind w:left="1960" w:right="20" w:hanging="655"/>
        <w:spacing w:after="0" w:line="277" w:lineRule="auto"/>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(vi) a plan established and maintained by a state, its political subdivisions, or any agency or instrumentality of a state or its political subdivisions, for the benefit of its employees, where such plan has total assets in excess of $5,000,000;</w:t>
      </w:r>
    </w:p>
    <w:p>
      <w:pPr>
        <w:spacing w:after="0" w:line="170" w:lineRule="exact"/>
        <w:rPr>
          <w:rFonts w:ascii="MS PGothic" w:cs="MS PGothic" w:eastAsia="MS PGothic" w:hAnsi="MS PGothic"/>
          <w:sz w:val="18"/>
          <w:szCs w:val="18"/>
          <w:color w:val="auto"/>
        </w:rPr>
      </w:pPr>
    </w:p>
    <w:p>
      <w:pPr>
        <w:jc w:val="both"/>
        <w:ind w:left="1960" w:hanging="655"/>
        <w:spacing w:after="0" w:line="257" w:lineRule="auto"/>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(vii) an employee benefit plan within the meaning of Title 1 of the Employee Retirement Income Security Act of 1974, as amended (the “Employee Act”), where the investment decision is made by a plan fiduciary, as defined in Section 3(21) of the Employee Act, which is either a bank, savings and loan association, insurance company, or registered investment adviser, or an employee benefit plan that has total assets in excess of $5,000,000, or a self-directed plan the investment decisions of which are made solely by persons that are Accredited Investors;</w:t>
      </w:r>
    </w:p>
    <w:p>
      <w:pPr>
        <w:spacing w:after="0" w:line="188" w:lineRule="exact"/>
        <w:rPr>
          <w:rFonts w:ascii="MS PGothic" w:cs="MS PGothic" w:eastAsia="MS PGothic" w:hAnsi="MS PGothic"/>
          <w:sz w:val="18"/>
          <w:szCs w:val="18"/>
          <w:color w:val="auto"/>
        </w:rPr>
      </w:pPr>
    </w:p>
    <w:p>
      <w:pPr>
        <w:ind w:left="1960" w:hanging="655"/>
        <w:spacing w:after="0" w:line="277" w:lineRule="auto"/>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(viii) a private business development company, as defined in Section 202(a)(22) of the Investment Advisers Act of 1940, as amended;</w:t>
      </w:r>
    </w:p>
    <w:p>
      <w:pPr>
        <w:spacing w:after="0" w:line="170" w:lineRule="exact"/>
        <w:rPr>
          <w:rFonts w:ascii="MS PGothic" w:cs="MS PGothic" w:eastAsia="MS PGothic" w:hAnsi="MS PGothic"/>
          <w:sz w:val="18"/>
          <w:szCs w:val="18"/>
          <w:color w:val="auto"/>
        </w:rPr>
      </w:pPr>
    </w:p>
    <w:p>
      <w:pPr>
        <w:jc w:val="both"/>
        <w:ind w:left="1960" w:hanging="655"/>
        <w:spacing w:after="0" w:line="264" w:lineRule="auto"/>
        <w:tabs>
          <w:tab w:leader="none" w:pos="1960"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(ix) an organization described in Section 501(c)(3) of the Internal Revenue Code, a corporation, a Massachusetts or similar business trust, or a partnership, not formed for the specific purpose of acquiring the securities offered, with total assets in excess of $5,000,000;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8" w:name="page239"/>
    <w:bookmarkEnd w:id="238"/>
    <w:p>
      <w:pPr>
        <w:jc w:val="both"/>
        <w:ind w:left="1960" w:hanging="655"/>
        <w:spacing w:after="0" w:line="259" w:lineRule="auto"/>
        <w:tabs>
          <w:tab w:leader="none" w:pos="1960" w:val="left"/>
        </w:tabs>
        <w:numPr>
          <w:ilvl w:val="0"/>
          <w:numId w:val="228"/>
        </w:numPr>
        <w:rPr>
          <w:rFonts w:ascii="MS PGothic" w:cs="MS PGothic" w:eastAsia="MS PGothic" w:hAnsi="MS PGothic"/>
          <w:sz w:val="18"/>
          <w:szCs w:val="18"/>
          <w:color w:val="auto"/>
        </w:rPr>
      </w:pPr>
      <w:r>
        <w:rPr>
          <w:rFonts w:ascii="Arial" w:cs="Arial" w:eastAsia="Arial" w:hAnsi="Arial"/>
          <w:sz w:val="18"/>
          <w:szCs w:val="18"/>
          <w:color w:val="auto"/>
        </w:rPr>
        <w:t>(x) a trust, with total assets in excess of $5,000,000, not formed for the specific purpose of acquiring the securities offered, whose purchase is directed by a “sophisticated” person, as described in Rule 506(b)(2)(ii) promulgated under the Act, who has such knowledge and experience in financial and business matters that he or she is capable of evaluating the merits and risks of the prospective investment;</w:t>
      </w:r>
    </w:p>
    <w:p>
      <w:pPr>
        <w:spacing w:after="0" w:line="186" w:lineRule="exact"/>
        <w:rPr>
          <w:rFonts w:ascii="MS PGothic" w:cs="MS PGothic" w:eastAsia="MS PGothic" w:hAnsi="MS PGothic"/>
          <w:sz w:val="18"/>
          <w:szCs w:val="18"/>
          <w:color w:val="auto"/>
        </w:rPr>
      </w:pPr>
    </w:p>
    <w:p>
      <w:pPr>
        <w:ind w:left="1960" w:hanging="655"/>
        <w:spacing w:after="0" w:line="277" w:lineRule="auto"/>
        <w:tabs>
          <w:tab w:leader="none" w:pos="1960" w:val="left"/>
        </w:tabs>
        <w:numPr>
          <w:ilvl w:val="0"/>
          <w:numId w:val="228"/>
        </w:numPr>
        <w:rPr>
          <w:rFonts w:ascii="MS PGothic" w:cs="MS PGothic" w:eastAsia="MS PGothic" w:hAnsi="MS PGothic"/>
          <w:sz w:val="18"/>
          <w:szCs w:val="18"/>
          <w:color w:val="auto"/>
        </w:rPr>
      </w:pPr>
      <w:r>
        <w:rPr>
          <w:rFonts w:ascii="Arial" w:cs="Arial" w:eastAsia="Arial" w:hAnsi="Arial"/>
          <w:sz w:val="18"/>
          <w:szCs w:val="18"/>
          <w:color w:val="auto"/>
        </w:rPr>
        <w:t>(xi) an entity in which all of the equity investors are persons or entities described above (“Accredited Investors”). ALL EQUITY OWNERS MUST COMPLETE “EXHIBIT A” ATTACHED HERETO.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9.A Do you have sufficient knowledge and experience in financial and business matters so as to be capable of evaluating the merits and risks associated with investing in the Company?</w:t>
      </w:r>
    </w:p>
    <w:p>
      <w:pPr>
        <w:sectPr>
          <w:pgSz w:w="11900" w:h="16838" w:orient="portrait"/>
          <w:cols w:equalWidth="0" w:num="1">
            <w:col w:w="11420"/>
          </w:cols>
          <w:pgMar w:left="240" w:top="801" w:right="239" w:bottom="1440" w:gutter="0" w:footer="0" w:header="0"/>
        </w:sectPr>
      </w:pPr>
    </w:p>
    <w:p>
      <w:pPr>
        <w:spacing w:after="0" w:line="138"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1"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ANSWER QUESTION 9B ONLY IF THE ANSWER TO QUESTION 9A WAS “NO.”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9.B If the answer to Question 9A was “NO,” do you have a financial or investment adviser (a) that is acting in the capacity as a purchaser representative and (b) who has sufficient knowledge and experience in financial and business matters so as to be capable of evaluating the merits and risks associated with investing in the Company?</w:t>
      </w:r>
    </w:p>
    <w:p>
      <w:pPr>
        <w:sectPr>
          <w:pgSz w:w="11900" w:h="16838" w:orient="portrait"/>
          <w:cols w:equalWidth="0" w:num="1">
            <w:col w:w="11420"/>
          </w:cols>
          <w:pgMar w:left="240" w:top="801" w:right="239" w:bottom="1440" w:gutter="0" w:footer="0" w:header="0"/>
          <w:type w:val="continuous"/>
        </w:sectPr>
      </w:pPr>
    </w:p>
    <w:p>
      <w:pPr>
        <w:spacing w:after="0" w:line="149"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1" w:right="239" w:bottom="1440" w:gutter="0" w:footer="0" w:header="0"/>
          <w:type w:val="continuous"/>
        </w:sectPr>
      </w:pP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have a financial or investment adviser(s), please identify each such person and indicate his or her business address and telephone number in the space below. (Each such person must complete, and you must review and acknowledge, a separate Purchaser Representative Questionnaire which will be supplied at your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8"/>
        <w:spacing w:after="0" w:line="264" w:lineRule="auto"/>
        <w:tabs>
          <w:tab w:leader="none" w:pos="77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You have the right, will be afforded an opportunity, and are encouraged to investigate the Company and review relevant factors and documents pertaining to the officers of the Company, and the Company and its business and to ask questions of a qualified representative of the Company regarding this investment and the properties, operations, and methods of doing business of the Company.</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Have you or has your purchaser representative, if any, conducted any such investigation, sought such documents or asked questions of a qualified representative of the Company regarding this investment and the properties, operations, and methods of doing business of the Company?</w:t>
      </w:r>
    </w:p>
    <w:p>
      <w:pPr>
        <w:spacing w:after="0" w:line="114" w:lineRule="exact"/>
        <w:rPr>
          <w:sz w:val="20"/>
          <w:szCs w:val="20"/>
          <w:color w:val="auto"/>
        </w:rPr>
      </w:pPr>
    </w:p>
    <w:p>
      <w:pPr>
        <w:ind w:left="2980"/>
        <w:spacing w:after="0" w:line="181" w:lineRule="exact"/>
        <w:tabs>
          <w:tab w:leader="none" w:pos="58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tabs>
          <w:tab w:leader="none" w:pos="58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so, briefly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6"/>
          <w:szCs w:val="16"/>
          <w:color w:val="auto"/>
        </w:rPr>
        <w:t>If so, have you completed your investigation and/or received satisfactory answers to your questions?</w:t>
      </w:r>
    </w:p>
    <w:p>
      <w:pPr>
        <w:sectPr>
          <w:pgSz w:w="11900" w:h="16838" w:orient="portrait"/>
          <w:cols w:equalWidth="0" w:num="1">
            <w:col w:w="11420"/>
          </w:cols>
          <w:pgMar w:left="240" w:top="800" w:right="239" w:bottom="1440" w:gutter="0" w:footer="0" w:header="0"/>
        </w:sectPr>
      </w:pPr>
    </w:p>
    <w:p>
      <w:pPr>
        <w:spacing w:after="0" w:line="216"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left="640" w:hanging="632"/>
        <w:spacing w:after="0"/>
        <w:tabs>
          <w:tab w:leader="none" w:pos="6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Do you understand the nature of an investment in the Company and the risks associated with such an investment?</w:t>
      </w:r>
    </w:p>
    <w:p>
      <w:pPr>
        <w:sectPr>
          <w:pgSz w:w="11900" w:h="16838" w:orient="portrait"/>
          <w:cols w:equalWidth="0" w:num="1">
            <w:col w:w="11420"/>
          </w:cols>
          <w:pgMar w:left="240" w:top="800" w:right="239" w:bottom="1440" w:gutter="0" w:footer="0" w:header="0"/>
          <w:type w:val="continuous"/>
        </w:sectPr>
      </w:pPr>
    </w:p>
    <w:p>
      <w:pPr>
        <w:spacing w:after="0" w:line="216"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right="20" w:firstLine="8"/>
        <w:spacing w:after="0" w:line="277" w:lineRule="auto"/>
        <w:tabs>
          <w:tab w:leader="none" w:pos="66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Do you understand that there is no guarantee of any financial return on this investment and that you will be exposed to the risk of losing your entire investment?</w:t>
      </w:r>
    </w:p>
    <w:p>
      <w:pPr>
        <w:sectPr>
          <w:pgSz w:w="11900" w:h="16838" w:orient="portrait"/>
          <w:cols w:equalWidth="0" w:num="1">
            <w:col w:w="11420"/>
          </w:cols>
          <w:pgMar w:left="240" w:top="800" w:right="239" w:bottom="1440" w:gutter="0" w:footer="0" w:header="0"/>
          <w:type w:val="continuous"/>
        </w:sectPr>
      </w:pPr>
    </w:p>
    <w:p>
      <w:pPr>
        <w:spacing w:after="0" w:line="138"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left="640" w:hanging="632"/>
        <w:spacing w:after="0"/>
        <w:tabs>
          <w:tab w:leader="none" w:pos="6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Do you understand that this investment is not liquid?</w:t>
      </w:r>
    </w:p>
    <w:p>
      <w:pPr>
        <w:sectPr>
          <w:pgSz w:w="11900" w:h="16838" w:orient="portrait"/>
          <w:cols w:equalWidth="0" w:num="1">
            <w:col w:w="11420"/>
          </w:cols>
          <w:pgMar w:left="240" w:top="800" w:right="239" w:bottom="1440" w:gutter="0" w:footer="0" w:header="0"/>
          <w:type w:val="continuous"/>
        </w:sectPr>
      </w:pPr>
    </w:p>
    <w:p>
      <w:pPr>
        <w:spacing w:after="0" w:line="216"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left="640" w:hanging="632"/>
        <w:spacing w:after="0"/>
        <w:tabs>
          <w:tab w:leader="none" w:pos="6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Do you have adequate means of providing for your current needs and personal contingencies in view of the fact that this is not a liquid investment?</w:t>
      </w:r>
    </w:p>
    <w:p>
      <w:pPr>
        <w:sectPr>
          <w:pgSz w:w="11900" w:h="16838" w:orient="portrait"/>
          <w:cols w:equalWidth="0" w:num="1">
            <w:col w:w="11420"/>
          </w:cols>
          <w:pgMar w:left="240" w:top="800" w:right="239" w:bottom="1440" w:gutter="0" w:footer="0" w:header="0"/>
          <w:type w:val="continuous"/>
        </w:sectPr>
      </w:pPr>
    </w:p>
    <w:p>
      <w:pPr>
        <w:spacing w:after="0" w:line="216"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firstLine="8"/>
        <w:spacing w:after="0" w:line="277" w:lineRule="auto"/>
        <w:tabs>
          <w:tab w:leader="none" w:pos="72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Are you aware of the Company’s business affairs and financial condition, and have you acquired all such information about the Company as you deem necessary and appropriate to enable you to reach an informed and knowledgeable decision to acquire the Interests?</w:t>
      </w:r>
    </w:p>
    <w:p>
      <w:pPr>
        <w:sectPr>
          <w:pgSz w:w="11900" w:h="16838" w:orient="portrait"/>
          <w:cols w:equalWidth="0" w:num="1">
            <w:col w:w="11420"/>
          </w:cols>
          <w:pgMar w:left="240" w:top="800" w:right="239" w:bottom="1440" w:gutter="0" w:footer="0" w:header="0"/>
          <w:type w:val="continuous"/>
        </w:sectPr>
      </w:pPr>
    </w:p>
    <w:p>
      <w:pPr>
        <w:spacing w:after="0" w:line="138"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ind w:left="640" w:hanging="632"/>
        <w:spacing w:after="0"/>
        <w:tabs>
          <w:tab w:leader="none" w:pos="6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Do you have a “pre-existing relationship” with the Company or any of the officers of the Company?</w:t>
      </w:r>
    </w:p>
    <w:p>
      <w:pPr>
        <w:sectPr>
          <w:pgSz w:w="11900" w:h="16838" w:orient="portrait"/>
          <w:cols w:equalWidth="0" w:num="1">
            <w:col w:w="11420"/>
          </w:cols>
          <w:pgMar w:left="240" w:top="800" w:right="239" w:bottom="1440" w:gutter="0" w:footer="0" w:header="0"/>
          <w:type w:val="continuous"/>
        </w:sectPr>
      </w:pPr>
    </w:p>
    <w:p>
      <w:pPr>
        <w:spacing w:after="0" w:line="216" w:lineRule="exact"/>
        <w:rPr>
          <w:sz w:val="20"/>
          <w:szCs w:val="20"/>
          <w:color w:val="auto"/>
        </w:rPr>
      </w:pPr>
    </w:p>
    <w:p>
      <w:pPr>
        <w:ind w:left="298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2">
            <w:col w:w="5120" w:space="720"/>
            <w:col w:w="5580"/>
          </w:cols>
          <w:pgMar w:left="240" w:top="800" w:right="239" w:bottom="1440" w:gutter="0" w:footer="0" w:header="0"/>
          <w:type w:val="continuous"/>
        </w:sectPr>
      </w:pP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hereof, “pre-existing relationship” means any relationship consisting of personal or business contacts of a nature and duration such as would enable a reasonably prudent investor to be aware of the character, business acumen, and general business and financial circumstances of the person with whom such relationship exists.)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so, please name the individual or other person with whom you have a pre-existing relationship and describe the 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40" w:name="page241"/>
    <w:bookmarkEnd w:id="240"/>
    <w:p>
      <w:pPr>
        <w:ind w:firstLine="8"/>
        <w:spacing w:after="0" w:line="313" w:lineRule="auto"/>
        <w:tabs>
          <w:tab w:leader="none" w:pos="647"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Exceptions to the representations and warranties made in Section 3.2 of the Securities Purchase Agreement (if no exceptions, write “none” – if left blank, the response will be deemed to be “none”): ___________________________________________________</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purchaser is one or more individuals (all individuals must sign):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(Type or print name of prospective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prospective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(Type or print name of additional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spouse, joint tenant, tenant in common or other signature,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Accredited Investor</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securities will only be sold to investors who represent in writing in the Securities Purchase Agreement that they are Accredited Investors, as defined in Regulation D, Rule 501 under the Act which definition is set forth below:</w:t>
      </w:r>
    </w:p>
    <w:p>
      <w:pPr>
        <w:spacing w:after="0" w:line="170" w:lineRule="exact"/>
        <w:rPr>
          <w:sz w:val="20"/>
          <w:szCs w:val="20"/>
          <w:color w:val="auto"/>
        </w:rPr>
      </w:pPr>
    </w:p>
    <w:p>
      <w:pPr>
        <w:ind w:left="680" w:hanging="672"/>
        <w:spacing w:after="0"/>
        <w:tabs>
          <w:tab w:leader="none" w:pos="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natural person whose net worth, or joint net worth with spouse, at the time of purchase exceeds $1 million (excluding home); or</w:t>
      </w:r>
    </w:p>
    <w:p>
      <w:pPr>
        <w:spacing w:after="0" w:line="225" w:lineRule="exact"/>
        <w:rPr>
          <w:rFonts w:ascii="Arial" w:cs="Arial" w:eastAsia="Arial" w:hAnsi="Arial"/>
          <w:sz w:val="18"/>
          <w:szCs w:val="18"/>
          <w:color w:val="auto"/>
        </w:rPr>
      </w:pPr>
    </w:p>
    <w:p>
      <w:pPr>
        <w:ind w:firstLine="8"/>
        <w:spacing w:after="0" w:line="277" w:lineRule="auto"/>
        <w:tabs>
          <w:tab w:leader="none" w:pos="71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natural person whose individual gross income exceeded $200,000 or whose joint income with that person’s spouse exceeded $300,000 in each of the last two years, and who reasonably expects to exceed such income level in the current year; or</w:t>
      </w:r>
    </w:p>
    <w:p>
      <w:pPr>
        <w:spacing w:after="0" w:line="170" w:lineRule="exact"/>
        <w:rPr>
          <w:rFonts w:ascii="Arial" w:cs="Arial" w:eastAsia="Arial" w:hAnsi="Arial"/>
          <w:sz w:val="18"/>
          <w:szCs w:val="18"/>
          <w:color w:val="auto"/>
        </w:rPr>
      </w:pPr>
    </w:p>
    <w:p>
      <w:pPr>
        <w:ind w:right="20" w:firstLine="8"/>
        <w:spacing w:after="0" w:line="277" w:lineRule="auto"/>
        <w:tabs>
          <w:tab w:leader="none" w:pos="67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trust with total assets in excess of $5 million, not formed for the specific purpose of acquiring the securities offered, whose purchase is directed by a sophisticated person described in Regulation D; or</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director or executive officer of the Company; or</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investor is an entity, all of the owners of which are Accredited Investors; or</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 bank as defined in Section 3(a)(2) of the Act, or any savings and loan association or other institution as defined in Section 3(a)(5)(A) of the Act,</w:t>
      </w:r>
    </w:p>
    <w:p>
      <w:pPr>
        <w:spacing w:after="0" w:line="46"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(b) any broker or dealer registered pursuant to Section 15 of the Securities Exchange Act of 1934, (c) an insurance Company as defined in Section 2(13) of the Act, (d) an investment Company registered under the Investment Company Act of 1940 or a business development Company as defined in Section 2(a) (48) of such Act, (e) a Small Business Investment Company licensed by the United States Small Business Administration under Section 301(c) or (d) of the Small Business Investment Act of 1958, (f) an employee benefit plan established and maintained by a state, its political subdivisions, or any agency or instrumentality of a state or its political subdivisions, if such plan has total assets in excess of $5 million, (g) an employee benefit plan within the meaning of Title I of the Employee Retirement Income Securities Act of 1974, and the employee benefit plan has assets in excess of $5 million, or the investment decision is made by a plan fiduciary, as defined in Section 3(21) of such act, that is either a bank, savings and loan institution, insurance Company, or registered investment advisor, or, if a self-directed plan, with an investment decisions made solely by persons that are Accredited Investors, (h) a private business development company as defined in Section 202(a)(22) of the Investment Advisers Act of 1940, or (i) an organization described in Section 501(c)(3) of the Internal Revenue code, corporation, Massachusetts or similar business trust, or partnership, not formed for the specific purpose of acquiring the securities offered, with assets in excess of $5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t>EXHIBIT “A” TO ACCREDITED INVESTOR QUESTIONNAIRE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ACCREDITED CORPORATIONS, PARTNERSHIPS, LIMITED LIABILITY COMPANIES, TRUSTS OR OTHER ENTITIES INITIALING QUESTION 8B(xi) MUST PROVIDE THE FOLLOWING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hereby certify that set forth below is a complete list of all equity owners in __________________ [NAME OF ENTITY], a _____________[TYPE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ENTITY] formed pursuant to the laws of the State of _______________. I also certify that </w:t>
      </w:r>
      <w:r>
        <w:rPr>
          <w:rFonts w:ascii="Arial" w:cs="Arial" w:eastAsia="Arial" w:hAnsi="Arial"/>
          <w:sz w:val="18"/>
          <w:szCs w:val="18"/>
          <w:u w:val="single" w:color="auto"/>
          <w:color w:val="auto"/>
        </w:rPr>
        <w:t>EACH SUCH OWNER HAS INITIALED THE SPACE</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OPPOSITE HIS OR HER NAME</w:t>
      </w:r>
      <w:r>
        <w:rPr>
          <w:rFonts w:ascii="Arial" w:cs="Arial" w:eastAsia="Arial" w:hAnsi="Arial"/>
          <w:sz w:val="18"/>
          <w:szCs w:val="18"/>
          <w:color w:val="auto"/>
        </w:rPr>
        <w:t xml:space="preserve"> and that each such owner understands that by initialing that space he or she is representing that he or she is an accredited individual investor satisfying the test for accredited individual investors indicated under “Type of Accredited Investor.”</w:t>
      </w: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244"/>
        </w:trPr>
        <w:tc>
          <w:tcPr>
            <w:tcW w:w="16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corporate officer, general partner or trustee</w:t>
            </w:r>
          </w:p>
        </w:tc>
      </w:tr>
      <w:tr>
        <w:trPr>
          <w:trHeight w:val="377"/>
        </w:trPr>
        <w:tc>
          <w:tcPr>
            <w:tcW w:w="1680" w:type="dxa"/>
            <w:vAlign w:val="bottom"/>
          </w:tcPr>
          <w:p>
            <w:pPr>
              <w:spacing w:after="0"/>
              <w:rPr>
                <w:sz w:val="20"/>
                <w:szCs w:val="20"/>
                <w:color w:val="auto"/>
              </w:rPr>
            </w:pPr>
            <w:r>
              <w:rPr>
                <w:rFonts w:ascii="Arial" w:cs="Arial" w:eastAsia="Arial" w:hAnsi="Arial"/>
                <w:sz w:val="18"/>
                <w:szCs w:val="18"/>
                <w:color w:val="auto"/>
                <w:w w:val="91"/>
              </w:rPr>
              <w:t>Name of Equity Owner</w:t>
            </w:r>
          </w:p>
        </w:tc>
        <w:tc>
          <w:tcPr>
            <w:tcW w:w="35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Type of Accredited Investor1</w:t>
            </w:r>
          </w:p>
        </w:tc>
      </w:tr>
      <w:tr>
        <w:trPr>
          <w:trHeight w:val="20"/>
        </w:trPr>
        <w:tc>
          <w:tcPr>
            <w:tcW w:w="16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8097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4" w:lineRule="exact"/>
        <w:rPr>
          <w:sz w:val="20"/>
          <w:szCs w:val="20"/>
          <w:color w:val="auto"/>
        </w:rPr>
      </w:pPr>
    </w:p>
    <w:p>
      <w:pPr>
        <w:ind w:left="420" w:hanging="412"/>
        <w:spacing w:after="0"/>
        <w:tabs>
          <w:tab w:leader="none" w:pos="4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Indicate which Subparagraph of 8.1 - 8.3 the equity owner satisfies.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t>Exhibit 10.9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1297"/>
        <w:spacing w:after="0" w:line="223"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15, 2018, by and among XpresSpa Group,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with headquarters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(the "</w:t>
      </w:r>
      <w:r>
        <w:rPr>
          <w:rFonts w:ascii="Arial" w:cs="Arial" w:eastAsia="Arial" w:hAnsi="Arial"/>
          <w:sz w:val="18"/>
          <w:szCs w:val="18"/>
          <w:b w:val="1"/>
          <w:bCs w:val="1"/>
          <w:color w:val="auto"/>
        </w:rPr>
        <w:t>Company</w:t>
      </w:r>
      <w:r>
        <w:rPr>
          <w:rFonts w:ascii="Arial" w:cs="Arial" w:eastAsia="Arial" w:hAnsi="Arial"/>
          <w:sz w:val="18"/>
          <w:szCs w:val="18"/>
          <w:color w:val="auto"/>
        </w:rPr>
        <w:t>"), and the investors listed on the Schedule of Purchasers attached hereto (each, a "</w:t>
      </w:r>
      <w:r>
        <w:rPr>
          <w:rFonts w:ascii="Arial" w:cs="Arial" w:eastAsia="Arial" w:hAnsi="Arial"/>
          <w:sz w:val="18"/>
          <w:szCs w:val="18"/>
          <w:b w:val="1"/>
          <w:b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Purchasers</w:t>
      </w:r>
      <w:r>
        <w:rPr>
          <w:rFonts w:ascii="Arial" w:cs="Arial" w:eastAsia="Arial" w:hAnsi="Arial"/>
          <w:sz w:val="18"/>
          <w:szCs w:val="18"/>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jc w:val="both"/>
        <w:ind w:firstLine="1305"/>
        <w:spacing w:after="0" w:line="295" w:lineRule="auto"/>
        <w:tabs>
          <w:tab w:leader="none" w:pos="203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connection with the Securities Purchase Agreement by and among the parties hereto of even date herewith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 Agreement</w:t>
      </w:r>
      <w:r>
        <w:rPr>
          <w:rFonts w:ascii="Arial" w:cs="Arial" w:eastAsia="Arial" w:hAnsi="Arial"/>
          <w:sz w:val="16"/>
          <w:szCs w:val="16"/>
          <w:color w:val="auto"/>
        </w:rPr>
        <w:t>"), the Company has agreed, upon the terms and subject to the conditions of the Securities Purchase Agreement, to issue and sell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(i) a secured convertible Note (collectively, the “</w:t>
      </w:r>
      <w:r>
        <w:rPr>
          <w:rFonts w:ascii="Arial" w:cs="Arial" w:eastAsia="Arial" w:hAnsi="Arial"/>
          <w:sz w:val="16"/>
          <w:szCs w:val="16"/>
          <w:b w:val="1"/>
          <w:bCs w:val="1"/>
          <w:color w:val="auto"/>
        </w:rPr>
        <w:t>Notes</w:t>
      </w:r>
      <w:r>
        <w:rPr>
          <w:rFonts w:ascii="Arial" w:cs="Arial" w:eastAsia="Arial" w:hAnsi="Arial"/>
          <w:sz w:val="16"/>
          <w:szCs w:val="16"/>
          <w:color w:val="auto"/>
        </w:rPr>
        <w:t>”), which will be convertible into shares of the Company's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(the shares of Common Stock issuable upon conversion of the Notes, collectively, the "</w:t>
      </w:r>
      <w:r>
        <w:rPr>
          <w:rFonts w:ascii="Arial" w:cs="Arial" w:eastAsia="Arial" w:hAnsi="Arial"/>
          <w:sz w:val="16"/>
          <w:szCs w:val="16"/>
          <w:b w:val="1"/>
          <w:bCs w:val="1"/>
          <w:color w:val="auto"/>
        </w:rPr>
        <w:t>Common Shares</w:t>
      </w:r>
      <w:r>
        <w:rPr>
          <w:rFonts w:ascii="Arial" w:cs="Arial" w:eastAsia="Arial" w:hAnsi="Arial"/>
          <w:sz w:val="16"/>
          <w:szCs w:val="16"/>
          <w:color w:val="auto"/>
        </w:rPr>
        <w:t>") and (ii) Class A Common Stock purchase warrants and Class B Common Stock purchase warrants (collectively, the "</w:t>
      </w:r>
      <w:r>
        <w:rPr>
          <w:rFonts w:ascii="Arial" w:cs="Arial" w:eastAsia="Arial" w:hAnsi="Arial"/>
          <w:sz w:val="16"/>
          <w:szCs w:val="16"/>
          <w:b w:val="1"/>
          <w:bCs w:val="1"/>
          <w:color w:val="auto"/>
        </w:rPr>
        <w:t>Warrants</w:t>
      </w:r>
      <w:r>
        <w:rPr>
          <w:rFonts w:ascii="Arial" w:cs="Arial" w:eastAsia="Arial" w:hAnsi="Arial"/>
          <w:sz w:val="16"/>
          <w:szCs w:val="16"/>
          <w:color w:val="auto"/>
        </w:rPr>
        <w:t>") which will be exercisable to purchase shares of Common Stock (as exercised, collectively, the "</w:t>
      </w:r>
      <w:r>
        <w:rPr>
          <w:rFonts w:ascii="Arial" w:cs="Arial" w:eastAsia="Arial" w:hAnsi="Arial"/>
          <w:sz w:val="16"/>
          <w:szCs w:val="16"/>
          <w:b w:val="1"/>
          <w:bCs w:val="1"/>
          <w:color w:val="auto"/>
        </w:rPr>
        <w:t>Warrant Shares</w:t>
      </w:r>
      <w:r>
        <w:rPr>
          <w:rFonts w:ascii="Arial" w:cs="Arial" w:eastAsia="Arial" w:hAnsi="Arial"/>
          <w:sz w:val="16"/>
          <w:szCs w:val="16"/>
          <w:color w:val="auto"/>
        </w:rPr>
        <w:t>") in accordance with the terms of the Warrants.</w:t>
      </w:r>
    </w:p>
    <w:p>
      <w:pPr>
        <w:spacing w:after="0" w:line="159" w:lineRule="exact"/>
        <w:rPr>
          <w:rFonts w:ascii="Arial" w:cs="Arial" w:eastAsia="Arial" w:hAnsi="Arial"/>
          <w:sz w:val="16"/>
          <w:szCs w:val="16"/>
          <w:color w:val="auto"/>
        </w:rPr>
      </w:pPr>
    </w:p>
    <w:p>
      <w:pPr>
        <w:jc w:val="both"/>
        <w:ind w:firstLine="1305"/>
        <w:spacing w:after="0" w:line="264" w:lineRule="auto"/>
        <w:tabs>
          <w:tab w:leader="none" w:pos="196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accordance with the terms of the Securities Purchase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177"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the mutual covenants contained herein and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Company and each of the Purchasers hereby agree as follows:</w:t>
      </w:r>
    </w:p>
    <w:p>
      <w:pPr>
        <w:spacing w:after="0" w:line="142" w:lineRule="exact"/>
        <w:rPr>
          <w:sz w:val="20"/>
          <w:szCs w:val="20"/>
          <w:color w:val="auto"/>
        </w:rPr>
      </w:pPr>
    </w:p>
    <w:p>
      <w:pPr>
        <w:ind w:left="1800" w:hanging="495"/>
        <w:spacing w:after="0"/>
        <w:tabs>
          <w:tab w:leader="none" w:pos="180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Capitalized terms used herein and not otherwise defined herein shall have the respective meanings set forth in the Securities Purchase Agreement. As used in this Agreement, the following terms shall have the following meanings:</w:t>
      </w:r>
    </w:p>
    <w:p>
      <w:pPr>
        <w:spacing w:after="0" w:line="166" w:lineRule="exact"/>
        <w:rPr>
          <w:sz w:val="20"/>
          <w:szCs w:val="20"/>
          <w:color w:val="auto"/>
        </w:rPr>
      </w:pPr>
    </w:p>
    <w:p>
      <w:pPr>
        <w:ind w:left="2480" w:hanging="657"/>
        <w:spacing w:after="0"/>
        <w:tabs>
          <w:tab w:leader="none" w:pos="24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Effective Date</w:t>
      </w:r>
      <w:r>
        <w:rPr>
          <w:rFonts w:ascii="Arial" w:cs="Arial" w:eastAsia="Arial" w:hAnsi="Arial"/>
          <w:sz w:val="17"/>
          <w:szCs w:val="17"/>
          <w:color w:val="auto"/>
        </w:rPr>
        <w:t>" means the date the Additional Registration Statement is declared effective by the SEC.</w:t>
      </w:r>
    </w:p>
    <w:p>
      <w:pPr>
        <w:spacing w:after="0" w:line="236" w:lineRule="exact"/>
        <w:rPr>
          <w:rFonts w:ascii="Arial" w:cs="Arial" w:eastAsia="Arial" w:hAnsi="Arial"/>
          <w:sz w:val="17"/>
          <w:szCs w:val="17"/>
          <w:color w:val="auto"/>
        </w:rPr>
      </w:pPr>
    </w:p>
    <w:p>
      <w:pPr>
        <w:jc w:val="both"/>
        <w:ind w:firstLine="1823"/>
        <w:spacing w:after="0" w:line="289" w:lineRule="auto"/>
        <w:tabs>
          <w:tab w:leader="none" w:pos="273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Effectiveness Deadline</w:t>
      </w:r>
      <w:r>
        <w:rPr>
          <w:rFonts w:ascii="Arial" w:cs="Arial" w:eastAsia="Arial" w:hAnsi="Arial"/>
          <w:sz w:val="16"/>
          <w:szCs w:val="16"/>
          <w:color w:val="auto"/>
        </w:rPr>
        <w:t>" means the date which is the earlier of (x) (i) in the event that the Additional Registration Statement is not subject to a full review by the SEC, twenty (20) calendar days after the earlier of the Additional Filing Date and the Additional Filing Deadline or (ii) in the event that the Additional Registration Statement is subject to a full review by the SEC, seventy-five (75) calendar days after the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earlier of the Additional Filing Date and the Additional Filing Deadline and (y) the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after the date the Company is notified (orally or in writing, whichever is earlier) by the SEC that such Additional Registration Statement will not be reviewed or will not be subject to further review; provided, however, that if the Additional Effectiveness Deadline falls on a Saturday, Sunday or other day that the SEC is closed for business, the Additional Effectiveness Deadline shall be extended to the next Business Day on which the SEC is open for business.</w:t>
      </w:r>
    </w:p>
    <w:p>
      <w:pPr>
        <w:spacing w:after="0" w:line="201" w:lineRule="exact"/>
        <w:rPr>
          <w:sz w:val="20"/>
          <w:szCs w:val="20"/>
          <w:color w:val="auto"/>
        </w:rPr>
      </w:pPr>
    </w:p>
    <w:p>
      <w:pPr>
        <w:ind w:left="5680" w:right="900" w:hanging="3857"/>
        <w:spacing w:after="0" w:line="783" w:lineRule="auto"/>
        <w:tabs>
          <w:tab w:leader="none" w:pos="247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Filing Date</w:t>
      </w:r>
      <w:r>
        <w:rPr>
          <w:rFonts w:ascii="Arial" w:cs="Arial" w:eastAsia="Arial" w:hAnsi="Arial"/>
          <w:sz w:val="18"/>
          <w:szCs w:val="18"/>
          <w:color w:val="auto"/>
        </w:rPr>
        <w:t>" means the date on which the Additional Registration Statement is filed with the SEC.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4" w:name="page245"/>
    <w:bookmarkEnd w:id="244"/>
    <w:p>
      <w:pPr>
        <w:jc w:val="both"/>
        <w:ind w:firstLine="1823"/>
        <w:spacing w:after="0" w:line="266" w:lineRule="auto"/>
        <w:tabs>
          <w:tab w:leader="none" w:pos="275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Filing Deadline</w:t>
      </w:r>
      <w:r>
        <w:rPr>
          <w:rFonts w:ascii="Arial" w:cs="Arial" w:eastAsia="Arial" w:hAnsi="Arial"/>
          <w:sz w:val="18"/>
          <w:szCs w:val="18"/>
          <w:color w:val="auto"/>
        </w:rPr>
        <w:t>" means if Cutback Shares are required to be included in any Additional Registration Statement, thirty (30) calendar days after the date an Investor gives notice to the Company that substantially all of such Investor’s Registrable Securities registered under the immediately preceding Registration Statement are sold.</w:t>
      </w:r>
    </w:p>
    <w:p>
      <w:pPr>
        <w:spacing w:after="0" w:line="176" w:lineRule="exact"/>
        <w:rPr>
          <w:rFonts w:ascii="Arial" w:cs="Arial" w:eastAsia="Arial" w:hAnsi="Arial"/>
          <w:sz w:val="18"/>
          <w:szCs w:val="18"/>
          <w:color w:val="auto"/>
        </w:rPr>
      </w:pPr>
    </w:p>
    <w:p>
      <w:pPr>
        <w:jc w:val="both"/>
        <w:ind w:firstLine="1823"/>
        <w:spacing w:after="0" w:line="261" w:lineRule="auto"/>
        <w:tabs>
          <w:tab w:leader="none" w:pos="255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Registrable Securities</w:t>
      </w:r>
      <w:r>
        <w:rPr>
          <w:rFonts w:ascii="Arial" w:cs="Arial" w:eastAsia="Arial" w:hAnsi="Arial"/>
          <w:sz w:val="18"/>
          <w:szCs w:val="18"/>
          <w:color w:val="auto"/>
        </w:rPr>
        <w:t>" means, (i) any Cutback Shares not previously included on a Registration Statement and (ii) any capital stock of the Company issued or issuable with respect to the Common Shares, the Warrants, the Warrant Shares, or the Cutback Shares, as applicable, as a result of any stock split, stock dividend, recapitalization, exchange or similar event or otherwise without regard to any limitations on exercise of the warrants.</w:t>
      </w:r>
    </w:p>
    <w:p>
      <w:pPr>
        <w:spacing w:after="0" w:line="180" w:lineRule="exact"/>
        <w:rPr>
          <w:rFonts w:ascii="Arial" w:cs="Arial" w:eastAsia="Arial" w:hAnsi="Arial"/>
          <w:sz w:val="18"/>
          <w:szCs w:val="18"/>
          <w:color w:val="auto"/>
        </w:rPr>
      </w:pPr>
    </w:p>
    <w:p>
      <w:pPr>
        <w:ind w:right="20" w:firstLine="1823"/>
        <w:spacing w:after="0" w:line="282" w:lineRule="auto"/>
        <w:tabs>
          <w:tab w:leader="none" w:pos="245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Registration Statement</w:t>
      </w:r>
      <w:r>
        <w:rPr>
          <w:rFonts w:ascii="Arial" w:cs="Arial" w:eastAsia="Arial" w:hAnsi="Arial"/>
          <w:sz w:val="18"/>
          <w:szCs w:val="18"/>
          <w:color w:val="auto"/>
        </w:rPr>
        <w:t>" means a registration statement or registration statements of the Company filed under the 1933 Act covering the resale of any Additional Registrable Securities.</w:t>
      </w:r>
    </w:p>
    <w:p>
      <w:pPr>
        <w:spacing w:after="0" w:line="161" w:lineRule="exact"/>
        <w:rPr>
          <w:rFonts w:ascii="Arial" w:cs="Arial" w:eastAsia="Arial" w:hAnsi="Arial"/>
          <w:sz w:val="18"/>
          <w:szCs w:val="18"/>
          <w:color w:val="auto"/>
        </w:rPr>
      </w:pPr>
    </w:p>
    <w:p>
      <w:pPr>
        <w:jc w:val="both"/>
        <w:ind w:firstLine="1823"/>
        <w:spacing w:after="0" w:line="266" w:lineRule="auto"/>
        <w:tabs>
          <w:tab w:leader="none" w:pos="259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Required Registration Amount</w:t>
      </w:r>
      <w:r>
        <w:rPr>
          <w:rFonts w:ascii="Arial" w:cs="Arial" w:eastAsia="Arial" w:hAnsi="Arial"/>
          <w:sz w:val="18"/>
          <w:szCs w:val="18"/>
          <w:color w:val="auto"/>
        </w:rPr>
        <w:t>" means (I) any Cutback Shares not previously included on a Registration Statement, all subject to adjustment as provided in Section 2(f) or (II) such other amount as may be permitted by the staff of the SEC pursuant to Rule 415, without regard to any limitations on exercise of the Warrants.</w:t>
      </w:r>
    </w:p>
    <w:p>
      <w:pPr>
        <w:spacing w:after="0" w:line="176" w:lineRule="exact"/>
        <w:rPr>
          <w:rFonts w:ascii="Arial" w:cs="Arial" w:eastAsia="Arial" w:hAnsi="Arial"/>
          <w:sz w:val="18"/>
          <w:szCs w:val="18"/>
          <w:color w:val="auto"/>
        </w:rPr>
      </w:pPr>
    </w:p>
    <w:p>
      <w:pPr>
        <w:ind w:firstLine="1823"/>
        <w:spacing w:after="0" w:line="282" w:lineRule="auto"/>
        <w:tabs>
          <w:tab w:leader="none" w:pos="256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any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2440" w:hanging="617"/>
        <w:spacing w:after="0"/>
        <w:tabs>
          <w:tab w:leader="none" w:pos="24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the Securities Purchase Agreement.</w:t>
      </w:r>
    </w:p>
    <w:p>
      <w:pPr>
        <w:spacing w:after="0" w:line="225" w:lineRule="exact"/>
        <w:rPr>
          <w:rFonts w:ascii="Arial" w:cs="Arial" w:eastAsia="Arial" w:hAnsi="Arial"/>
          <w:sz w:val="18"/>
          <w:szCs w:val="18"/>
          <w:color w:val="auto"/>
        </w:rPr>
      </w:pPr>
    </w:p>
    <w:p>
      <w:pPr>
        <w:jc w:val="both"/>
        <w:ind w:firstLine="1823"/>
        <w:spacing w:after="0" w:line="273" w:lineRule="auto"/>
        <w:tabs>
          <w:tab w:leader="none" w:pos="244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Cutback Shares</w:t>
      </w:r>
      <w:r>
        <w:rPr>
          <w:rFonts w:ascii="Arial" w:cs="Arial" w:eastAsia="Arial" w:hAnsi="Arial"/>
          <w:sz w:val="17"/>
          <w:szCs w:val="17"/>
          <w:color w:val="auto"/>
        </w:rPr>
        <w:t>" means any of the Initial Required Registration Amount or the Additional Required Registration Amount (without regard to clause (II) in the definition thereof) of Registrable Securities not included in all Registration Statements previously declared effective as contemplated hereunder as a result of a limitation on the maximum number of shares of Common Stock of the Company permitted to be registered by the staff of the SEC pursuant to Rule 415. For the purpose of determining the Cutback Shares, in order to determine any applicable Required Registration Amount, unless an Investor gives written notice to the Company to the contrary with respect to the allocation of its Cutback Shares, first the Warrant Shares shall be excluded on a pro rata basis among the Investors until all of the Warrant Shares have been excluded, and second the Common Shares shall be excluded on a pro rata basis among the Investors until all of the Common Shares have been excluded.</w:t>
      </w:r>
    </w:p>
    <w:p>
      <w:pPr>
        <w:spacing w:after="0" w:line="172" w:lineRule="exact"/>
        <w:rPr>
          <w:rFonts w:ascii="Arial" w:cs="Arial" w:eastAsia="Arial" w:hAnsi="Arial"/>
          <w:sz w:val="17"/>
          <w:szCs w:val="17"/>
          <w:color w:val="auto"/>
        </w:rPr>
      </w:pPr>
    </w:p>
    <w:p>
      <w:pPr>
        <w:ind w:left="2480" w:hanging="657"/>
        <w:spacing w:after="0"/>
        <w:tabs>
          <w:tab w:leader="none" w:pos="2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Initial Effective Date and the Additional Effective Date, as applicable.</w:t>
      </w:r>
    </w:p>
    <w:p>
      <w:pPr>
        <w:spacing w:after="0" w:line="225" w:lineRule="exact"/>
        <w:rPr>
          <w:rFonts w:ascii="Arial" w:cs="Arial" w:eastAsia="Arial" w:hAnsi="Arial"/>
          <w:sz w:val="18"/>
          <w:szCs w:val="18"/>
          <w:color w:val="auto"/>
        </w:rPr>
      </w:pPr>
    </w:p>
    <w:p>
      <w:pPr>
        <w:ind w:left="2800" w:hanging="977"/>
        <w:spacing w:after="0"/>
        <w:tabs>
          <w:tab w:leader="none" w:pos="28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Effectiveness Deadline</w:t>
      </w:r>
      <w:r>
        <w:rPr>
          <w:rFonts w:ascii="Arial" w:cs="Arial" w:eastAsia="Arial" w:hAnsi="Arial"/>
          <w:sz w:val="17"/>
          <w:szCs w:val="17"/>
          <w:color w:val="auto"/>
        </w:rPr>
        <w:t>" means the Initial Effectiveness Deadline and the Additional Effectiveness Deadline, as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w:t>
      </w:r>
    </w:p>
    <w:p>
      <w:pPr>
        <w:spacing w:after="0" w:line="206" w:lineRule="exact"/>
        <w:rPr>
          <w:rFonts w:ascii="Arial" w:cs="Arial" w:eastAsia="Arial" w:hAnsi="Arial"/>
          <w:sz w:val="17"/>
          <w:szCs w:val="17"/>
          <w:color w:val="auto"/>
        </w:rPr>
      </w:pPr>
    </w:p>
    <w:p>
      <w:pPr>
        <w:jc w:val="both"/>
        <w:ind w:firstLine="1823"/>
        <w:spacing w:after="0" w:line="266" w:lineRule="auto"/>
        <w:tabs>
          <w:tab w:leader="none" w:pos="260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New York Stock Exchange, Inc., the NYSE American, The Nasdaq Capital Market, The Nasdaq Global Select Market, The Nasdaq Global Market, the OTC Bulletin Board, the OTCQB or the OTCQX (or any successor to any of the foregoing).</w:t>
      </w:r>
    </w:p>
    <w:p>
      <w:pPr>
        <w:spacing w:after="0" w:line="176" w:lineRule="exact"/>
        <w:rPr>
          <w:rFonts w:ascii="Arial" w:cs="Arial" w:eastAsia="Arial" w:hAnsi="Arial"/>
          <w:sz w:val="18"/>
          <w:szCs w:val="18"/>
          <w:color w:val="auto"/>
        </w:rPr>
      </w:pPr>
    </w:p>
    <w:p>
      <w:pPr>
        <w:ind w:left="2480" w:hanging="657"/>
        <w:spacing w:after="0"/>
        <w:tabs>
          <w:tab w:leader="none" w:pos="2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Deadline</w:t>
      </w:r>
      <w:r>
        <w:rPr>
          <w:rFonts w:ascii="Arial" w:cs="Arial" w:eastAsia="Arial" w:hAnsi="Arial"/>
          <w:sz w:val="18"/>
          <w:szCs w:val="18"/>
          <w:color w:val="auto"/>
        </w:rPr>
        <w:t>" means the Initial Filing Deadline and the Additional Filing Deadline, as applicable.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5" w:name="page246"/>
    <w:bookmarkEnd w:id="245"/>
    <w:p>
      <w:pPr>
        <w:ind w:left="2480" w:hanging="657"/>
        <w:spacing w:after="0"/>
        <w:tabs>
          <w:tab w:leader="none" w:pos="24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Effective Date</w:t>
      </w:r>
      <w:r>
        <w:rPr>
          <w:rFonts w:ascii="Arial" w:cs="Arial" w:eastAsia="Arial" w:hAnsi="Arial"/>
          <w:sz w:val="17"/>
          <w:szCs w:val="17"/>
          <w:color w:val="auto"/>
        </w:rPr>
        <w:t>" means the date that the Initial Registration Statement has been declared effective by the SEC.</w:t>
      </w:r>
    </w:p>
    <w:p>
      <w:pPr>
        <w:spacing w:after="0" w:line="236" w:lineRule="exact"/>
        <w:rPr>
          <w:rFonts w:ascii="Arial" w:cs="Arial" w:eastAsia="Arial" w:hAnsi="Arial"/>
          <w:sz w:val="17"/>
          <w:szCs w:val="17"/>
          <w:color w:val="auto"/>
        </w:rPr>
      </w:pPr>
    </w:p>
    <w:p>
      <w:pPr>
        <w:jc w:val="both"/>
        <w:ind w:firstLine="1823"/>
        <w:spacing w:after="0" w:line="293" w:lineRule="auto"/>
        <w:tabs>
          <w:tab w:leader="none" w:pos="263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Effectiveness Deadline</w:t>
      </w:r>
      <w:r>
        <w:rPr>
          <w:rFonts w:ascii="Arial" w:cs="Arial" w:eastAsia="Arial" w:hAnsi="Arial"/>
          <w:sz w:val="16"/>
          <w:szCs w:val="16"/>
          <w:color w:val="auto"/>
        </w:rPr>
        <w:t>" means the date which is the earlier of (x) (i) in the event that the Initial Registration Statement is not subject to a full review by the SEC, sixty (60) calendar days after the Initial Filing Deadline, or (ii) in the event that the Initial Registration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Statement is subject to a full review by the SEC, one hundred (100) calendar days after the Initial Filing Deadline, and (y) the fifth (5</w:t>
      </w:r>
      <w:r>
        <w:rPr>
          <w:rFonts w:ascii="Arial" w:cs="Arial" w:eastAsia="Arial" w:hAnsi="Arial"/>
          <w:sz w:val="28"/>
          <w:szCs w:val="28"/>
          <w:color w:val="auto"/>
          <w:vertAlign w:val="superscript"/>
        </w:rPr>
        <w:t>th</w:t>
      </w:r>
      <w:r>
        <w:rPr>
          <w:rFonts w:ascii="Arial" w:cs="Arial" w:eastAsia="Arial" w:hAnsi="Arial"/>
          <w:sz w:val="17"/>
          <w:szCs w:val="17"/>
          <w:color w:val="auto"/>
        </w:rPr>
        <w:t>) Business Day after the date the Company is notified (orally or in writing, whichever is earlier) by the SEC that such Initial Registration Statement will not be reviewed or will not be subject to further review; provided, however, that if the Initial Effectiveness Deadline falls on a Saturday, Sunday or other day that the SEC is closed for business, the Initial Effectiveness Deadline shall be extended to the next Business Day on which the SEC is open for business.</w:t>
      </w:r>
    </w:p>
    <w:p>
      <w:pPr>
        <w:spacing w:after="0" w:line="198" w:lineRule="exact"/>
        <w:rPr>
          <w:sz w:val="20"/>
          <w:szCs w:val="20"/>
          <w:color w:val="auto"/>
        </w:rPr>
      </w:pPr>
    </w:p>
    <w:p>
      <w:pPr>
        <w:ind w:left="2480" w:hanging="657"/>
        <w:spacing w:after="0"/>
        <w:tabs>
          <w:tab w:leader="none" w:pos="2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Filing Date</w:t>
      </w:r>
      <w:r>
        <w:rPr>
          <w:rFonts w:ascii="Arial" w:cs="Arial" w:eastAsia="Arial" w:hAnsi="Arial"/>
          <w:sz w:val="18"/>
          <w:szCs w:val="18"/>
          <w:color w:val="auto"/>
        </w:rPr>
        <w:t>" means the date on which the Initial Registration Statement is filed with the SEC.</w:t>
      </w:r>
    </w:p>
    <w:p>
      <w:pPr>
        <w:spacing w:after="0" w:line="225" w:lineRule="exact"/>
        <w:rPr>
          <w:rFonts w:ascii="Arial" w:cs="Arial" w:eastAsia="Arial" w:hAnsi="Arial"/>
          <w:sz w:val="18"/>
          <w:szCs w:val="18"/>
          <w:color w:val="auto"/>
        </w:rPr>
      </w:pPr>
    </w:p>
    <w:p>
      <w:pPr>
        <w:ind w:left="2460" w:hanging="637"/>
        <w:spacing w:after="0"/>
        <w:tabs>
          <w:tab w:leader="none" w:pos="2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Filing Deadline</w:t>
      </w:r>
      <w:r>
        <w:rPr>
          <w:rFonts w:ascii="Arial" w:cs="Arial" w:eastAsia="Arial" w:hAnsi="Arial"/>
          <w:sz w:val="18"/>
          <w:szCs w:val="18"/>
          <w:color w:val="auto"/>
        </w:rPr>
        <w:t>" means forty-five (45) days after the date of this Agreement.</w:t>
      </w:r>
    </w:p>
    <w:p>
      <w:pPr>
        <w:spacing w:after="0" w:line="225" w:lineRule="exact"/>
        <w:rPr>
          <w:rFonts w:ascii="Arial" w:cs="Arial" w:eastAsia="Arial" w:hAnsi="Arial"/>
          <w:sz w:val="18"/>
          <w:szCs w:val="18"/>
          <w:color w:val="auto"/>
        </w:rPr>
      </w:pPr>
    </w:p>
    <w:p>
      <w:pPr>
        <w:jc w:val="both"/>
        <w:ind w:firstLine="1823"/>
        <w:spacing w:after="0" w:line="258" w:lineRule="auto"/>
        <w:tabs>
          <w:tab w:leader="none" w:pos="254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Registrable Securities</w:t>
      </w:r>
      <w:r>
        <w:rPr>
          <w:rFonts w:ascii="Arial" w:cs="Arial" w:eastAsia="Arial" w:hAnsi="Arial"/>
          <w:sz w:val="18"/>
          <w:szCs w:val="18"/>
          <w:color w:val="auto"/>
        </w:rPr>
        <w:t>" means (i) 125% of the Common Shares issued or issuable upon conversion of the Notes issued pursuant to the terms of the Securities Purchase Agreement, (ii) the Warrant Shares issued or issuable upon exercise of the Warrants and (iii) any capital stock of the Company issued or issuable with respect to the Common Shares, the Notes, the Warrant Shares or the Warrants as a result of any stock split, stock dividend, recapitalization, exchange or similar event or otherwise without regard to any limitations on conversion of the Notes or exercise of the Warrants.</w:t>
      </w:r>
    </w:p>
    <w:p>
      <w:pPr>
        <w:spacing w:after="0" w:line="183" w:lineRule="exact"/>
        <w:rPr>
          <w:rFonts w:ascii="Arial" w:cs="Arial" w:eastAsia="Arial" w:hAnsi="Arial"/>
          <w:sz w:val="18"/>
          <w:szCs w:val="18"/>
          <w:color w:val="auto"/>
        </w:rPr>
      </w:pPr>
    </w:p>
    <w:p>
      <w:pPr>
        <w:ind w:right="20" w:firstLine="1823"/>
        <w:spacing w:after="0" w:line="282" w:lineRule="auto"/>
        <w:tabs>
          <w:tab w:leader="none" w:pos="248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means a registration statement or registration statements of the Company filed under the 1933 Act covering the resale of the Initial Registrable Securities.</w:t>
      </w:r>
    </w:p>
    <w:p>
      <w:pPr>
        <w:spacing w:after="0" w:line="161" w:lineRule="exact"/>
        <w:rPr>
          <w:rFonts w:ascii="Arial" w:cs="Arial" w:eastAsia="Arial" w:hAnsi="Arial"/>
          <w:sz w:val="18"/>
          <w:szCs w:val="18"/>
          <w:color w:val="auto"/>
        </w:rPr>
      </w:pPr>
    </w:p>
    <w:p>
      <w:pPr>
        <w:jc w:val="both"/>
        <w:ind w:firstLine="1823"/>
        <w:spacing w:after="0" w:line="266" w:lineRule="auto"/>
        <w:tabs>
          <w:tab w:leader="none" w:pos="255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Required Registration Amount</w:t>
      </w:r>
      <w:r>
        <w:rPr>
          <w:rFonts w:ascii="Arial" w:cs="Arial" w:eastAsia="Arial" w:hAnsi="Arial"/>
          <w:sz w:val="18"/>
          <w:szCs w:val="18"/>
          <w:color w:val="auto"/>
        </w:rPr>
        <w:t>" means (I) the sum of (i) the number of Common Shares and (ii) the maximum number of Warrant Shares issued and issuable pursuant to the Warrants, without regard to any limitations on exercise of the Warrants or (II) such other amount as may be permitted by the staff of the SEC pursuant to Rule 415.</w:t>
      </w:r>
    </w:p>
    <w:p>
      <w:pPr>
        <w:spacing w:after="0" w:line="176" w:lineRule="exact"/>
        <w:rPr>
          <w:rFonts w:ascii="Arial" w:cs="Arial" w:eastAsia="Arial" w:hAnsi="Arial"/>
          <w:sz w:val="18"/>
          <w:szCs w:val="18"/>
          <w:color w:val="auto"/>
        </w:rPr>
      </w:pPr>
    </w:p>
    <w:p>
      <w:pPr>
        <w:jc w:val="both"/>
        <w:ind w:firstLine="1823"/>
        <w:spacing w:after="0" w:line="261" w:lineRule="auto"/>
        <w:tabs>
          <w:tab w:leader="none" w:pos="261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means a Purchaser or any transferee or assignee thereof to whom a Purchaser assigns its rights under this Agreement and who agrees to become bound by the provisions of this Agreement in accordance with Section 9 and any transferee or assignee thereof to whom a transferee or assignee assigns its rights under this Agreement and who agrees to become bound by the provisions of this Agreement in accordance with Section 9.</w:t>
      </w:r>
    </w:p>
    <w:p>
      <w:pPr>
        <w:spacing w:after="0" w:line="180" w:lineRule="exact"/>
        <w:rPr>
          <w:rFonts w:ascii="Arial" w:cs="Arial" w:eastAsia="Arial" w:hAnsi="Arial"/>
          <w:sz w:val="18"/>
          <w:szCs w:val="18"/>
          <w:color w:val="auto"/>
        </w:rPr>
      </w:pPr>
    </w:p>
    <w:p>
      <w:pPr>
        <w:ind w:firstLine="1823"/>
        <w:spacing w:after="0" w:line="282" w:lineRule="auto"/>
        <w:tabs>
          <w:tab w:leader="none" w:pos="277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and a government or any department or agency thereof.</w:t>
      </w:r>
    </w:p>
    <w:p>
      <w:pPr>
        <w:spacing w:after="0" w:line="161" w:lineRule="exact"/>
        <w:rPr>
          <w:rFonts w:ascii="Arial" w:cs="Arial" w:eastAsia="Arial" w:hAnsi="Arial"/>
          <w:sz w:val="18"/>
          <w:szCs w:val="18"/>
          <w:color w:val="auto"/>
        </w:rPr>
      </w:pPr>
    </w:p>
    <w:p>
      <w:pPr>
        <w:ind w:left="2480" w:hanging="657"/>
        <w:spacing w:after="0"/>
        <w:tabs>
          <w:tab w:leader="none" w:pos="2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1823"/>
        <w:spacing w:after="0" w:line="266" w:lineRule="auto"/>
        <w:tabs>
          <w:tab w:leader="none" w:pos="248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one or more Registration Statements (as defined below) in compliance with the 1933 Act and pursuant to Rule 415, and the declaration or ordering of effectiveness of such Registration Statement(s) by the SEC.</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6" w:name="page247"/>
    <w:bookmarkEnd w:id="246"/>
    <w:p>
      <w:pPr>
        <w:ind w:left="2480" w:hanging="657"/>
        <w:spacing w:after="0"/>
        <w:tabs>
          <w:tab w:leader="none" w:pos="2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the Initial Registrable Securities and the Additional Registrable Securities.</w:t>
      </w:r>
    </w:p>
    <w:p>
      <w:pPr>
        <w:spacing w:after="0" w:line="225" w:lineRule="exact"/>
        <w:rPr>
          <w:sz w:val="20"/>
          <w:szCs w:val="20"/>
          <w:color w:val="auto"/>
        </w:rPr>
      </w:pPr>
    </w:p>
    <w:p>
      <w:pPr>
        <w:ind w:left="1820"/>
        <w:spacing w:after="0"/>
        <w:tabs>
          <w:tab w:leader="none" w:pos="2800" w:val="left"/>
        </w:tabs>
        <w:rPr>
          <w:sz w:val="20"/>
          <w:szCs w:val="20"/>
          <w:color w:val="auto"/>
        </w:rPr>
      </w:pPr>
      <w:r>
        <w:rPr>
          <w:rFonts w:ascii="Arial" w:cs="Arial" w:eastAsia="Arial" w:hAnsi="Arial"/>
          <w:sz w:val="17"/>
          <w:szCs w:val="17"/>
          <w:color w:val="auto"/>
        </w:rPr>
        <w:t>(aa)</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Initial Registration Statement and the Additional Registration Statement,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7" w:lineRule="exact"/>
        <w:rPr>
          <w:sz w:val="20"/>
          <w:szCs w:val="20"/>
          <w:color w:val="auto"/>
        </w:rPr>
      </w:pPr>
    </w:p>
    <w:p>
      <w:pPr>
        <w:ind w:left="2520" w:hanging="697"/>
        <w:spacing w:after="0"/>
        <w:tabs>
          <w:tab w:leader="none" w:pos="25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holders of at least a majority of the Registrable Securities.</w:t>
      </w:r>
    </w:p>
    <w:p>
      <w:pPr>
        <w:spacing w:after="0" w:line="225" w:lineRule="exact"/>
        <w:rPr>
          <w:rFonts w:ascii="Arial" w:cs="Arial" w:eastAsia="Arial" w:hAnsi="Arial"/>
          <w:sz w:val="18"/>
          <w:szCs w:val="18"/>
          <w:color w:val="auto"/>
        </w:rPr>
      </w:pPr>
    </w:p>
    <w:p>
      <w:pPr>
        <w:ind w:left="2680" w:hanging="857"/>
        <w:spacing w:after="0"/>
        <w:tabs>
          <w:tab w:leader="none" w:pos="268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Registration Amount</w:t>
      </w:r>
      <w:r>
        <w:rPr>
          <w:rFonts w:ascii="Arial" w:cs="Arial" w:eastAsia="Arial" w:hAnsi="Arial"/>
          <w:sz w:val="17"/>
          <w:szCs w:val="17"/>
          <w:color w:val="auto"/>
        </w:rPr>
        <w:t>" means either the Initial Required Registration Amount or the Additional Required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Registration Amount, as applicable.</w:t>
      </w:r>
    </w:p>
    <w:p>
      <w:pPr>
        <w:spacing w:after="0" w:line="206" w:lineRule="exact"/>
        <w:rPr>
          <w:rFonts w:ascii="Arial" w:cs="Arial" w:eastAsia="Arial" w:hAnsi="Arial"/>
          <w:sz w:val="17"/>
          <w:szCs w:val="17"/>
          <w:color w:val="auto"/>
        </w:rPr>
      </w:pPr>
    </w:p>
    <w:p>
      <w:pPr>
        <w:ind w:left="2600" w:hanging="777"/>
        <w:spacing w:after="0"/>
        <w:tabs>
          <w:tab w:leader="none" w:pos="260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415</w:t>
      </w:r>
      <w:r>
        <w:rPr>
          <w:rFonts w:ascii="Arial" w:cs="Arial" w:eastAsia="Arial" w:hAnsi="Arial"/>
          <w:sz w:val="16"/>
          <w:szCs w:val="16"/>
          <w:color w:val="auto"/>
        </w:rPr>
        <w:t>" means Rule 415 promulgated under the 1933 Act or any successor rule providing for offering securities on a</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continuous or delayed basis.</w:t>
      </w:r>
    </w:p>
    <w:p>
      <w:pPr>
        <w:spacing w:after="0" w:line="206" w:lineRule="exact"/>
        <w:rPr>
          <w:rFonts w:ascii="Arial" w:cs="Arial" w:eastAsia="Arial" w:hAnsi="Arial"/>
          <w:sz w:val="16"/>
          <w:szCs w:val="16"/>
          <w:color w:val="auto"/>
        </w:rPr>
      </w:pPr>
    </w:p>
    <w:p>
      <w:pPr>
        <w:ind w:left="2500" w:hanging="677"/>
        <w:spacing w:after="0"/>
        <w:tabs>
          <w:tab w:leader="none" w:pos="25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jc w:val="both"/>
        <w:ind w:firstLine="1823"/>
        <w:spacing w:after="0" w:line="298" w:lineRule="auto"/>
        <w:tabs>
          <w:tab w:leader="none" w:pos="247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4.5 or more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8" w:lineRule="exact"/>
        <w:rPr>
          <w:rFonts w:ascii="Arial" w:cs="Arial" w:eastAsia="Arial" w:hAnsi="Arial"/>
          <w:sz w:val="16"/>
          <w:szCs w:val="16"/>
          <w:color w:val="auto"/>
        </w:rPr>
      </w:pPr>
    </w:p>
    <w:p>
      <w:pPr>
        <w:ind w:left="1800" w:hanging="495"/>
        <w:spacing w:after="0"/>
        <w:tabs>
          <w:tab w:leader="none" w:pos="18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823"/>
        <w:spacing w:after="0" w:line="286" w:lineRule="auto"/>
        <w:tabs>
          <w:tab w:leader="none" w:pos="2775"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Initial Mandatory Registration</w:t>
      </w:r>
      <w:r>
        <w:rPr>
          <w:rFonts w:ascii="Arial" w:cs="Arial" w:eastAsia="Arial" w:hAnsi="Arial"/>
          <w:sz w:val="16"/>
          <w:szCs w:val="16"/>
          <w:color w:val="auto"/>
        </w:rPr>
        <w:t>. Promptly following the Closing Date, the Company shall prepare, and, as soon as practicable but in no event later than the Initial Filing Deadline, file with the SEC the Initial Registration Statement on Form S-3 covering the resale of all of the Initial Registrable Securities. In the event that Form S-3 is unavailable for such a registration, the Company shall use Form S-1 or such other form as is available for such a registration on another appropriate form reasonably acceptable to the Required Holders, subject to the provisions of Section 2(e). The Initial Registration Statement prepared pursuant hereto shall register for resale at least the number of shares of Common Stock equal to the Initial Required Registration Amount determined as of the date the Initial Registration Statement is initially filed with the SEC, subject to adjustment as provided in Section 2(f). The Initial Registration Statement shall contain (except if otherwise directed by the Required Holders)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and "</w:t>
      </w:r>
      <w:r>
        <w:rPr>
          <w:rFonts w:ascii="Arial" w:cs="Arial" w:eastAsia="Arial" w:hAnsi="Arial"/>
          <w:sz w:val="16"/>
          <w:szCs w:val="16"/>
          <w:u w:val="single" w:color="auto"/>
          <w:color w:val="auto"/>
        </w:rPr>
        <w:t>Selling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sections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with such modifications as may be required by law. The Company shall use its commercially reasonable efforts to have the Initial Registration Statement declared effective by the SEC as soon as practicable, but in no event later than the Initial Effectiveness Deadline. By 9:30 a.m. New York time on the Business Day following the Initial Effective Date, the Company shall file with the SEC in accordance with Rule 424 under the 1933 Act the final prospectus to be used in connection with sales pursuant to such Initial Registration Statement. The Company represents and warrants that Cutbacks will not apply with respect to at least 3,990,303 Initial Registrable Securities and that not fewer than 3,990,303 of Initial Registrable Securities must be included for registration in the Initial Registration Statement.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7" w:name="page248"/>
    <w:bookmarkEnd w:id="247"/>
    <w:p>
      <w:pPr>
        <w:jc w:val="both"/>
        <w:ind w:left="-20" w:firstLine="1823"/>
        <w:spacing w:after="0" w:line="267" w:lineRule="auto"/>
        <w:tabs>
          <w:tab w:leader="none" w:pos="2495"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Additional Mandatory Registrations</w:t>
      </w:r>
      <w:r>
        <w:rPr>
          <w:rFonts w:ascii="Arial" w:cs="Arial" w:eastAsia="Arial" w:hAnsi="Arial"/>
          <w:sz w:val="17"/>
          <w:szCs w:val="17"/>
          <w:color w:val="auto"/>
        </w:rPr>
        <w:t>. The Company shall prepare, and, as soon as practicable but in no event later than the Additional Filing Deadline, file with the SEC an Additional Registration Statement on Form S-3 covering the resale of all of the Additional Registrable Securities not previously registered on an Additional Registration Statement hereunder. To the extent the staff of the SEC does not permit the Additional Required Registration Amount to be registered on an Additional Registration Statement, the Company shall file Additional Registration Statements successively trying to register on each such Additional Registration Statement the maximum number of remaining Additional Registrable Securities until the Additional Required Registration Amount has been registered with the SEC; provided that after two rejections by the SEC of Additional Registration Statements, the Company shall not be required to file Additional Registration Statements more frequently than once per sixty day period commencing subsequent to the second rejection. In the event that Form S-3 is unavailable for such a registration, the Company shall use Form S-1 or such other form as is available for such a registration on another appropriate form reasonably acceptable to the Required Holders, subject to the provisions of Section 2(e). Each Additional Registration Statement prepared pursuant hereto shall register for resale at least that number of shares of Common Stock equal to the Additional Required Registration Amount determined as of the date such Additional Registration Statement is initially filed with the SEC</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subject to adjustment as provided in Section 2(f). Each Additional Registration Statement shall contain (except if otherwise directed by the Required Holders) the "</w:t>
      </w:r>
      <w:r>
        <w:rPr>
          <w:rFonts w:ascii="Arial" w:cs="Arial" w:eastAsia="Arial" w:hAnsi="Arial"/>
          <w:sz w:val="17"/>
          <w:szCs w:val="17"/>
          <w:u w:val="single" w:color="auto"/>
          <w:color w:val="auto"/>
        </w:rPr>
        <w:t>Plan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w:t>
      </w:r>
      <w:r>
        <w:rPr>
          <w:rFonts w:ascii="Arial" w:cs="Arial" w:eastAsia="Arial" w:hAnsi="Arial"/>
          <w:sz w:val="17"/>
          <w:szCs w:val="17"/>
          <w:color w:val="auto"/>
        </w:rPr>
        <w:t>" and "</w:t>
      </w:r>
      <w:r>
        <w:rPr>
          <w:rFonts w:ascii="Arial" w:cs="Arial" w:eastAsia="Arial" w:hAnsi="Arial"/>
          <w:sz w:val="17"/>
          <w:szCs w:val="17"/>
          <w:u w:val="single" w:color="auto"/>
          <w:color w:val="auto"/>
        </w:rPr>
        <w:t>Selling Shareholders</w:t>
      </w:r>
      <w:r>
        <w:rPr>
          <w:rFonts w:ascii="Arial" w:cs="Arial" w:eastAsia="Arial" w:hAnsi="Arial"/>
          <w:sz w:val="17"/>
          <w:szCs w:val="17"/>
          <w:color w:val="auto"/>
        </w:rPr>
        <w:t xml:space="preserve">" sections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with such modifications as may be required by law. The Company shall use its commercially reasonable efforts to have each Additional Registration Statement declared effective by the SEC as soon as practicable, but in no event later than the Additional Effectiveness Deadline. By 9:30 a.m. New York time on the Business Day following the Additional Effective Date, the Company shall file with the SEC in accordance with Rule 424 under the 1933 Act the final prospectus to be used in connection with sales pursuant to such Additional Registration Statement.</w:t>
      </w:r>
    </w:p>
    <w:p>
      <w:pPr>
        <w:spacing w:after="0" w:line="192" w:lineRule="exact"/>
        <w:rPr>
          <w:rFonts w:ascii="Arial" w:cs="Arial" w:eastAsia="Arial" w:hAnsi="Arial"/>
          <w:sz w:val="17"/>
          <w:szCs w:val="17"/>
          <w:color w:val="auto"/>
        </w:rPr>
      </w:pPr>
    </w:p>
    <w:p>
      <w:pPr>
        <w:jc w:val="both"/>
        <w:ind w:left="-20" w:firstLine="1823"/>
        <w:spacing w:after="0" w:line="289" w:lineRule="auto"/>
        <w:tabs>
          <w:tab w:leader="none" w:pos="2553"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Allocation of Registrable Securities</w:t>
      </w:r>
      <w:r>
        <w:rPr>
          <w:rFonts w:ascii="Arial" w:cs="Arial" w:eastAsia="Arial" w:hAnsi="Arial"/>
          <w:sz w:val="16"/>
          <w:szCs w:val="16"/>
          <w:color w:val="auto"/>
        </w:rPr>
        <w:t>. The initial number of Registrable Securities included in any Registration Statement and any increase or decrease in the number of Registrable Securities included therein shall be allocated pro rata among the Investors based on the number of Registrable Securities held by each Investor at the time the Registration Statement covering such initial number of Registrable Securities or increase or decrease thereof is declared effective by the SEC. In the event that an Investor sells or otherwise transfers any of such Investor's Registrable Securities, each transferee shall be allocated a pro rata portion of the then remaining number of Registrable Securities included in such Registration Statement for such transferor.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 In no event shall the Company include any securities other than Registrable Securities on any Registration Statement without the prior written consent of the Required Holders.</w:t>
      </w:r>
    </w:p>
    <w:p>
      <w:pPr>
        <w:spacing w:after="0" w:line="166" w:lineRule="exact"/>
        <w:rPr>
          <w:rFonts w:ascii="Arial" w:cs="Arial" w:eastAsia="Arial" w:hAnsi="Arial"/>
          <w:sz w:val="16"/>
          <w:szCs w:val="16"/>
          <w:color w:val="auto"/>
        </w:rPr>
      </w:pPr>
    </w:p>
    <w:p>
      <w:pPr>
        <w:jc w:val="both"/>
        <w:ind w:left="-20" w:firstLine="1823"/>
        <w:spacing w:after="0" w:line="259" w:lineRule="auto"/>
        <w:tabs>
          <w:tab w:leader="none" w:pos="252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Legal Counsel</w:t>
      </w:r>
      <w:r>
        <w:rPr>
          <w:rFonts w:ascii="Arial" w:cs="Arial" w:eastAsia="Arial" w:hAnsi="Arial"/>
          <w:sz w:val="18"/>
          <w:szCs w:val="18"/>
          <w:color w:val="auto"/>
        </w:rPr>
        <w:t>. Subject to Section 5 hereof, the Required Holders shall have the right, at their own expense, to select one legal counsel to review and oversee any registration pursuant to this Section 2 ("</w:t>
      </w:r>
      <w:r>
        <w:rPr>
          <w:rFonts w:ascii="Arial" w:cs="Arial" w:eastAsia="Arial" w:hAnsi="Arial"/>
          <w:sz w:val="18"/>
          <w:szCs w:val="18"/>
          <w:b w:val="1"/>
          <w:bCs w:val="1"/>
          <w:color w:val="auto"/>
        </w:rPr>
        <w:t>Legal Counsel</w:t>
      </w:r>
      <w:r>
        <w:rPr>
          <w:rFonts w:ascii="Arial" w:cs="Arial" w:eastAsia="Arial" w:hAnsi="Arial"/>
          <w:sz w:val="18"/>
          <w:szCs w:val="18"/>
          <w:color w:val="auto"/>
        </w:rPr>
        <w:t>"), which shall be Grushko &amp; Mittman, P.C., or such other counsel as thereafter designated by the Required Holders. The Company and Legal Counsel shall reasonably cooperate with each other in performing the Company's obligations under this Agreement.</w:t>
      </w:r>
    </w:p>
    <w:p>
      <w:pPr>
        <w:spacing w:after="0" w:line="186" w:lineRule="exact"/>
        <w:rPr>
          <w:rFonts w:ascii="Arial" w:cs="Arial" w:eastAsia="Arial" w:hAnsi="Arial"/>
          <w:sz w:val="18"/>
          <w:szCs w:val="18"/>
          <w:color w:val="auto"/>
        </w:rPr>
      </w:pPr>
    </w:p>
    <w:p>
      <w:pPr>
        <w:jc w:val="both"/>
        <w:ind w:left="-20" w:firstLine="1823"/>
        <w:spacing w:after="0" w:line="257" w:lineRule="auto"/>
        <w:tabs>
          <w:tab w:leader="none" w:pos="2647"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Ineligibility for Form S-3</w:t>
      </w:r>
      <w:r>
        <w:rPr>
          <w:rFonts w:ascii="Arial" w:cs="Arial" w:eastAsia="Arial" w:hAnsi="Arial"/>
          <w:sz w:val="18"/>
          <w:szCs w:val="18"/>
          <w:color w:val="auto"/>
        </w:rPr>
        <w:t>.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Registrable Securities on Form S-3 as soon as such form is available, provided that the Company shall maintain the effectiveness of the Registration Statement then in effect until such time as any such Registration Statement on Form S-3 filed by the Company covering the Registrable Securities has been declared effective by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8" w:name="page249"/>
    <w:bookmarkEnd w:id="248"/>
    <w:p>
      <w:pPr>
        <w:jc w:val="both"/>
        <w:ind w:left="-20" w:firstLine="1823"/>
        <w:spacing w:after="0" w:line="269" w:lineRule="auto"/>
        <w:tabs>
          <w:tab w:leader="none" w:pos="2519"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Sufficient Number of Shares Registered</w:t>
      </w:r>
      <w:r>
        <w:rPr>
          <w:rFonts w:ascii="Arial" w:cs="Arial" w:eastAsia="Arial" w:hAnsi="Arial"/>
          <w:sz w:val="17"/>
          <w:szCs w:val="17"/>
          <w:color w:val="auto"/>
        </w:rPr>
        <w:t>. In the event the number of shares available under a Registration Statement filed pursuant to Section 2(a) or Section 2(b) is insufficient to cover the Required Registration Amount of Registrable Securities required to be covered by such Registration Statement or an Investor's allocated portion of the Registrable Securities pursuant to Section 2(c), the Company shall amend the applicable Registration Statement, or file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calendar days after the necessity therefor arises. The Company shall use its commercially reasonable efforts to cause such amendment and/or new Registration Statement to become effective as soon as practicable following the filing thereof. For purposes of the foregoing provision, the number of shares available under a Registration Statement shall be deemed "insufficient to cover all of the Registrable Securities" if at any time the number of shares of Common Stock available for resale under the Registration Statement is less than the Required Registration Amount. The calculation set forth in the foregoing sentence shall be made without regard to any limitations on the exercise of the Warrants and such calculation shall assume the Warrants are then exercisable in full into shares of Common Stock at the then prevailing Exercise Price (as defined in the Warrants).</w:t>
      </w:r>
    </w:p>
    <w:p>
      <w:pPr>
        <w:spacing w:after="0" w:line="179" w:lineRule="exact"/>
        <w:rPr>
          <w:rFonts w:ascii="Arial" w:cs="Arial" w:eastAsia="Arial" w:hAnsi="Arial"/>
          <w:sz w:val="17"/>
          <w:szCs w:val="17"/>
          <w:color w:val="auto"/>
        </w:rPr>
      </w:pPr>
    </w:p>
    <w:p>
      <w:pPr>
        <w:jc w:val="both"/>
        <w:ind w:left="-20" w:firstLine="1823"/>
        <w:spacing w:after="0" w:line="284" w:lineRule="auto"/>
        <w:tabs>
          <w:tab w:leader="none" w:pos="2603"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Effect of Failure to File and Obtain and Maintain Effectiveness of Registration Statement</w:t>
      </w:r>
      <w:r>
        <w:rPr>
          <w:rFonts w:ascii="Arial" w:cs="Arial" w:eastAsia="Arial" w:hAnsi="Arial"/>
          <w:sz w:val="16"/>
          <w:szCs w:val="16"/>
          <w:color w:val="auto"/>
        </w:rPr>
        <w:t>. If (i) the Initial Registration Statement when declared effective fails to register the Initial Required Registration Amount of Initial Registrable Securities (a "Registration Failure"), (ii) a Registration Statement covering all of the Registrable Securities required to be covered thereby and required to be filed by the Company pursuant to this Agreement is (A) not filed with the SEC on or before the applicable Filing Deadline (a "Filing Failure") or (B) not declared effective by the SEC on or before the applicable Effectiveness Deadline, (an "Effectiveness Failure") or (iii) on any day after the applicable Effective Date, sales of all of the Registrable Securities required to be included on such Registration Statement cannot be made (other than during an Allowable Grace Period (as defined in Section 3(r))) pursuant to such Registration Statement or otherwise (including, without limitation, because of the suspension of trading or any other limitation imposed by an Eligible Market, a failure to keep such Registration Statement effective, a failure to disclose such information as is necessary for sales to be made pursuant to such Registration Statement, a failure to register a sufficient number of shares of Common Stock or a failure to maintain the listing of the Common Stock) (a "Maintenance Failure" and collectively with a Registration Failure, a Filing Failure, and an Effectiveness Failure, the “Failures” and each a “Failure”), then, as partial relief for the damages to any holder by reason of a Failure (which remedy shall not be exclusive of any other remedies available at law or in equity, including, without limitation, specific performance or the additional obligation of the Company to register any Cutback Shares), the Company shall pay to each holder of Registrable Securities relating to such Registration Statement an amount in cash equal to one percent (1.0%) of the aggregate Subscription Amount (as defined in the Securities Purchase Agreement) of such Investor's Registrable Securities whether or not included in such Registration Statement, on each of the following dates: (i) the day of a Registration Failure, (ii) the day of a Filing Failure; (iii) the day of an Effectiveness Failure; (iv) the initial day of a Maintenance Failure; (v) on the thirtieth day after the date of a Registration Failure and every thirtieth day thereafter (pro rated for periods totaling less than thirty days) until such Registration Failure is cured; (vi) on the thirtieth day after the date of a Filing Failure and every thirtieth day thereafter (pro rated for periods totaling less than thirty days) until such Filing Failure is cured; (vii) on the thirtieth day after the date of an Effectiveness Failure and every thirtieth day thereafter (pro rated for periods totaling less than thirty days) until such Effectiveness Failure is cured; and (viii) on the thirtieth day after the initial date of a Maintenance Failure and every thirtieth day thereafter (pro rated for periods totaling less than thirty days) until such Maintenance Failure is cured; provided however, in the event that there shall be more than one Failure occurring simultaneously, the 1.0% shall apply in the aggregate (e.g., during any single or multiple Failure, 1% shall be due, however 1% shall not be due “per Failure” if the Failures are simultaneous and for so long as such Failures are simultaneous). The payments to which a holder shall be entitled pursuant to this Section 2(g) are referred to herein as "Registration Delay Payments." Registration Delay Payments shall be paid on the earlier of (I) the dates set forth above and (II) the third Business Day after the event or failure giving rise to the Registration Delay Payments is cured. In the event the Company fails to make Registration Delay Payments in a timely manner, such Registration Delay Payments shall bear interest at the rate of one percent (1%) per month (prorated for partial months) until paid in full. Notwithstanding anything to the contrary contained herein, Registration Delay Payments shall (i) not, in the aggregate, exceed seven percent (7%) of the aggregate Purchase Price, (ii) cease to accrue when all of the Registrable Securities may be sold pursuant to Rule 144 without any restrictions or limitations, and (iii) cease to accrue upon the termination of the Registration Period (as defined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9" w:name="page250"/>
    <w:bookmarkEnd w:id="249"/>
    <w:p>
      <w:pPr>
        <w:jc w:val="both"/>
        <w:ind w:firstLine="1823"/>
        <w:spacing w:after="0" w:line="255" w:lineRule="auto"/>
        <w:tabs>
          <w:tab w:leader="none" w:pos="2488"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Limitation on Other Registration Statements</w:t>
      </w:r>
      <w:r>
        <w:rPr>
          <w:rFonts w:ascii="Arial" w:cs="Arial" w:eastAsia="Arial" w:hAnsi="Arial"/>
          <w:sz w:val="18"/>
          <w:szCs w:val="18"/>
          <w:color w:val="auto"/>
        </w:rPr>
        <w:t xml:space="preserve">. The Company shall not file another registration statement under the 1933 Act prior to the earlier of (i) ninety (90) days after the date that the Initial Registration Statement is declared effective by the SEC and (ii) the end of the Registration Period (as defined in Section 3(a)) nor include in the Initial Registration Statement or Additional Registration any securities except the Registrable Securities and Additional Registrable Securities; </w:t>
      </w:r>
      <w:r>
        <w:rPr>
          <w:rFonts w:ascii="Arial" w:cs="Arial" w:eastAsia="Arial" w:hAnsi="Arial"/>
          <w:sz w:val="18"/>
          <w:szCs w:val="18"/>
          <w:u w:val="single" w:color="auto"/>
          <w:color w:val="auto"/>
        </w:rPr>
        <w:t>provided that</w:t>
      </w:r>
      <w:r>
        <w:rPr>
          <w:rFonts w:ascii="Arial" w:cs="Arial" w:eastAsia="Arial" w:hAnsi="Arial"/>
          <w:sz w:val="18"/>
          <w:szCs w:val="18"/>
          <w:color w:val="auto"/>
        </w:rPr>
        <w:t>, this Section 2(h) shall not prevent the Company from (a) filing a registration statement on Form S-4 or Form S-8 with the SEC at any time beginning thirty (30) calendar days after the initial filing of the Initial Registration Statement with the SEC or (b) filing a universal shelf registration statement on Form S-3.</w:t>
      </w:r>
    </w:p>
    <w:p>
      <w:pPr>
        <w:spacing w:after="0" w:line="193" w:lineRule="exact"/>
        <w:rPr>
          <w:rFonts w:ascii="Arial" w:cs="Arial" w:eastAsia="Arial" w:hAnsi="Arial"/>
          <w:sz w:val="18"/>
          <w:szCs w:val="18"/>
          <w:color w:val="auto"/>
        </w:rPr>
      </w:pPr>
    </w:p>
    <w:p>
      <w:pPr>
        <w:ind w:left="1800" w:hanging="495"/>
        <w:spacing w:after="0"/>
        <w:tabs>
          <w:tab w:leader="none" w:pos="18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Related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At such time as the Company is obligated to file a Registration Statement with the SEC pursuant to Section 2(a), 2(b), 2(e) or 2(f), the Company will use its commercially reasonable efforts to effect the registration of the Registrable Securities in accordance with the intended method of disposition thereof and, pursuant thereto, the Company shall have the following obligations:</w:t>
      </w:r>
    </w:p>
    <w:p>
      <w:pPr>
        <w:spacing w:after="0" w:line="181" w:lineRule="exact"/>
        <w:rPr>
          <w:sz w:val="20"/>
          <w:szCs w:val="20"/>
          <w:color w:val="auto"/>
        </w:rPr>
      </w:pPr>
    </w:p>
    <w:p>
      <w:pPr>
        <w:jc w:val="both"/>
        <w:ind w:firstLine="1823"/>
        <w:spacing w:after="0" w:line="286" w:lineRule="auto"/>
        <w:tabs>
          <w:tab w:leader="none" w:pos="268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Company shall promptly prepare and file with the SEC a Registration Statement with respect to the Registrable Securities and use its commercially reasonable efforts to cause such Registration Statement relating to the Registrable Securities to become effective as soon as practicable after such filing (but in no event later than the Effectiveness Deadline). The Company shall keep each Registration Statement effective pursuant to Rule 415 at all times until the earlier of (i) the date that is two (2) years and six (6) months after the Closing Date or (ii) the date on which the Investors shall have sold all of the Registrable Securities required to be covered by such Registration Statement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The Company shall ensure that each 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 The term "commercially reasonable efforts" shall mean, among other things, that the Company shall submit to the SEC, within two (2) Business Days after the later of the date that (i) the Company learns that no review of a particular Registration Statement will be made by the staff of the SEC or that the staff has no further comments on a particular Registration Statement, as the case may be, and (ii) the approval of Legal Counsel pursuant to Section 3(c) (which approval is promptly sought), a request for acceleration of effectiveness of such Registration Statement to a time and date not later than two (2) Business Days after the submission of such request. The Company shall respond in writing to comments made by the SEC in respect of a Registration Statement as soon as practicable, but in no event later than fifteen (15) calendar days after the receipt of comments by or notice from the SEC that an amendment is required in order for a Registration Statement to be declared effective.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0" w:name="page251"/>
    <w:bookmarkEnd w:id="250"/>
    <w:p>
      <w:pPr>
        <w:jc w:val="both"/>
        <w:ind w:left="-20" w:firstLine="1823"/>
        <w:spacing w:after="0" w:line="288" w:lineRule="auto"/>
        <w:tabs>
          <w:tab w:leader="none" w:pos="281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shall prepare and file with the SEC such amendments (including post-effective amendments) and supplements to a Registration Statement and the prospectus used in connection with such Registration Statement, which prospectus is to be filed pursuant to Rule 424 promulgated under the 1933 Act, as may be necessary to keep such Registration Statement effective at all times during the Registration Period, and, during such period, comply with the provisions of the 1933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3(b)) by reason of the Company filing a report on Form 10-K, Form 10-Q, Form 8-K or any analogous report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the Company shall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169" w:lineRule="exact"/>
        <w:rPr>
          <w:rFonts w:ascii="Arial" w:cs="Arial" w:eastAsia="Arial" w:hAnsi="Arial"/>
          <w:sz w:val="16"/>
          <w:szCs w:val="16"/>
          <w:color w:val="auto"/>
        </w:rPr>
      </w:pPr>
    </w:p>
    <w:p>
      <w:pPr>
        <w:jc w:val="both"/>
        <w:ind w:left="-20" w:firstLine="1823"/>
        <w:spacing w:after="0" w:line="285" w:lineRule="auto"/>
        <w:tabs>
          <w:tab w:leader="none" w:pos="253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shall (A) permit Legal Counsel to review and comment upon (i) a Registration Statement at least three (3) Business Days prior to its filing with the SEC and (ii) all amendments and supplements to all Registration Statements (except for those filed by reason of the Company filing Annual Reports on Form 10-K, Quarterly Reports on Form 10-Q, Current Reports on Form 8-K, and any similar or successor reports) within a reasonable number of days prior to their filing with the SEC, (B) permit each Investor to review and comment on the “Plan of Distribution” and “Selling Shareholders” sections of the Registration Statement and all amendments and supplements to the Registration Statement to the extent any changes are made to those sections, and (C) not file any Registration Statement or amendment or supplement thereto in a form to which Legal Counsel reasonably objects; provided however, that if the delay in filing the Registration Statement is due to Legal Counsel’s or an Investor’s unreasonable objections (and unreasonable refusal to allow the Company to file the Registration Statement) then in such event, no Registration Failure (or similar event that triggers a Registration Delay Payment) shall be deemed to have occurred with such delay arising from Legal Counsel’s unreasonable objections, or solely with respect to an Investor, arising from such Investor’s unreasonable objections. The Company shall not submit a request for acceleration of the effectiveness of a Registration Statement or any amendment or supplement thereto without the prior approval of Legal Counsel, which consent shall not be unreasonably withheld; provided however, that if the delay in filing the effectiveness of the Registration Statement is due to Legal Counsel’s unreasonable objections (and unreasonable refusal to allow the Registration Statement to become effective) then in such event, no Effectiveness Failure (or similar event that triggers a Registration Delay Payment) shall be deemed to have occurred. The Company shall furnish to Legal Counsel, without charge, copies of any correspondence from the SEC or the staff of the SEC to the Company or its representatives relating to any Registration Statement. The Company shall reasonably cooperate with Legal Counsel in performing the Company's obligations pursuant to this Section 3.</w:t>
      </w:r>
    </w:p>
    <w:p>
      <w:pPr>
        <w:spacing w:after="0" w:line="177" w:lineRule="exact"/>
        <w:rPr>
          <w:rFonts w:ascii="Arial" w:cs="Arial" w:eastAsia="Arial" w:hAnsi="Arial"/>
          <w:sz w:val="16"/>
          <w:szCs w:val="16"/>
          <w:color w:val="auto"/>
        </w:rPr>
      </w:pPr>
    </w:p>
    <w:p>
      <w:pPr>
        <w:ind w:left="2460" w:hanging="657"/>
        <w:spacing w:after="0"/>
        <w:tabs>
          <w:tab w:leader="none" w:pos="2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1" w:name="page252"/>
    <w:bookmarkEnd w:id="251"/>
    <w:p>
      <w:pPr>
        <w:jc w:val="both"/>
        <w:ind w:left="-20" w:firstLine="1823"/>
        <w:spacing w:after="0" w:line="287" w:lineRule="auto"/>
        <w:tabs>
          <w:tab w:leader="none" w:pos="245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72" w:lineRule="exact"/>
        <w:rPr>
          <w:rFonts w:ascii="Arial" w:cs="Arial" w:eastAsia="Arial" w:hAnsi="Arial"/>
          <w:sz w:val="16"/>
          <w:szCs w:val="16"/>
          <w:color w:val="auto"/>
        </w:rPr>
      </w:pPr>
    </w:p>
    <w:p>
      <w:pPr>
        <w:jc w:val="both"/>
        <w:ind w:left="-20" w:firstLine="1823"/>
        <w:spacing w:after="0" w:line="268" w:lineRule="auto"/>
        <w:tabs>
          <w:tab w:leader="none" w:pos="247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shall notify Legal Counsel in writing of the happening of any event, as promptly as practicable but not later than the first Business Day after becoming aware of such event, (i)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or (ii) that results in the lack of effectiveness of any Registration Statement, and, subject to Section 3(r), promptly prepare a supplement or amendment to such Registration Statement to correct such untrue statement or omission, or lack of effectiveness of any Registration Statement. The Company shall also promptly notify Legal Counsel in writing (i) when a prospectus or any prospectus supplement or post-effective amendment has been filed, and when a Registration Statement or any post-effective amendment has become effective (notification of such effectiveness shall be delivered to Legal Counsel by email on the same day of such effectiveness and by overnight mail), (ii) of any request by the SEC for amendments or supplements to a Registration Statement or related prospectus or related information, and (iii) of the Company's reasonable determination that a post-effective amendment to a Registration Statement would be appropriate. By 9:30 a.m. New York City time on the day following the date any post-effective amendment has become effective, the Company shall file with the SEC in accordance with Rule 424 under the 1933 Act the final prospectus to be used in connection with sales pursuant to such Registration Statement.</w:t>
      </w:r>
    </w:p>
    <w:p>
      <w:pPr>
        <w:spacing w:after="0" w:line="187" w:lineRule="exact"/>
        <w:rPr>
          <w:rFonts w:ascii="Arial" w:cs="Arial" w:eastAsia="Arial" w:hAnsi="Arial"/>
          <w:sz w:val="17"/>
          <w:szCs w:val="17"/>
          <w:color w:val="auto"/>
        </w:rPr>
      </w:pPr>
    </w:p>
    <w:p>
      <w:pPr>
        <w:jc w:val="both"/>
        <w:ind w:left="-20" w:firstLine="1823"/>
        <w:spacing w:after="0" w:line="302" w:lineRule="auto"/>
        <w:tabs>
          <w:tab w:leader="none" w:pos="247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Legal Counsel of the issuance of such order and the resolution thereof or its receipt of actual notice of the initiation or threat of any proceeding for such purpose.</w:t>
      </w:r>
    </w:p>
    <w:p>
      <w:pPr>
        <w:spacing w:after="0" w:line="154" w:lineRule="exact"/>
        <w:rPr>
          <w:rFonts w:ascii="Arial" w:cs="Arial" w:eastAsia="Arial" w:hAnsi="Arial"/>
          <w:sz w:val="16"/>
          <w:szCs w:val="16"/>
          <w:color w:val="auto"/>
        </w:rPr>
      </w:pPr>
    </w:p>
    <w:p>
      <w:pPr>
        <w:jc w:val="both"/>
        <w:ind w:left="-20" w:firstLine="1823"/>
        <w:spacing w:after="0" w:line="272" w:lineRule="auto"/>
        <w:tabs>
          <w:tab w:leader="none" w:pos="2494"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any Investor is required by the SEC to be described in the Registration Statement as an underwriter or the Company and an Investor agree that it should be identified as an underwriter of Registrable Securities in the Registration Statement and the Registration Statement is so modified, the Company shall furnish to such Investor, on the date of the effectiveness of the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2" w:name="page253"/>
    <w:bookmarkEnd w:id="252"/>
    <w:p>
      <w:pPr>
        <w:jc w:val="both"/>
        <w:ind w:left="-20" w:firstLine="1823"/>
        <w:spacing w:after="0" w:line="286" w:lineRule="auto"/>
        <w:tabs>
          <w:tab w:leader="none" w:pos="241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If any Investor is required under applicable securities laws to be described in the Registration Statement as an underwriter or the Company and an Investor agrees that it could reasonably be deemed to be an underwriter of Registrable Securities, the Company shall make available for inspection by (i) such Investor, (ii) Legal Counsel and (iii) one firm of accountants or other agents retained by the Investors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pertinent financial and other records, and pertinent corporate documents and properties of the Company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as shall be reasonably deemed necessary by each Inspector, and cause the Company's officers, directors and employees to supply all information which any Inspector may reasonably request; provided, however, that each Inspector shall agree to hold in strict confidence and shall not make any disclosure (except to an Investor who agrees to keep such Records confidential and not to trade on such information)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Agreement.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168" w:lineRule="exact"/>
        <w:rPr>
          <w:rFonts w:ascii="Arial" w:cs="Arial" w:eastAsia="Arial" w:hAnsi="Arial"/>
          <w:sz w:val="16"/>
          <w:szCs w:val="16"/>
          <w:color w:val="auto"/>
        </w:rPr>
      </w:pPr>
    </w:p>
    <w:p>
      <w:pPr>
        <w:jc w:val="both"/>
        <w:ind w:left="-20" w:firstLine="1823"/>
        <w:spacing w:after="0" w:line="271" w:lineRule="auto"/>
        <w:tabs>
          <w:tab w:leader="none" w:pos="247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an Investor is sought in or by a court or governmental body of competent jurisdiction or through other means, give prompt written notice to such Investor and allow such Investor a reasonable period of time, at the Investor's expense, to undertake appropriate action to prevent disclosure of, or to obtain a protective order for, such information.</w:t>
      </w:r>
    </w:p>
    <w:p>
      <w:pPr>
        <w:spacing w:after="0" w:line="178" w:lineRule="exact"/>
        <w:rPr>
          <w:rFonts w:ascii="Arial" w:cs="Arial" w:eastAsia="Arial" w:hAnsi="Arial"/>
          <w:sz w:val="17"/>
          <w:szCs w:val="17"/>
          <w:color w:val="auto"/>
        </w:rPr>
      </w:pPr>
    </w:p>
    <w:p>
      <w:pPr>
        <w:jc w:val="both"/>
        <w:ind w:left="-20" w:firstLine="1823"/>
        <w:spacing w:after="0" w:line="254" w:lineRule="auto"/>
        <w:tabs>
          <w:tab w:leader="none" w:pos="24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either to (i) cause all of the Registrable Securities covered by a Registration Statement to be listed on each securities exchange on which securities of the same class or series issued by the Company are then listed, if any, if the listing of such Registrable Securities is then permitted under the rules of such exchange or (ii) secure the inclusion for quotation of all of the Registrable Securities on the Principal Market or (iii) if, despite the Company's commercially reasonable efforts, the Company is unsuccessful in satisfying the preceding clauses (i) and (ii), to secure the inclusion for quotation on another Eligible Market for such Registrable Securities and, without limiting the generality of the foregoing, to use its commercially reasonable efforts to arrange for at least two market makers to register with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as such with respect to such Registrable Securities. The Company shall pay all fees and expenses in connection with satisfying its obligation under this Section 3(k).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3" w:name="page254"/>
    <w:bookmarkEnd w:id="253"/>
    <w:p>
      <w:pPr>
        <w:jc w:val="both"/>
        <w:ind w:left="-20" w:firstLine="1823"/>
        <w:spacing w:after="0" w:line="259" w:lineRule="auto"/>
        <w:tabs>
          <w:tab w:leader="none" w:pos="242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and registered in such names as the Investors may request.</w:t>
      </w:r>
    </w:p>
    <w:p>
      <w:pPr>
        <w:spacing w:after="0" w:line="186" w:lineRule="exact"/>
        <w:rPr>
          <w:rFonts w:ascii="Arial" w:cs="Arial" w:eastAsia="Arial" w:hAnsi="Arial"/>
          <w:sz w:val="18"/>
          <w:szCs w:val="18"/>
          <w:color w:val="auto"/>
        </w:rPr>
      </w:pPr>
    </w:p>
    <w:p>
      <w:pPr>
        <w:jc w:val="both"/>
        <w:ind w:left="-20" w:firstLine="1823"/>
        <w:spacing w:after="0" w:line="293" w:lineRule="auto"/>
        <w:tabs>
          <w:tab w:leader="none" w:pos="250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If reasonably requested by an Investor, the Company shall as soon as practicable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if reasonably requested by an Investor holding any Registrable Securities.</w:t>
      </w:r>
    </w:p>
    <w:p>
      <w:pPr>
        <w:spacing w:after="0" w:line="164" w:lineRule="exact"/>
        <w:rPr>
          <w:rFonts w:ascii="Arial" w:cs="Arial" w:eastAsia="Arial" w:hAnsi="Arial"/>
          <w:sz w:val="16"/>
          <w:szCs w:val="16"/>
          <w:color w:val="auto"/>
        </w:rPr>
      </w:pPr>
    </w:p>
    <w:p>
      <w:pPr>
        <w:jc w:val="both"/>
        <w:ind w:left="-20" w:firstLine="1823"/>
        <w:spacing w:after="0" w:line="264" w:lineRule="auto"/>
        <w:tabs>
          <w:tab w:leader="none" w:pos="255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81" w:lineRule="exact"/>
        <w:rPr>
          <w:rFonts w:ascii="Arial" w:cs="Arial" w:eastAsia="Arial" w:hAnsi="Arial"/>
          <w:sz w:val="18"/>
          <w:szCs w:val="18"/>
          <w:color w:val="auto"/>
        </w:rPr>
      </w:pPr>
    </w:p>
    <w:p>
      <w:pPr>
        <w:jc w:val="both"/>
        <w:ind w:left="-20" w:firstLine="1823"/>
        <w:spacing w:after="0" w:line="264" w:lineRule="auto"/>
        <w:tabs>
          <w:tab w:leader="none" w:pos="258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as of the date hereof, nor shall the Company or any of its Subsidiaries, on or after the date of this Agreement, enter into any agreement with respect to its securities, that would have the effect of preventing the Company from performing its obligations hereunder.</w:t>
      </w:r>
    </w:p>
    <w:p>
      <w:pPr>
        <w:spacing w:after="0" w:line="181" w:lineRule="exact"/>
        <w:rPr>
          <w:rFonts w:ascii="Arial" w:cs="Arial" w:eastAsia="Arial" w:hAnsi="Arial"/>
          <w:sz w:val="18"/>
          <w:szCs w:val="18"/>
          <w:color w:val="auto"/>
        </w:rPr>
      </w:pPr>
    </w:p>
    <w:p>
      <w:pPr>
        <w:ind w:left="-20" w:firstLine="1823"/>
        <w:spacing w:after="0" w:line="277" w:lineRule="auto"/>
        <w:tabs>
          <w:tab w:leader="none" w:pos="249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shall otherwise use its commercially reasonable efforts to comply in all material respects with all applicable rules and regulations of the SEC in connection with any registration hereunder.</w:t>
      </w:r>
    </w:p>
    <w:p>
      <w:pPr>
        <w:spacing w:after="0" w:line="170" w:lineRule="exact"/>
        <w:rPr>
          <w:rFonts w:ascii="Arial" w:cs="Arial" w:eastAsia="Arial" w:hAnsi="Arial"/>
          <w:sz w:val="18"/>
          <w:szCs w:val="18"/>
          <w:color w:val="auto"/>
        </w:rPr>
      </w:pPr>
    </w:p>
    <w:p>
      <w:pPr>
        <w:jc w:val="both"/>
        <w:ind w:left="-20" w:firstLine="1823"/>
        <w:spacing w:after="0" w:line="259" w:lineRule="auto"/>
        <w:tabs>
          <w:tab w:leader="none" w:pos="246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Within two (2) Business Days after a Registration Statement which covers Registrable Securities is ordered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1823"/>
        <w:spacing w:after="0" w:line="268" w:lineRule="auto"/>
        <w:tabs>
          <w:tab w:leader="none" w:pos="242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Notwithstanding anything to the contrary herein, at any time after the Effective Date, the Company may delay the disclosure of material, non-public information concerning the Company the disclosure of which at the time is not, in the good faith opinion of the Board of Directors of the Company and its counsel, in the best interest of the Company and, in the opinion of counsel to the Company, otherwise required (a "</w:t>
      </w:r>
      <w:r>
        <w:rPr>
          <w:rFonts w:ascii="Arial" w:cs="Arial" w:eastAsia="Arial" w:hAnsi="Arial"/>
          <w:sz w:val="17"/>
          <w:szCs w:val="17"/>
          <w:b w:val="1"/>
          <w:bCs w:val="1"/>
          <w:color w:val="auto"/>
        </w:rPr>
        <w:t>Grace Period</w:t>
      </w:r>
      <w:r>
        <w:rPr>
          <w:rFonts w:ascii="Arial" w:cs="Arial" w:eastAsia="Arial" w:hAnsi="Arial"/>
          <w:sz w:val="17"/>
          <w:szCs w:val="17"/>
          <w:color w:val="auto"/>
        </w:rPr>
        <w:t>"); provided, that the Company shall promptly (i) notify the Investors in writing of the existence of material, non-public information giving rise to a Grace Period (provided that in each notice the Company will not disclose the content of such material, non-public information to the Investors) and the date on which the Grace Period will begin, and (ii) notify the Investors in writing of the date on which the Grace Period ends; and, provided further, that no Grace Period shall exceed ten (10) consecutive Trading Days and during any three hundred sixty five (365) day period such Grace Periods shall not exceed an aggregate of twenty (20) Trading Days and the first day of any Grace Period must be at least five (5) Trading Days after the last day of any prior Grace Period (each, an "</w:t>
      </w:r>
      <w:r>
        <w:rPr>
          <w:rFonts w:ascii="Arial" w:cs="Arial" w:eastAsia="Arial" w:hAnsi="Arial"/>
          <w:sz w:val="17"/>
          <w:szCs w:val="17"/>
          <w:b w:val="1"/>
          <w:bCs w:val="1"/>
          <w:color w:val="auto"/>
        </w:rPr>
        <w:t>Allowable Grace Period</w:t>
      </w:r>
      <w:r>
        <w:rPr>
          <w:rFonts w:ascii="Arial" w:cs="Arial" w:eastAsia="Arial" w:hAnsi="Arial"/>
          <w:sz w:val="17"/>
          <w:szCs w:val="17"/>
          <w:color w:val="auto"/>
        </w:rPr>
        <w:t>"). For purposes of determining the length of a Grace Period above, the Grace Period shall begin on and include the date the Investors receive the notice referred to in clause (i) and shall end on and include the later of the date the Investors receive the notice referred to in clause (ii) and the date referred to in such notice. The provisions of Section 3(g) hereof shall not be applicable during the period of any Allowable Grace Period. Upon expiration of the Grace Period, the Company shall again be bound by the first sentence of Section 3(f) with respect to the information giving rise thereto unless such material, non-public information is no longer applicable. Notwithstanding anything to the contrary, the Company shall cause its transfer agent to deliver unlegended shares of Common Stock to a transferee of an Investor in accordance with the terms of the Securities Purchase Agreement in connection with any sale of Registrable Securities with respect to which an Investor has entered into a contract for sale, prior to the Investor's receipt of the notice of a Grace Period and for which the Investor has not yet settled.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4" w:name="page255"/>
    <w:bookmarkEnd w:id="254"/>
    <w:p>
      <w:pPr>
        <w:jc w:val="both"/>
        <w:ind w:left="-20" w:firstLine="1823"/>
        <w:spacing w:after="0" w:line="287" w:lineRule="auto"/>
        <w:tabs>
          <w:tab w:leader="none" w:pos="244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Except as required by applicable law, neither the Company nor any Subsidiary or affiliate thereof shall identify any Investor as an underwriter in any public disclosure or filing with the SEC, the Principal Market or any Eligible Market and any Purchaser being deemed an underwriter by the SEC shall not relieve the Company of any obligations it has under this Agreement or any other Transaction Document (as defined in the Securities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the Company from including the disclosure found in the "Plan of Distribution" section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the Registration Statement. If the Company is required by law or in response to a comment received by the SEC to identify any Investor as an underwriter in any public disclosure or filing with the SEC, the Principal Market or any Eligible Market, prior to so identifying any such Investor, the Company shall promptly notify each such Investor of the legal requirement and give each such Investor a reasonable opportunity to persuade the applicable regulator that said disclosure is not required. If the applicable Investors are unable to eliminate the legal requirement to be identified as an underwriter, the applicable Investor shall have five (5) Business Days, or such shorter time as required by the applicable regulator or applicable law, to consent to such disclosure or to agree to withdraw as a selling shareholder under the Registration Statement. If an Investor agrees to withdraw as a selling shareholder under the Registration Statement, the Company shall not be responsible for any such Failures with respect to any such Investor.</w:t>
      </w:r>
    </w:p>
    <w:p>
      <w:pPr>
        <w:spacing w:after="0" w:line="172" w:lineRule="exact"/>
        <w:rPr>
          <w:rFonts w:ascii="Arial" w:cs="Arial" w:eastAsia="Arial" w:hAnsi="Arial"/>
          <w:sz w:val="16"/>
          <w:szCs w:val="16"/>
          <w:color w:val="auto"/>
        </w:rPr>
      </w:pPr>
    </w:p>
    <w:p>
      <w:pPr>
        <w:ind w:left="1780" w:hanging="495"/>
        <w:spacing w:after="0"/>
        <w:tabs>
          <w:tab w:leader="none" w:pos="17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823"/>
        <w:spacing w:after="0" w:line="272" w:lineRule="auto"/>
        <w:tabs>
          <w:tab w:leader="none" w:pos="257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At least five (5) Business Days prior to the first anticipated Filing Date of a Registration Statement, the Company shall notify each Investor in writing of the information the Company requires from each such Investor if such Investor elects to have any of such Investor's Registrable Securities included in such Registration Statement. It shall be a condition precedent to the obligations of the Company to complete any registration pursuant to this Agreement with respect to the Registrable Securities of a particular Investor that such Investor shall timely furnish to the Company such information regarding itself, the Registrable Securities held by it and the intended method of disposition of the Registrable Securities held by it as shall be reasonably required by the Company to effect and maintain the effectiveness of the registration of such Registrable Securities and shall timely execute such documents in connection with such registration as the Company may reasonably request.</w:t>
      </w:r>
    </w:p>
    <w:p>
      <w:pPr>
        <w:spacing w:after="0" w:line="177" w:lineRule="exact"/>
        <w:rPr>
          <w:rFonts w:ascii="Arial" w:cs="Arial" w:eastAsia="Arial" w:hAnsi="Arial"/>
          <w:sz w:val="17"/>
          <w:szCs w:val="17"/>
          <w:color w:val="auto"/>
        </w:rPr>
      </w:pPr>
    </w:p>
    <w:p>
      <w:pPr>
        <w:jc w:val="both"/>
        <w:ind w:left="-20" w:firstLine="1823"/>
        <w:spacing w:after="0" w:line="286" w:lineRule="auto"/>
        <w:tabs>
          <w:tab w:leader="none" w:pos="2683" w:val="left"/>
        </w:tabs>
        <w:numPr>
          <w:ilvl w:val="1"/>
          <w:numId w:val="259"/>
        </w:numPr>
        <w:rPr>
          <w:rFonts w:ascii="Arial" w:cs="Arial" w:eastAsia="Arial" w:hAnsi="Arial"/>
          <w:sz w:val="17"/>
          <w:szCs w:val="17"/>
          <w:color w:val="auto"/>
        </w:rPr>
      </w:pPr>
      <w:r>
        <w:rPr>
          <w:rFonts w:ascii="Arial" w:cs="Arial" w:eastAsia="Arial" w:hAnsi="Arial"/>
          <w:sz w:val="17"/>
          <w:szCs w:val="17"/>
          <w:color w:val="auto"/>
        </w:rPr>
        <w:t>Each Investor, by such Investor's acceptance of the Registrable Securities, agrees to cooperate with the Company as reasonably requested by the Company in connection with the preparation and filing of any Registration Statement hereunder, unless such Investor has notified the Company in writing of such Investor's election to exclude all of such Investor's Registrable Securities from such Registration Statement.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5" w:name="page256"/>
    <w:bookmarkEnd w:id="255"/>
    <w:p>
      <w:pPr>
        <w:jc w:val="both"/>
        <w:ind w:firstLine="1823"/>
        <w:spacing w:after="0" w:line="271" w:lineRule="auto"/>
        <w:tabs>
          <w:tab w:leader="none" w:pos="2465" w:val="left"/>
        </w:tabs>
        <w:numPr>
          <w:ilvl w:val="1"/>
          <w:numId w:val="260"/>
        </w:numPr>
        <w:rPr>
          <w:rFonts w:ascii="Arial" w:cs="Arial" w:eastAsia="Arial" w:hAnsi="Arial"/>
          <w:sz w:val="17"/>
          <w:szCs w:val="17"/>
          <w:color w:val="auto"/>
        </w:rPr>
      </w:pPr>
      <w:r>
        <w:rPr>
          <w:rFonts w:ascii="Arial" w:cs="Arial" w:eastAsia="Arial" w:hAnsi="Arial"/>
          <w:sz w:val="17"/>
          <w:szCs w:val="17"/>
          <w:color w:val="auto"/>
        </w:rPr>
        <w:t>Each Investor agrees that, upon receipt of any notice from the Company of the happening of any event of the kind described in Section 3(g) or the first sentence of 3(f) (a “</w:t>
      </w:r>
      <w:r>
        <w:rPr>
          <w:rFonts w:ascii="Arial" w:cs="Arial" w:eastAsia="Arial" w:hAnsi="Arial"/>
          <w:sz w:val="17"/>
          <w:szCs w:val="17"/>
          <w:b w:val="1"/>
          <w:bCs w:val="1"/>
          <w:color w:val="auto"/>
        </w:rPr>
        <w:t>No Sale Notice</w:t>
      </w:r>
      <w:r>
        <w:rPr>
          <w:rFonts w:ascii="Arial" w:cs="Arial" w:eastAsia="Arial" w:hAnsi="Arial"/>
          <w:sz w:val="17"/>
          <w:szCs w:val="17"/>
          <w:color w:val="auto"/>
        </w:rPr>
        <w:t>”), such Investor will immediately discontinue disposition of Registrable Securities pursuant to any Registration Statement(s) covering such Registrable Securities until such Investor's receipt of copies of the supplemented or amended prospectus as contemplated by Section 3(g) or the first sentence of 3(f) or receipt of notice that no supplement or amendment is required. Notwithstanding anything to the contrary, the Company shall cause its transfer agent to deliver unlegended shares of Common Stock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3(g) or the first sentence of 3(f) and for which the Investor has not yet settled.</w:t>
      </w:r>
    </w:p>
    <w:p>
      <w:pPr>
        <w:spacing w:after="0" w:line="178" w:lineRule="exact"/>
        <w:rPr>
          <w:rFonts w:ascii="Arial" w:cs="Arial" w:eastAsia="Arial" w:hAnsi="Arial"/>
          <w:sz w:val="17"/>
          <w:szCs w:val="17"/>
          <w:color w:val="auto"/>
        </w:rPr>
      </w:pPr>
    </w:p>
    <w:p>
      <w:pPr>
        <w:ind w:firstLine="1823"/>
        <w:spacing w:after="0" w:line="277" w:lineRule="auto"/>
        <w:tabs>
          <w:tab w:leader="none" w:pos="267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1933 Act as applicable to it or an exemption therefrom in connection with sales of Registrable Securities pursuant to the Registration Statement.</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reasonable expenses, other than underwriting or broker-dealer discounts and commissions,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181" w:lineRule="exact"/>
        <w:rPr>
          <w:sz w:val="20"/>
          <w:szCs w:val="20"/>
          <w:color w:val="auto"/>
        </w:rPr>
      </w:pPr>
    </w:p>
    <w:p>
      <w:pPr>
        <w:ind w:left="1800" w:hanging="495"/>
        <w:spacing w:after="0"/>
        <w:tabs>
          <w:tab w:leader="none" w:pos="18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225" w:lineRule="exact"/>
        <w:rPr>
          <w:sz w:val="20"/>
          <w:szCs w:val="20"/>
          <w:color w:val="auto"/>
        </w:rPr>
      </w:pPr>
    </w:p>
    <w:p>
      <w:pPr>
        <w:jc w:val="both"/>
        <w:ind w:firstLine="1823"/>
        <w:spacing w:after="0" w:line="284" w:lineRule="auto"/>
        <w:tabs>
          <w:tab w:leader="none" w:pos="263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To the fullest extent permitted by law, the Company will, and hereby does, indemnify, hold harmless and defend each Investor, the directors, officers, partners, members, employees, agents, representatives of, and each Person, if any, who controls any Investor within the meaning of the 1933 Act or the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reasonably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reasonable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to the Company by such Indemnified Person for such Indemnified Person expressly for use in connection with the preparation of the Registration Statement or any such amendment thereof or supplement thereto;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the Registrable Securities by the Investors pursuant to Section 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jc w:val="both"/>
        <w:ind w:left="-20" w:firstLine="1823"/>
        <w:spacing w:after="0" w:line="268" w:lineRule="auto"/>
        <w:tabs>
          <w:tab w:leader="none" w:pos="250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 connection with any Registration Statement in which an Investor is participating, each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information furnished to the Company by such Investor expressly for use in connection with such Registration Statement; and, subject to Section 6(c), such Investor shall reimburse the Indemnified Party for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Investors pursuant to Section 9.</w:t>
      </w:r>
    </w:p>
    <w:p>
      <w:pPr>
        <w:spacing w:after="0" w:line="185" w:lineRule="exact"/>
        <w:rPr>
          <w:rFonts w:ascii="Arial" w:cs="Arial" w:eastAsia="Arial" w:hAnsi="Arial"/>
          <w:sz w:val="17"/>
          <w:szCs w:val="17"/>
          <w:color w:val="auto"/>
        </w:rPr>
      </w:pPr>
    </w:p>
    <w:p>
      <w:pPr>
        <w:jc w:val="both"/>
        <w:ind w:left="-20" w:firstLine="1823"/>
        <w:spacing w:after="0" w:line="284" w:lineRule="auto"/>
        <w:tabs>
          <w:tab w:leader="none" w:pos="248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and has acknowledged its indemnification obligations hereunder in writing,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all such Indemnified Person or Indemnified Party to be paid by the indemnifying party, if, in the reasonable opinion of counsel retained by the Indemnified Person or Indemnified Party, as applicable, the representation by such counsel of the Indemnified Person or Indemnified Party and the indemnifying party would be inappropriate due to differing interests between such Indemnified Person or Indemnified Party and any other party represented by such counsel in such proceeding. In the case of an Indemnified Person, legal counsel referred to in the immediately preceding sentence shall be selected by the Investors holding at least a majority in interest of the Registrable Securities included in the Registration Statement to which the Claim relates. The Indemnified Party or Indemnified Person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7" w:name="page258"/>
    <w:bookmarkEnd w:id="257"/>
    <w:p>
      <w:pPr>
        <w:ind w:firstLine="1823"/>
        <w:spacing w:after="0" w:line="277" w:lineRule="auto"/>
        <w:tabs>
          <w:tab w:leader="none" w:pos="249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70" w:lineRule="exact"/>
        <w:rPr>
          <w:rFonts w:ascii="Arial" w:cs="Arial" w:eastAsia="Arial" w:hAnsi="Arial"/>
          <w:sz w:val="18"/>
          <w:szCs w:val="18"/>
          <w:color w:val="auto"/>
        </w:rPr>
      </w:pPr>
    </w:p>
    <w:p>
      <w:pPr>
        <w:ind w:firstLine="1823"/>
        <w:spacing w:after="0" w:line="342" w:lineRule="auto"/>
        <w:tabs>
          <w:tab w:leader="none" w:pos="2471"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23" w:lineRule="exact"/>
        <w:rPr>
          <w:rFonts w:ascii="Arial" w:cs="Arial" w:eastAsia="Arial" w:hAnsi="Arial"/>
          <w:sz w:val="16"/>
          <w:szCs w:val="16"/>
          <w:color w:val="auto"/>
        </w:rPr>
      </w:pPr>
    </w:p>
    <w:p>
      <w:pPr>
        <w:ind w:left="1800" w:hanging="495"/>
        <w:spacing w:after="0"/>
        <w:tabs>
          <w:tab w:leader="none" w:pos="18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amount of net proceeds received by such seller from the sale of such Registrable Securities pursuant to such Registration Statement.</w:t>
      </w:r>
    </w:p>
    <w:p>
      <w:pPr>
        <w:spacing w:after="0" w:line="178" w:lineRule="exact"/>
        <w:rPr>
          <w:sz w:val="20"/>
          <w:szCs w:val="20"/>
          <w:color w:val="auto"/>
        </w:rPr>
      </w:pPr>
    </w:p>
    <w:p>
      <w:pPr>
        <w:ind w:left="1800" w:hanging="495"/>
        <w:spacing w:after="0"/>
        <w:tabs>
          <w:tab w:leader="none" w:pos="180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With a view to making available to the Investors the benefits of Rule 144 promulgated under the 1933 Act or any other similar rule or regulation of the SEC that may at any time permit the Investors to sell securities of the Company to the public without registration ("</w:t>
      </w:r>
      <w:r>
        <w:rPr>
          <w:rFonts w:ascii="Arial" w:cs="Arial" w:eastAsia="Arial" w:hAnsi="Arial"/>
          <w:sz w:val="18"/>
          <w:szCs w:val="18"/>
          <w:b w:val="1"/>
          <w:bCs w:val="1"/>
          <w:color w:val="auto"/>
        </w:rPr>
        <w:t>Rule 144</w:t>
      </w:r>
      <w:r>
        <w:rPr>
          <w:rFonts w:ascii="Arial" w:cs="Arial" w:eastAsia="Arial" w:hAnsi="Arial"/>
          <w:sz w:val="18"/>
          <w:szCs w:val="18"/>
          <w:color w:val="auto"/>
        </w:rPr>
        <w:t>"), the Company agrees to:</w:t>
      </w:r>
    </w:p>
    <w:p>
      <w:pPr>
        <w:spacing w:after="0" w:line="181" w:lineRule="exact"/>
        <w:rPr>
          <w:sz w:val="20"/>
          <w:szCs w:val="20"/>
          <w:color w:val="auto"/>
        </w:rPr>
      </w:pPr>
    </w:p>
    <w:p>
      <w:pPr>
        <w:ind w:left="5640" w:right="1740" w:hanging="3817"/>
        <w:spacing w:after="0" w:line="778" w:lineRule="auto"/>
        <w:tabs>
          <w:tab w:leader="none" w:pos="248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8" w:name="page259"/>
    <w:bookmarkEnd w:id="258"/>
    <w:p>
      <w:pPr>
        <w:jc w:val="both"/>
        <w:ind w:firstLine="1823"/>
        <w:spacing w:after="0" w:line="264" w:lineRule="auto"/>
        <w:tabs>
          <w:tab w:leader="none" w:pos="251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1933 Act and the 1934 Act so long as the Company remains subject to such requirements and the filing of such reports and other documents is required for the applicable provisions of Rule 144; and</w:t>
      </w:r>
    </w:p>
    <w:p>
      <w:pPr>
        <w:spacing w:after="0" w:line="181" w:lineRule="exact"/>
        <w:rPr>
          <w:rFonts w:ascii="Arial" w:cs="Arial" w:eastAsia="Arial" w:hAnsi="Arial"/>
          <w:sz w:val="18"/>
          <w:szCs w:val="18"/>
          <w:color w:val="auto"/>
        </w:rPr>
      </w:pPr>
    </w:p>
    <w:p>
      <w:pPr>
        <w:jc w:val="both"/>
        <w:ind w:firstLine="1823"/>
        <w:spacing w:after="0" w:line="264" w:lineRule="auto"/>
        <w:tabs>
          <w:tab w:leader="none" w:pos="247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furnish to each Investor so long as such Investor owns Registrable Securities, promptly upon request, a written statement by the Company, if true, that it has complied with the reporting requirements of the 1933 Act and the 1934 Act and that it has satisfied the current public information provisions set forth in Rule 144.</w:t>
      </w:r>
    </w:p>
    <w:p>
      <w:pPr>
        <w:spacing w:after="0" w:line="181" w:lineRule="exact"/>
        <w:rPr>
          <w:sz w:val="20"/>
          <w:szCs w:val="20"/>
          <w:color w:val="auto"/>
        </w:rPr>
      </w:pPr>
    </w:p>
    <w:p>
      <w:pPr>
        <w:ind w:left="1800" w:hanging="495"/>
        <w:spacing w:after="0"/>
        <w:tabs>
          <w:tab w:leader="none" w:pos="180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The rights under this Agreement shall be automatically assignable by the Investors to any transferee of all or any portion of such Investor's Registrable Securities if: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Securities Purchase Agreement.</w:t>
      </w:r>
    </w:p>
    <w:p>
      <w:pPr>
        <w:spacing w:after="0" w:line="166" w:lineRule="exact"/>
        <w:rPr>
          <w:sz w:val="20"/>
          <w:szCs w:val="20"/>
          <w:color w:val="auto"/>
        </w:rPr>
      </w:pPr>
    </w:p>
    <w:p>
      <w:pPr>
        <w:ind w:left="1840" w:hanging="535"/>
        <w:spacing w:after="0"/>
        <w:tabs>
          <w:tab w:leader="none" w:pos="184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Amendment of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No such amendment shall be effective to the extent that it applies to less than all of the holders of the Registrable Securities.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92" w:lineRule="exact"/>
        <w:rPr>
          <w:sz w:val="20"/>
          <w:szCs w:val="20"/>
          <w:color w:val="auto"/>
        </w:rPr>
      </w:pPr>
    </w:p>
    <w:p>
      <w:pPr>
        <w:ind w:left="1840" w:hanging="535"/>
        <w:spacing w:after="0"/>
        <w:tabs>
          <w:tab w:leader="none" w:pos="18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823"/>
        <w:spacing w:after="0" w:line="312" w:lineRule="auto"/>
        <w:tabs>
          <w:tab w:leader="none" w:pos="2459"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9" w:name="page260"/>
    <w:bookmarkEnd w:id="259"/>
    <w:p>
      <w:pPr>
        <w:jc w:val="both"/>
        <w:ind w:firstLine="1823"/>
        <w:spacing w:after="0" w:line="269" w:lineRule="auto"/>
        <w:tabs>
          <w:tab w:leader="none" w:pos="275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notices, consents, waivers or other communications required or permitted to be given under the terms of this Agreement must be in writing and will be deemed to have been delivered: (i) personally served, (ii) deposited in the mail, registered or certified, return receipt requested, postage prepaid, (iii) delivered by reputable air courier service with charges prepaid, or (iv) transmitted by hand delivery or telegram, or (v) transmitted via electronic mail, in each case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on a Business Day, and on the next Business Day if sent after normal business hours of the recipient on a non-Business Day. The addresses and email addresses for such communications shall be:</w:t>
      </w:r>
    </w:p>
    <w:p>
      <w:pPr>
        <w:spacing w:after="0" w:line="18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XpresSpa Group, Inc.</w:t>
      </w:r>
    </w:p>
    <w:p>
      <w:pPr>
        <w:ind w:left="260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Edward Jankowski, CEO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notices@xpresspagroup.com</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Chrysler Center</w:t>
      </w:r>
    </w:p>
    <w:p>
      <w:pPr>
        <w:ind w:left="2600"/>
        <w:spacing w:after="0" w:line="186" w:lineRule="auto"/>
        <w:rPr>
          <w:sz w:val="20"/>
          <w:szCs w:val="20"/>
          <w:color w:val="auto"/>
        </w:rPr>
      </w:pPr>
      <w:r>
        <w:rPr>
          <w:rFonts w:ascii="Arial" w:cs="Arial" w:eastAsia="Arial" w:hAnsi="Arial"/>
          <w:sz w:val="18"/>
          <w:szCs w:val="18"/>
          <w:color w:val="auto"/>
        </w:rPr>
        <w:t>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w:t>
      </w:r>
    </w:p>
    <w:p>
      <w:pPr>
        <w:ind w:left="26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Kenneth R. Koch,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krkoch@mintz.com</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American Stock Transfer &amp; Trust Company, LLC</w:t>
      </w:r>
    </w:p>
    <w:p>
      <w:pPr>
        <w:ind w:left="260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(718) 921-8334</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If to Legal Counsel:</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Grushko &amp; Mittman, P.C.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515 Rockaway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Valley Stream, NY 11581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Barbara R. Mittman,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barbara@grushkomittman.com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to a Purchaser, to its address and/or email address set forth on the Schedule of Purchasers attached hereto or on the signature pages of the Securities Purchase Agreement, with copies to such Purchaser's representatives as set forth on the Schedule of Purchasers, or to such other address and/or email address to the attention of such other Person as the recipient party has specified by written notice given to each other party five (5) calendar days prior to the effectiveness of such change. Written confirmation of receipt (A) given by the recipient of such notice, consent, waiver or other communication, (B) mechanically or electronically generated by the sender's email containing the time, date, and transmission message or (C) provided by a courier or overnight courier service shall be rebuttable evidence of personal service or receipt from a nationally recognized overnight delivery service in accordance with clause (i), (ii) or (iii) above,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ind w:firstLine="1823"/>
        <w:spacing w:after="0" w:line="277" w:lineRule="auto"/>
        <w:tabs>
          <w:tab w:leader="none" w:pos="255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170" w:lineRule="exact"/>
        <w:rPr>
          <w:rFonts w:ascii="Arial" w:cs="Arial" w:eastAsia="Arial" w:hAnsi="Arial"/>
          <w:sz w:val="18"/>
          <w:szCs w:val="18"/>
          <w:color w:val="auto"/>
        </w:rPr>
      </w:pPr>
    </w:p>
    <w:p>
      <w:pPr>
        <w:jc w:val="both"/>
        <w:ind w:firstLine="1823"/>
        <w:spacing w:after="0" w:line="283" w:lineRule="auto"/>
        <w:tabs>
          <w:tab w:leader="none" w:pos="251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w:t>
      </w:r>
    </w:p>
    <w:p>
      <w:pPr>
        <w:spacing w:after="0" w:line="5"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RIGHT IT MAY HAVE, AND AGREES NOT TO REQUEST, A JURY TRIAL FOR THE ADJUDICATION OF ANY DISPUTE HEREUNDER OR IN CONNECTION HEREWITH OR ARISING OUT OF THIS AGREEMENT OR ANY TRANSACTION CONTEMPLATED HEREBY.</w:t>
      </w:r>
    </w:p>
    <w:p>
      <w:pPr>
        <w:spacing w:after="0" w:line="183" w:lineRule="exact"/>
        <w:rPr>
          <w:rFonts w:ascii="Arial" w:cs="Arial" w:eastAsia="Arial" w:hAnsi="Arial"/>
          <w:sz w:val="16"/>
          <w:szCs w:val="16"/>
          <w:color w:val="auto"/>
        </w:rPr>
      </w:pPr>
    </w:p>
    <w:p>
      <w:pPr>
        <w:jc w:val="both"/>
        <w:ind w:firstLine="1823"/>
        <w:spacing w:after="0" w:line="271" w:lineRule="auto"/>
        <w:tabs>
          <w:tab w:leader="none" w:pos="246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823"/>
        <w:spacing w:after="0" w:line="257" w:lineRule="auto"/>
        <w:tabs>
          <w:tab w:leader="none" w:pos="253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Agreement, the other Transaction Documents (as defined in the Securities Purchase Agreement) and the instruments referenced herein and therein constitute the entire agreement among the parties hereto with respect to the subject matter hereof and thereof. There are no restrictions, promises, warranties or undertakings, other than those set forth or referred to herein and therein. This Agreement, the other Transaction Documents and the instruments referenced herein and therein supersede all prior agreements and understandings among the parties hereto with respect to the subject matter hereof and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ind w:firstLine="1823"/>
        <w:spacing w:after="0" w:line="277" w:lineRule="auto"/>
        <w:tabs>
          <w:tab w:leader="none" w:pos="258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Subject to the requirements of Section 9, this Agreement shall inure to the benefit of and be binding upon the permitted successors and assigns of each of the parties hereto.</w:t>
      </w:r>
    </w:p>
    <w:p>
      <w:pPr>
        <w:spacing w:after="0" w:line="170" w:lineRule="exact"/>
        <w:rPr>
          <w:rFonts w:ascii="Arial" w:cs="Arial" w:eastAsia="Arial" w:hAnsi="Arial"/>
          <w:sz w:val="18"/>
          <w:szCs w:val="18"/>
          <w:color w:val="auto"/>
        </w:rPr>
      </w:pPr>
    </w:p>
    <w:p>
      <w:pPr>
        <w:ind w:left="2560" w:hanging="737"/>
        <w:spacing w:after="0"/>
        <w:tabs>
          <w:tab w:leader="none" w:pos="25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jc w:val="both"/>
        <w:ind w:firstLine="1823"/>
        <w:spacing w:after="0" w:line="264" w:lineRule="auto"/>
        <w:tabs>
          <w:tab w:leader="none" w:pos="246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email transmission of a copy of this Agreement bearing the signature of the party so delivering this Agreement.</w:t>
      </w:r>
    </w:p>
    <w:p>
      <w:pPr>
        <w:spacing w:after="0" w:line="181" w:lineRule="exact"/>
        <w:rPr>
          <w:rFonts w:ascii="Arial" w:cs="Arial" w:eastAsia="Arial" w:hAnsi="Arial"/>
          <w:sz w:val="18"/>
          <w:szCs w:val="18"/>
          <w:color w:val="auto"/>
        </w:rPr>
      </w:pPr>
    </w:p>
    <w:p>
      <w:pPr>
        <w:jc w:val="both"/>
        <w:ind w:firstLine="1823"/>
        <w:spacing w:after="0" w:line="264" w:lineRule="auto"/>
        <w:tabs>
          <w:tab w:leader="none" w:pos="248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jc w:val="both"/>
        <w:ind w:firstLine="1823"/>
        <w:spacing w:after="0" w:line="264" w:lineRule="auto"/>
        <w:tabs>
          <w:tab w:leader="none" w:pos="262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consents and other determinations required to be made by the Investors pursuant to this Agreement shall be made, unless otherwise specified in this Agreement, by the Required Holders, determined as if the outstanding Warrants then held by Investors have been exercised for Registrable Securities without regard to any limitations on exercise of the Warrants.</w:t>
      </w:r>
    </w:p>
    <w:p>
      <w:pPr>
        <w:spacing w:after="0" w:line="181" w:lineRule="exact"/>
        <w:rPr>
          <w:rFonts w:ascii="Arial" w:cs="Arial" w:eastAsia="Arial" w:hAnsi="Arial"/>
          <w:sz w:val="18"/>
          <w:szCs w:val="18"/>
          <w:color w:val="auto"/>
        </w:rPr>
      </w:pPr>
    </w:p>
    <w:p>
      <w:pPr>
        <w:ind w:firstLine="1823"/>
        <w:spacing w:after="0" w:line="277" w:lineRule="auto"/>
        <w:tabs>
          <w:tab w:leader="none" w:pos="245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right="20" w:firstLine="1823"/>
        <w:spacing w:after="0" w:line="277" w:lineRule="auto"/>
        <w:tabs>
          <w:tab w:leader="none" w:pos="257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jc w:val="both"/>
        <w:ind w:firstLine="1823"/>
        <w:spacing w:after="0" w:line="302" w:lineRule="auto"/>
        <w:tabs>
          <w:tab w:leader="none" w:pos="26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obligations of each Investor hereunder are several and not joint with the obligations of any other Investor, and no provision of this Agreement is intended to confer any obligations on any Investor vis-à-vis any other Investor. Nothing contained herein, and no action taken by any Investor pursuant 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herein.</w:t>
      </w:r>
    </w:p>
    <w:p>
      <w:pPr>
        <w:spacing w:after="0" w:line="154" w:lineRule="exact"/>
        <w:rPr>
          <w:rFonts w:ascii="Arial" w:cs="Arial" w:eastAsia="Arial" w:hAnsi="Arial"/>
          <w:sz w:val="16"/>
          <w:szCs w:val="16"/>
          <w:color w:val="auto"/>
        </w:rPr>
      </w:pPr>
    </w:p>
    <w:p>
      <w:pPr>
        <w:ind w:right="20" w:firstLine="1823"/>
        <w:spacing w:after="0" w:line="342" w:lineRule="auto"/>
        <w:tabs>
          <w:tab w:leader="none" w:pos="262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Legal Counsel may resign as Legal Counsel on five (5) calendar days’ prior notice to the Company and Alpha Capital Anstalt. Legal Counsel may rely on instructions from Alpha Capital Anstalt without communicating or verifying such instructions with any other Purchaser.</w:t>
      </w:r>
    </w:p>
    <w:p>
      <w:pPr>
        <w:spacing w:after="0" w:line="123" w:lineRule="exact"/>
        <w:rPr>
          <w:rFonts w:ascii="Arial" w:cs="Arial" w:eastAsia="Arial" w:hAnsi="Arial"/>
          <w:sz w:val="16"/>
          <w:szCs w:val="16"/>
          <w:color w:val="auto"/>
        </w:rPr>
      </w:pPr>
    </w:p>
    <w:p>
      <w:pPr>
        <w:ind w:left="5340"/>
        <w:spacing w:after="0"/>
        <w:rPr>
          <w:rFonts w:ascii="Arial" w:cs="Arial" w:eastAsia="Arial" w:hAnsi="Arial"/>
          <w:sz w:val="16"/>
          <w:szCs w:val="16"/>
          <w:color w:val="auto"/>
        </w:rPr>
      </w:pPr>
      <w:r>
        <w:rPr>
          <w:rFonts w:ascii="Arial" w:cs="Arial" w:eastAsia="Arial" w:hAnsi="Arial"/>
          <w:sz w:val="18"/>
          <w:szCs w:val="18"/>
          <w:color w:val="auto"/>
        </w:rPr>
        <w:t>* * * * *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OF HOLDERS FOLLOWS]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3" w:name="page264"/>
    <w:bookmarkEnd w:id="263"/>
    <w:p>
      <w:pPr>
        <w:ind w:left="2820"/>
        <w:spacing w:after="0"/>
        <w:rPr>
          <w:sz w:val="20"/>
          <w:szCs w:val="20"/>
          <w:color w:val="auto"/>
        </w:rPr>
      </w:pPr>
      <w:r>
        <w:rPr>
          <w:rFonts w:ascii="Arial" w:cs="Arial" w:eastAsia="Arial" w:hAnsi="Arial"/>
          <w:sz w:val="16"/>
          <w:szCs w:val="16"/>
          <w:color w:val="auto"/>
        </w:rPr>
        <w:t>[SIGNATURE PAGE OF PURCHASERS TO XPRESSPA GROUP, INC. RRA]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Purchaser: </w:t>
      </w:r>
      <w:r>
        <w:rPr>
          <w:rFonts w:ascii="Arial" w:cs="Arial" w:eastAsia="Arial" w:hAnsi="Arial"/>
          <w:sz w:val="18"/>
          <w:szCs w:val="18"/>
          <w:u w:val="single" w:color="auto"/>
          <w:color w:val="auto"/>
        </w:rPr>
        <w:t>__________ALPHA CAPITAL ANSTALT_________________________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Purchaser: </w:t>
      </w:r>
      <w:r>
        <w:rPr>
          <w:rFonts w:ascii="Arial" w:cs="Arial" w:eastAsia="Arial" w:hAnsi="Arial"/>
          <w:sz w:val="18"/>
          <w:szCs w:val="18"/>
          <w:u w:val="single" w:color="auto"/>
          <w:color w:val="auto"/>
        </w:rPr>
        <w:t>Lettstrasse 32, 9490 Vaduz, Liechtenstein_____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 Purchaser: 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w:t>
      </w:r>
      <w:r>
        <w:rPr>
          <w:rFonts w:ascii="Arial" w:cs="Arial" w:eastAsia="Arial" w:hAnsi="Arial"/>
          <w:sz w:val="18"/>
          <w:szCs w:val="18"/>
          <w:u w:val="single" w:color="auto"/>
          <w:color w:val="auto"/>
        </w:rPr>
        <w:t>Konrad Ackermann</w:t>
      </w:r>
      <w:r>
        <w:rPr>
          <w:rFonts w:ascii="Arial" w:cs="Arial" w:eastAsia="Arial" w:hAnsi="Arial"/>
          <w:sz w:val="18"/>
          <w:szCs w:val="18"/>
          <w:color w:val="auto"/>
        </w:rPr>
        <w:t>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w:t>
      </w:r>
      <w:r>
        <w:rPr>
          <w:rFonts w:ascii="Arial" w:cs="Arial" w:eastAsia="Arial" w:hAnsi="Arial"/>
          <w:sz w:val="18"/>
          <w:szCs w:val="18"/>
          <w:u w:val="single" w:color="auto"/>
          <w:color w:val="auto"/>
        </w:rPr>
        <w:t>Director</w:t>
      </w:r>
      <w:r>
        <w:rPr>
          <w:rFonts w:ascii="Arial" w:cs="Arial" w:eastAsia="Arial" w:hAnsi="Arial"/>
          <w:sz w:val="18"/>
          <w:szCs w:val="18"/>
          <w:color w:val="auto"/>
        </w:rPr>
        <w:t>______________________________________</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64" w:name="page265"/>
    <w:bookmarkEnd w:id="264"/>
    <w:p>
      <w:pPr>
        <w:jc w:val="right"/>
        <w:ind w:right="3239"/>
        <w:spacing w:after="0"/>
        <w:rPr>
          <w:sz w:val="20"/>
          <w:szCs w:val="20"/>
          <w:color w:val="auto"/>
        </w:rPr>
      </w:pPr>
      <w:r>
        <w:rPr>
          <w:rFonts w:ascii="Arial" w:cs="Arial" w:eastAsia="Arial" w:hAnsi="Arial"/>
          <w:sz w:val="18"/>
          <w:szCs w:val="18"/>
          <w:b w:val="1"/>
          <w:bCs w:val="1"/>
          <w:color w:val="auto"/>
        </w:rPr>
        <w:t>SCHEDULE OF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Alpha Capital Anstalt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Lettstrasse 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9490 Vaduz, Liechtenstein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Konrad Ackermann,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EFFECTIVENESS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(718) 921-8334</w:t>
      </w:r>
    </w:p>
    <w:p>
      <w:pPr>
        <w:spacing w:after="0" w:line="21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XpresSpa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been requested by 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represented the Company in connection with that certain Securities Purchase Agreement, dated as of May ___, 2018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entered into by and among the Company and the purchasers named therein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pursuant to which the Company issued to the Holders convertible promissory notes (“</w:t>
      </w:r>
      <w:r>
        <w:rPr>
          <w:rFonts w:ascii="Arial" w:cs="Arial" w:eastAsia="Arial" w:hAnsi="Arial"/>
          <w:sz w:val="16"/>
          <w:szCs w:val="16"/>
          <w:b w:val="1"/>
          <w:bCs w:val="1"/>
          <w:color w:val="auto"/>
        </w:rPr>
        <w:t>Notes</w:t>
      </w:r>
      <w:r>
        <w:rPr>
          <w:rFonts w:ascii="Arial" w:cs="Arial" w:eastAsia="Arial" w:hAnsi="Arial"/>
          <w:sz w:val="16"/>
          <w:szCs w:val="16"/>
          <w:color w:val="auto"/>
        </w:rPr>
        <w:t>”) convertible for shares of the Company's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(the shares of Common Stock issuable pursuant to the terms of the Notes and Securities Purchase Agreement, collectively, the "</w:t>
      </w:r>
      <w:r>
        <w:rPr>
          <w:rFonts w:ascii="Arial" w:cs="Arial" w:eastAsia="Arial" w:hAnsi="Arial"/>
          <w:sz w:val="16"/>
          <w:szCs w:val="16"/>
          <w:b w:val="1"/>
          <w:bCs w:val="1"/>
          <w:color w:val="auto"/>
        </w:rPr>
        <w:t>Conversion Shares</w:t>
      </w:r>
      <w:r>
        <w:rPr>
          <w:rFonts w:ascii="Arial" w:cs="Arial" w:eastAsia="Arial" w:hAnsi="Arial"/>
          <w:sz w:val="16"/>
          <w:szCs w:val="16"/>
          <w:color w:val="auto"/>
        </w:rPr>
        <w:t>") and warrants exercisable for shares of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Pursuant to the Securities Purchase Agreement, the Company also has entered into a Registration Rights Agreement with the Holders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pursuant to which the Company agreed, among other things, to register the resale of the Registrable Securities (as defined in the Registration Rights Agreement), including the Conversion Shares issuable pursuant to the Securities Purchase Agreement and the shares of Common Stock issuable upon exercise of the Warrants under the Securities Act of 1933, as amended (the "</w:t>
      </w:r>
      <w:r>
        <w:rPr>
          <w:rFonts w:ascii="Arial" w:cs="Arial" w:eastAsia="Arial" w:hAnsi="Arial"/>
          <w:sz w:val="16"/>
          <w:szCs w:val="16"/>
          <w:b w:val="1"/>
          <w:bCs w:val="1"/>
          <w:color w:val="auto"/>
        </w:rPr>
        <w:t>1933 Act</w:t>
      </w:r>
      <w:r>
        <w:rPr>
          <w:rFonts w:ascii="Arial" w:cs="Arial" w:eastAsia="Arial" w:hAnsi="Arial"/>
          <w:sz w:val="16"/>
          <w:szCs w:val="16"/>
          <w:color w:val="auto"/>
        </w:rPr>
        <w:t xml:space="preserve">"). The description of the Registrable Securities are set forth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hereto [Selling Shareholder Table]. In connection with the Company's obligations under the Registration Rights Agreement, on May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 2018, the Company filed a Registration Statement on Form S-3 (File No. 333-_____________)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relating to the Registrable Securities which names each of the Holders as a selling shareholder thereunder.</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connection with the foregoing, we advise you that a member of the SEC's staff has advised us by telephone that the SEC has entered an order declaring the Registration Statement effective under the 1933 Act at </w:t>
      </w:r>
      <w:r>
        <w:rPr>
          <w:rFonts w:ascii="Arial" w:cs="Arial" w:eastAsia="Arial" w:hAnsi="Arial"/>
          <w:sz w:val="17"/>
          <w:szCs w:val="17"/>
          <w:b w:val="1"/>
          <w:bCs w:val="1"/>
          <w:color w:val="auto"/>
        </w:rPr>
        <w:t>[</w:t>
      </w:r>
      <w:r>
        <w:rPr>
          <w:rFonts w:ascii="Arial" w:cs="Arial" w:eastAsia="Arial" w:hAnsi="Arial"/>
          <w:sz w:val="17"/>
          <w:szCs w:val="17"/>
          <w:color w:val="auto"/>
        </w:rPr>
        <w:t>ENTER TIME OF EFFECTIVENESS</w:t>
      </w:r>
      <w:r>
        <w:rPr>
          <w:rFonts w:ascii="Arial" w:cs="Arial" w:eastAsia="Arial" w:hAnsi="Arial"/>
          <w:sz w:val="17"/>
          <w:szCs w:val="17"/>
          <w:b w:val="1"/>
          <w:bCs w:val="1"/>
          <w:color w:val="auto"/>
        </w:rPr>
        <w:t>]</w:t>
      </w:r>
      <w:r>
        <w:rPr>
          <w:rFonts w:ascii="Arial" w:cs="Arial" w:eastAsia="Arial" w:hAnsi="Arial"/>
          <w:sz w:val="17"/>
          <w:szCs w:val="17"/>
          <w:color w:val="auto"/>
        </w:rPr>
        <w:t xml:space="preserve"> on </w:t>
      </w:r>
      <w:r>
        <w:rPr>
          <w:rFonts w:ascii="Arial" w:cs="Arial" w:eastAsia="Arial" w:hAnsi="Arial"/>
          <w:sz w:val="17"/>
          <w:szCs w:val="17"/>
          <w:b w:val="1"/>
          <w:bCs w:val="1"/>
          <w:color w:val="auto"/>
        </w:rPr>
        <w:t>[</w:t>
      </w:r>
      <w:r>
        <w:rPr>
          <w:rFonts w:ascii="Arial" w:cs="Arial" w:eastAsia="Arial" w:hAnsi="Arial"/>
          <w:sz w:val="17"/>
          <w:szCs w:val="17"/>
          <w:color w:val="auto"/>
        </w:rPr>
        <w:t>ENTER DATE OF EFFECTIVENESS</w:t>
      </w:r>
      <w:r>
        <w:rPr>
          <w:rFonts w:ascii="Arial" w:cs="Arial" w:eastAsia="Arial" w:hAnsi="Arial"/>
          <w:sz w:val="17"/>
          <w:szCs w:val="17"/>
          <w:b w:val="1"/>
          <w:bCs w:val="1"/>
          <w:color w:val="auto"/>
        </w:rPr>
        <w:t>].</w:t>
      </w:r>
      <w:r>
        <w:rPr>
          <w:rFonts w:ascii="Arial" w:cs="Arial" w:eastAsia="Arial" w:hAnsi="Arial"/>
          <w:sz w:val="17"/>
          <w:szCs w:val="17"/>
          <w:color w:val="auto"/>
        </w:rPr>
        <w:t xml:space="preserve"> We have no knowledge, subsequent to such telephonic conversation with the SEC's staff, that any stop order suspending its effectiveness has been issued or that any proceedings for that purpose are pending before, or threatened by, the SEC. Based on the foregoing, the Registrable Securities set forth on </w:t>
      </w:r>
      <w:r>
        <w:rPr>
          <w:rFonts w:ascii="Arial" w:cs="Arial" w:eastAsia="Arial" w:hAnsi="Arial"/>
          <w:sz w:val="17"/>
          <w:szCs w:val="17"/>
          <w:b w:val="1"/>
          <w:bCs w:val="1"/>
          <w:color w:val="auto"/>
        </w:rPr>
        <w:t>Schedule A</w:t>
      </w:r>
      <w:r>
        <w:rPr>
          <w:rFonts w:ascii="Arial" w:cs="Arial" w:eastAsia="Arial" w:hAnsi="Arial"/>
          <w:sz w:val="17"/>
          <w:szCs w:val="17"/>
          <w:color w:val="auto"/>
        </w:rPr>
        <w:t xml:space="preserve"> hereto are available for resale under the 1933 Act pursuant to the Registration Statement.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letter, unless and until subsequently revoked or modified orally by [</w:t>
      </w:r>
      <w:r>
        <w:rPr>
          <w:rFonts w:ascii="Arial" w:cs="Arial" w:eastAsia="Arial" w:hAnsi="Arial"/>
          <w:sz w:val="18"/>
          <w:szCs w:val="18"/>
          <w:color w:val="auto"/>
          <w:highlight w:val="yellow"/>
        </w:rPr>
        <w:t>REQUIRES COMPLETION</w:t>
      </w:r>
      <w:r>
        <w:rPr>
          <w:rFonts w:ascii="Arial" w:cs="Arial" w:eastAsia="Arial" w:hAnsi="Arial"/>
          <w:sz w:val="18"/>
          <w:szCs w:val="18"/>
          <w:color w:val="auto"/>
        </w:rPr>
        <w:t xml:space="preserve">] or in writing from any member of this firm (which writing may include email correspondence), shall serve as our standing instruction to you that the Registrable Securities set forth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hereto are freely transferable by the Holders pursuant to the Registration Statement. You need not require further letters from us to effect any future legend-free issuance or reissuance of Registrable Securities to the Holders as contemplated by the Company's Irrevocable Transfer Agent Instructions dated May [●],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shares of Common Stock being offered by the selling stockholders are those issued upon conversion of the Notes and exercise of Warrants that were issued to the selling stockholders pursuant to the Securities Purchase Agreement dated as of May __, 2018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by and among the Company and the investors named therein, and upon exercise of the Warrants. We are registering the shares of Common Stock in order to permit the selling stockholders to offer the shares for resale from time to time. Except for the ownership of the shares of common stock and the warrants issued pursuant to the Securities Purchase Agreement, the selling shareholders have not had any material relationship with us within the past three years.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Notes and the Warrants, as of _________, 2018, assuming exercise of all Warrants held by the selling stockholder on that date, without regard to any limitations on exercise.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(i) conversion of the Notes or issuance of Common Stock or (ii) exercise of the Warrants.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accordance with the terms of a registration rights agreement with the selling stockholders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this prospectus generally covers the resale of at least the sum of (i) the number of shares of Common Stock issued upon conversion of the Notes issued pursuant to the Securities Purchase Agreement as of the trading day immediately preceding the date the registration statement is initially filed with the SEC, and (ii) the maximum number of shares of common stock issued and issuable upon exercise of the related Warrants as of the trading day immediately preceding the date the registration statement is initially filed with the SEC. The fourth column assumes the sale of all of the shares offered by the selling stockholders pursuant to this prospectus.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terms of the Notes, a selling stockholder may not convert the Notes to the extent such exercise would cause such selling stockholder, together with its affiliates, to beneficially own a number of shares of Common Stock which would exceed 9.99% of our then outstanding shares of Common Stock following such exercise. Under the terms of the Warrants, a selling stockholder may not exercise the Warrants to the extent such exercise would cause such selling stockholder, together with its affiliates, to beneficially own a number of shares of common stock which would exceed 9.99% of our then outstanding shares of common stock following such exercise, excluding for purposes of such determination shares of common stock issuable upon exercise of the Warrants which have not been exercised. The number of shares in the second column does not reflect these limitations. The selling stockholders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Number</w:t>
            </w:r>
          </w:p>
        </w:tc>
        <w:tc>
          <w:tcPr>
            <w:tcW w:w="24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Shares of</w:t>
            </w: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Shares of</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Common Stock to be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of Common Stock</w:t>
            </w:r>
          </w:p>
        </w:tc>
      </w:tr>
      <w:tr>
        <w:trPr>
          <w:trHeight w:val="23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Owned Prior to</w:t>
            </w: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Sold Pursuant to this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Owned After</w:t>
            </w:r>
          </w:p>
        </w:tc>
      </w:tr>
      <w:tr>
        <w:trPr>
          <w:trHeight w:val="221"/>
        </w:trPr>
        <w:tc>
          <w:tcPr>
            <w:tcW w:w="3660" w:type="dxa"/>
            <w:vAlign w:val="bottom"/>
            <w:gridSpan w:val="2"/>
          </w:tcPr>
          <w:p>
            <w:pPr>
              <w:ind w:left="640"/>
              <w:spacing w:after="0"/>
              <w:rPr>
                <w:sz w:val="20"/>
                <w:szCs w:val="20"/>
                <w:color w:val="auto"/>
              </w:rPr>
            </w:pPr>
            <w:r>
              <w:rPr>
                <w:rFonts w:ascii="Arial" w:cs="Arial" w:eastAsia="Arial" w:hAnsi="Arial"/>
                <w:sz w:val="18"/>
                <w:szCs w:val="18"/>
                <w:b w:val="1"/>
                <w:bCs w:val="1"/>
                <w:color w:val="auto"/>
              </w:rPr>
              <w:t>Name of Selling Shareholder</w:t>
            </w: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w:t>
            </w:r>
          </w:p>
        </w:tc>
      </w:tr>
      <w:tr>
        <w:trPr>
          <w:trHeight w:val="196"/>
        </w:trPr>
        <w:tc>
          <w:tcPr>
            <w:tcW w:w="3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648"/>
        </w:trPr>
        <w:tc>
          <w:tcPr>
            <w:tcW w:w="3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68" w:name="page269"/>
    <w:bookmarkEnd w:id="268"/>
    <w:p>
      <w:pPr>
        <w:jc w:val="center"/>
        <w:ind w:left="66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registering the shares of Common Stock that may be issued upon conversion of the Notes issued pursuant to the Securities Purchase Agreement and upon exercise of the Warrants issued pursuant to the terms of the Securities Purchase Agreement to permit the resale of these shares of Common Stock by the holders of such shares and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9" w:name="page270"/>
    <w:bookmarkEnd w:id="269"/>
    <w:p>
      <w:pPr>
        <w:jc w:val="both"/>
        <w:ind w:firstLine="648"/>
        <w:spacing w:after="0" w:line="253" w:lineRule="auto"/>
        <w:rPr>
          <w:sz w:val="20"/>
          <w:szCs w:val="20"/>
          <w:color w:val="auto"/>
        </w:rPr>
      </w:pPr>
      <w:r>
        <w:rPr>
          <w:rFonts w:ascii="Arial" w:cs="Arial" w:eastAsia="Arial" w:hAnsi="Arial"/>
          <w:sz w:val="18"/>
          <w:szCs w:val="18"/>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selling stockholders may pledge or grant a security interest in some or all of the shares of Common Stock, Notes or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estimated to be $</w:t>
      </w:r>
      <w:r>
        <w:rPr>
          <w:rFonts w:ascii="Arial" w:cs="Arial" w:eastAsia="Arial" w:hAnsi="Arial"/>
          <w:sz w:val="18"/>
          <w:szCs w:val="18"/>
          <w:color w:val="auto"/>
          <w:highlight w:val="yellow"/>
        </w:rPr>
        <w:t>[___]</w:t>
      </w:r>
      <w:r>
        <w:rPr>
          <w:rFonts w:ascii="Arial" w:cs="Arial" w:eastAsia="Arial" w:hAnsi="Arial"/>
          <w:sz w:val="18"/>
          <w:szCs w:val="18"/>
          <w:color w:val="auto"/>
        </w:rPr>
        <w:t xml:space="preserve">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29"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This SECURITY AGREEMENT, dated as of May __, 2018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XpresSpa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undersigned direct and indirect Subsidiaries of the Company and any Subsidiary of the Company which shall become a party to this Agreement by execution and delivery of the form annexed hereto as Annex A and the Subsidiary Guaranty annexed thereto (each such Subsidiary, a “</w:t>
      </w:r>
      <w:r>
        <w:rPr>
          <w:rFonts w:ascii="Arial" w:cs="Arial" w:eastAsia="Arial" w:hAnsi="Arial"/>
          <w:sz w:val="18"/>
          <w:szCs w:val="18"/>
          <w:u w:val="single" w:color="auto"/>
          <w:color w:val="auto"/>
        </w:rPr>
        <w:t>Guarantor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Debtors</w:t>
      </w:r>
      <w:r>
        <w:rPr>
          <w:rFonts w:ascii="Arial" w:cs="Arial" w:eastAsia="Arial" w:hAnsi="Arial"/>
          <w:sz w:val="18"/>
          <w:szCs w:val="18"/>
          <w:color w:val="auto"/>
        </w:rPr>
        <w:t>”), Alpha Capital Anstalt, as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the holders of XpresSpa Group, Inc.’s Secured Convertible Notes issued at or about May ___, 2018, in the original aggregate principal amount of up to $4,550,000 and such other of the Company’s secured convertible notes, in favor of the Secured Parties (as defined below), which may be issued in the future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 (collectively, the “</w:t>
      </w:r>
      <w:r>
        <w:rPr>
          <w:rFonts w:ascii="Arial" w:cs="Arial" w:eastAsia="Arial" w:hAnsi="Arial"/>
          <w:sz w:val="18"/>
          <w:szCs w:val="18"/>
          <w:u w:val="single" w:color="auto"/>
          <w:color w:val="auto"/>
        </w:rPr>
        <w:t>Secured Parties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the Securities Purchase Agreement (as defined in the Notes), the Secured Parties have severally agreed to extend loans to the Company evidenced and to be evidenced by the Notes;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pursuant to a certain Subsidiary Guaranty (“</w:t>
      </w:r>
      <w:r>
        <w:rPr>
          <w:rFonts w:ascii="Arial" w:cs="Arial" w:eastAsia="Arial" w:hAnsi="Arial"/>
          <w:sz w:val="16"/>
          <w:szCs w:val="16"/>
          <w:u w:val="single" w:color="auto"/>
          <w:color w:val="auto"/>
        </w:rPr>
        <w:t>Guaranty</w:t>
      </w:r>
      <w:r>
        <w:rPr>
          <w:rFonts w:ascii="Arial" w:cs="Arial" w:eastAsia="Arial" w:hAnsi="Arial"/>
          <w:sz w:val="16"/>
          <w:szCs w:val="16"/>
          <w:color w:val="auto"/>
        </w:rPr>
        <w:t>”) to be dated as of the date of the Additional Debtor Joinder, forms of which are annexed hereto as Annex A, the Guarantor agrees to guarantee and act as surety for payment of such Notes, and other obligations of the Company;</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in order to induce the Secured Parties to extend the loans evidenced by the Notes, each Debtor has agreed to execute and deliver to the Collateral Agent this Agreement and to grant Collateral Agent, for the ratable benefit of the Secured Parties, a security interest in certain property of such Debtor to secure the prompt payment, performance and discharge in full of all of the Debtors’ obligations under the Notes and Transaction Documents.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agreements herein contained and for other good and valuable consideration, the receipt and sufficiency of which is hereby acknowledged, the parties hereto hereby agree as follows:</w:t>
      </w:r>
    </w:p>
    <w:p>
      <w:pPr>
        <w:spacing w:after="0" w:line="166" w:lineRule="exact"/>
        <w:rPr>
          <w:sz w:val="20"/>
          <w:szCs w:val="20"/>
          <w:color w:val="auto"/>
        </w:rPr>
      </w:pPr>
    </w:p>
    <w:p>
      <w:pPr>
        <w:jc w:val="both"/>
        <w:ind w:firstLine="8"/>
        <w:spacing w:after="0" w:line="258" w:lineRule="auto"/>
        <w:tabs>
          <w:tab w:leader="none" w:pos="86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As used in this Agreement, the following terms shall have the meanings set forth in this Section 1. Terms used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in this Agreement that are defined in Article 8 or 9 of the UCC (such as “account,” “chattel paper,” “commercial tort claim,” “deposit account,” “document,” “equipment,” “fixtures,” “general intangibles,” “goods,” “instruments,” “inventory,” “investment property,” “letter-of-credit rights,” “proceeds” and “supporting obligations”) shall have the respective meanings given such terms in Article 8 or 9 of the UCC, as applicable. Upper case terms shall have the meanings attributed to them in the Securities Purchase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1" w:name="page272"/>
    <w:bookmarkEnd w:id="271"/>
    <w:p>
      <w:pPr>
        <w:jc w:val="both"/>
        <w:ind w:left="-20" w:firstLine="656"/>
        <w:spacing w:after="0" w:line="273" w:lineRule="auto"/>
        <w:tabs>
          <w:tab w:leader="none" w:pos="131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the collateral in which the Collateral Agent is granted a security interest by this Agreement and which shall include the following personal property of the Debtors, whether presently owned or existing or hereafter acquired or coming into existence, wherever situated, and all additions and accessions thereto and all substitutions and replacements thereof, and all proceeds, products and accounts thereof, including, without limitation, all proceeds from the disposition, sale or transfer of the Collateral and of insurance covering the same and of any tort claims in connection therewith, and all dividends, interest, cash, notes, securities, equity interest or other property at any time and from time to time acquired, receivable or otherwise distributed in respect of, or in exchange for, any or all of the Pledged Securities (as defined below):</w:t>
      </w:r>
    </w:p>
    <w:p>
      <w:pPr>
        <w:spacing w:after="0" w:line="178" w:lineRule="exact"/>
        <w:rPr>
          <w:rFonts w:ascii="Arial" w:cs="Arial" w:eastAsia="Arial" w:hAnsi="Arial"/>
          <w:sz w:val="17"/>
          <w:szCs w:val="17"/>
          <w:color w:val="auto"/>
        </w:rPr>
      </w:pPr>
    </w:p>
    <w:p>
      <w:pPr>
        <w:jc w:val="both"/>
        <w:ind w:left="640" w:firstLine="645"/>
        <w:spacing w:after="0" w:line="257" w:lineRule="auto"/>
        <w:tabs>
          <w:tab w:leader="none" w:pos="208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goods, including, without limitation, (A) all machinery, equipment, computers, motor vehicles, trucks, tanks, boats, ships, appliances, furniture, special and general tools, fixtures, test and quality control devices and other equipment of every kind and nature and wherever situated, together with all documents of title and documents representing the same, all additions and accessions thereto, replacements therefor, all parts therefor, and all substitutes for any of the foregoing and all other items used and useful in connection with any Debtor’s businesses and all improvements thereto; and (B) all inventory;</w:t>
      </w:r>
    </w:p>
    <w:p>
      <w:pPr>
        <w:spacing w:after="0" w:line="188" w:lineRule="exact"/>
        <w:rPr>
          <w:rFonts w:ascii="Arial" w:cs="Arial" w:eastAsia="Arial" w:hAnsi="Arial"/>
          <w:sz w:val="18"/>
          <w:szCs w:val="18"/>
          <w:color w:val="auto"/>
        </w:rPr>
      </w:pPr>
    </w:p>
    <w:p>
      <w:pPr>
        <w:jc w:val="both"/>
        <w:ind w:left="640" w:firstLine="645"/>
        <w:spacing w:after="0" w:line="297" w:lineRule="auto"/>
        <w:tabs>
          <w:tab w:leader="none" w:pos="210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All contract rights and other general intangibles, including, without limitation, Intellectual Property, all partnership interests, membership interests, stock or other securities, rights under any of the Organizational Documents (as defined herein), agreements related to the Pledged Securities (as defined herein), licenses, distribution and other agreements, computer software (whether “off-the-shelf,” licensed from any third party or developed by any Debtor), computer software development rights, leases, franchises, customer lists, quality control procedures, grants and rights, goodwill, trademarks, service marks, trade styles, trade names, patents, patent applications, copyrights, and income tax refunds;</w:t>
      </w:r>
    </w:p>
    <w:p>
      <w:pPr>
        <w:spacing w:after="0" w:line="158" w:lineRule="exact"/>
        <w:rPr>
          <w:rFonts w:ascii="Arial" w:cs="Arial" w:eastAsia="Arial" w:hAnsi="Arial"/>
          <w:sz w:val="16"/>
          <w:szCs w:val="16"/>
          <w:color w:val="auto"/>
        </w:rPr>
      </w:pPr>
    </w:p>
    <w:p>
      <w:pPr>
        <w:jc w:val="both"/>
        <w:ind w:left="640" w:firstLine="645"/>
        <w:spacing w:after="0" w:line="259" w:lineRule="auto"/>
        <w:tabs>
          <w:tab w:leader="none" w:pos="232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accounts, together with all instruments, all documents of title representing any of the foregoing, all rights in any merchandising, goods, raw materials, timber cut or to be cut, oil, gas, hydrocarbons, and minerals extracted or to be extracted, equipment, motor vehicles and trucks which any of the same may represent, and all right, title, security and guaranties with respect to each account, including any right of stoppage in transit;</w:t>
      </w:r>
    </w:p>
    <w:p>
      <w:pPr>
        <w:spacing w:after="0" w:line="186" w:lineRule="exact"/>
        <w:rPr>
          <w:rFonts w:ascii="Arial" w:cs="Arial" w:eastAsia="Arial" w:hAnsi="Arial"/>
          <w:sz w:val="18"/>
          <w:szCs w:val="18"/>
          <w:color w:val="auto"/>
        </w:rPr>
      </w:pPr>
    </w:p>
    <w:p>
      <w:pPr>
        <w:ind w:left="1900" w:hanging="615"/>
        <w:spacing w:after="0"/>
        <w:tabs>
          <w:tab w:leader="none" w:pos="1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documents, letter-of-credit rights, instruments and chattel paper;</w:t>
      </w:r>
    </w:p>
    <w:p>
      <w:pPr>
        <w:spacing w:after="0" w:line="225" w:lineRule="exact"/>
        <w:rPr>
          <w:rFonts w:ascii="Arial" w:cs="Arial" w:eastAsia="Arial" w:hAnsi="Arial"/>
          <w:sz w:val="18"/>
          <w:szCs w:val="18"/>
          <w:color w:val="auto"/>
        </w:rPr>
      </w:pPr>
    </w:p>
    <w:p>
      <w:pPr>
        <w:ind w:left="1880" w:hanging="595"/>
        <w:spacing w:after="0"/>
        <w:tabs>
          <w:tab w:leader="none" w:pos="18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commercial tort claims;</w:t>
      </w:r>
    </w:p>
    <w:p>
      <w:pPr>
        <w:spacing w:after="0" w:line="225" w:lineRule="exact"/>
        <w:rPr>
          <w:rFonts w:ascii="Arial" w:cs="Arial" w:eastAsia="Arial" w:hAnsi="Arial"/>
          <w:sz w:val="18"/>
          <w:szCs w:val="18"/>
          <w:color w:val="auto"/>
        </w:rPr>
      </w:pPr>
    </w:p>
    <w:p>
      <w:pPr>
        <w:ind w:left="1900" w:hanging="615"/>
        <w:spacing w:after="0"/>
        <w:tabs>
          <w:tab w:leader="none" w:pos="1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deposit accounts and all cash (whether or not deposited in such deposit accounts);</w:t>
      </w:r>
    </w:p>
    <w:p>
      <w:pPr>
        <w:spacing w:after="0" w:line="225" w:lineRule="exact"/>
        <w:rPr>
          <w:rFonts w:ascii="Arial" w:cs="Arial" w:eastAsia="Arial" w:hAnsi="Arial"/>
          <w:sz w:val="18"/>
          <w:szCs w:val="18"/>
          <w:color w:val="auto"/>
        </w:rPr>
      </w:pPr>
    </w:p>
    <w:p>
      <w:pPr>
        <w:ind w:left="1900" w:hanging="615"/>
        <w:spacing w:after="0"/>
        <w:tabs>
          <w:tab w:leader="none" w:pos="1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1900" w:hanging="615"/>
        <w:spacing w:after="0"/>
        <w:tabs>
          <w:tab w:leader="none" w:pos="1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2" w:name="page273"/>
    <w:bookmarkEnd w:id="272"/>
    <w:p>
      <w:pPr>
        <w:ind w:left="1304" w:hanging="655"/>
        <w:spacing w:after="0"/>
        <w:tabs>
          <w:tab w:leader="none" w:pos="130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files, records, books of account, business papers, and computer programs;</w:t>
      </w:r>
    </w:p>
    <w:p>
      <w:pPr>
        <w:spacing w:after="0" w:line="225" w:lineRule="exact"/>
        <w:rPr>
          <w:rFonts w:ascii="Arial" w:cs="Arial" w:eastAsia="Arial" w:hAnsi="Arial"/>
          <w:sz w:val="18"/>
          <w:szCs w:val="18"/>
          <w:color w:val="auto"/>
        </w:rPr>
      </w:pPr>
    </w:p>
    <w:p>
      <w:pPr>
        <w:jc w:val="both"/>
        <w:ind w:left="4" w:firstLine="645"/>
        <w:spacing w:after="0" w:line="259" w:lineRule="auto"/>
        <w:tabs>
          <w:tab w:leader="none" w:pos="139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“Collateral” as that term is defined in a certain Security Agreement (the “Senior Security Agreement”) dated as of April 22, 2015 among Rockmore Investment Master Fund Ltd. (the “Senior Lender”), and the Grantors (as defined in the Senior Security Agreement), even if such item would otherwise be excluded from the definition of Collateral as a result of it being included in the definition of Excluded Property, Excluded Accounts or Excluded IP; and</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products and proceeds of all of the foregoing Collateral set forth in clauses (i)-(x) above.</w:t>
      </w:r>
    </w:p>
    <w:p>
      <w:pPr>
        <w:spacing w:after="0" w:line="225" w:lineRule="exact"/>
        <w:rPr>
          <w:sz w:val="20"/>
          <w:szCs w:val="20"/>
          <w:color w:val="auto"/>
        </w:rPr>
      </w:pPr>
    </w:p>
    <w:p>
      <w:pPr>
        <w:jc w:val="both"/>
        <w:ind w:left="4" w:firstLine="1297"/>
        <w:spacing w:after="0" w:line="291" w:lineRule="auto"/>
        <w:rPr>
          <w:sz w:val="20"/>
          <w:szCs w:val="20"/>
          <w:color w:val="auto"/>
        </w:rPr>
      </w:pPr>
      <w:r>
        <w:rPr>
          <w:rFonts w:ascii="Arial" w:cs="Arial" w:eastAsia="Arial" w:hAnsi="Arial"/>
          <w:sz w:val="16"/>
          <w:szCs w:val="16"/>
          <w:color w:val="auto"/>
        </w:rPr>
        <w:t>Without limiting the generality of the foregoing, the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shall include all investment property and general intangibles respecting ownership and/or other equity interests in Guarantor, including, without limitation, the shares of capital stock and the other equity interests, including member interests in limited liability companies listed on </w:t>
      </w:r>
      <w:r>
        <w:rPr>
          <w:rFonts w:ascii="Arial" w:cs="Arial" w:eastAsia="Arial" w:hAnsi="Arial"/>
          <w:sz w:val="16"/>
          <w:szCs w:val="16"/>
          <w:u w:val="single" w:color="auto"/>
          <w:color w:val="auto"/>
        </w:rPr>
        <w:t>Schedule H</w:t>
      </w:r>
      <w:r>
        <w:rPr>
          <w:rFonts w:ascii="Arial" w:cs="Arial" w:eastAsia="Arial" w:hAnsi="Arial"/>
          <w:sz w:val="16"/>
          <w:szCs w:val="16"/>
          <w:color w:val="auto"/>
        </w:rPr>
        <w:t xml:space="preserve"> hereto (as the same may be modified from time to time pursuant to the terms hereof), and any other shares of capital stock and/or other equity interests of any other direct or indirect Subsidiary of any Debtor obtained in the future, and, in each case, all certificates representing such shares and/or equity interests and, in each case, all rights, options, warrants, stock, other securities and/or equity interests that may hereafter be received, receivable or distributed in respect of, or exchanged for, any of the foregoing and all rights arising under or in connection with the Pledged Securities, including, but not limited to, all dividends, interest and cash.</w:t>
      </w:r>
    </w:p>
    <w:p>
      <w:pPr>
        <w:spacing w:after="0" w:line="167" w:lineRule="exact"/>
        <w:rPr>
          <w:sz w:val="20"/>
          <w:szCs w:val="20"/>
          <w:color w:val="auto"/>
        </w:rPr>
      </w:pPr>
    </w:p>
    <w:p>
      <w:pPr>
        <w:jc w:val="both"/>
        <w:ind w:left="4" w:firstLine="1297"/>
        <w:spacing w:after="0" w:line="264" w:lineRule="auto"/>
        <w:rPr>
          <w:sz w:val="20"/>
          <w:szCs w:val="20"/>
          <w:color w:val="auto"/>
        </w:rPr>
      </w:pPr>
      <w:r>
        <w:rPr>
          <w:rFonts w:ascii="Arial" w:cs="Arial" w:eastAsia="Arial" w:hAnsi="Arial"/>
          <w:sz w:val="18"/>
          <w:szCs w:val="18"/>
          <w:color w:val="auto"/>
        </w:rPr>
        <w:t xml:space="preserve">Notwithstanding the foregoing, the Collateral shall not include any Excluded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permitted by applicable law, this Agreement shall create a valid security interest in such asset and, to the extent permitted by applicable law, this Agreement shall create a valid security interest in the proceeds of such asset.</w:t>
      </w:r>
    </w:p>
    <w:p>
      <w:pPr>
        <w:spacing w:after="0" w:line="181" w:lineRule="exact"/>
        <w:rPr>
          <w:sz w:val="20"/>
          <w:szCs w:val="20"/>
          <w:color w:val="auto"/>
        </w:rPr>
      </w:pPr>
    </w:p>
    <w:p>
      <w:pPr>
        <w:ind w:left="664" w:hanging="664"/>
        <w:spacing w:after="0"/>
        <w:tabs>
          <w:tab w:leader="none" w:pos="66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shall mean the following:</w:t>
      </w:r>
    </w:p>
    <w:p>
      <w:pPr>
        <w:spacing w:after="0" w:line="225" w:lineRule="exact"/>
        <w:rPr>
          <w:rFonts w:ascii="Arial" w:cs="Arial" w:eastAsia="Arial" w:hAnsi="Arial"/>
          <w:sz w:val="18"/>
          <w:szCs w:val="18"/>
          <w:color w:val="auto"/>
        </w:rPr>
      </w:pPr>
    </w:p>
    <w:p>
      <w:pPr>
        <w:jc w:val="both"/>
        <w:ind w:left="4" w:firstLine="645"/>
        <w:spacing w:after="0" w:line="286" w:lineRule="auto"/>
        <w:tabs>
          <w:tab w:leader="none" w:pos="133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 xml:space="preserve">(x) any license, permit, state or local franchises, charters, authorizations, property rights, contract, agreement or lease held by any Grantor (i) if the grant of such a security interest shall constitute or result in (A) the abandonment, invalidation, voiding, or unenforceability of any right, title or interest of such Grantor therein or result in such Grantor’s loss of use of such asset or (B) a breach or termination pursuant to the terms of, or a default under, any such license, permit, state or local franchises, charters, authorizations, property rights, contract, agreement or lease (other than to the extent that any such term would be rendered ineffective pursuant to Sections 9-406, 9-407, 9-408 or 9-409 of the UCC (or any successor provision or provisions) of any relevant jurisdiction or any other Applicable Law or principles of equity) or (ii) to the extent that Applicable Law prohibits the creation of a security interest therein or thereon (other than to the extent that any such term would be rendered ineffective pursuant to Sections 9-406, 9-407, 9-408 or 9-409 of the UCC (or any successor provision or provisions) of any relevant jurisdiction or any other Applicable Law or principles of equity) and (y) any interests in joint ventures and similar investments which restrict pledges or assignments of any Grantor’s interests therein, provided that the terms of such joint venture agreement or similar contract shall not have been adopted in contemplation of this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described in clauses (x) and (y) above, such property shall constitute “Excluded Property” only to the extent and for so long as such license, permit, lease or applicable law validly prohibits the creation of a lien on such property in favor of the Collateral Agent and, upon the termination of such prohibition (howsoever occurring), such property shall cease to constitute “Excluded Property”;</w:t>
      </w:r>
    </w:p>
    <w:p>
      <w:pPr>
        <w:spacing w:after="0" w:line="391"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73" w:name="page274"/>
    <w:bookmarkEnd w:id="273"/>
    <w:p>
      <w:pPr>
        <w:ind w:right="20" w:firstLine="645"/>
        <w:spacing w:after="0" w:line="277" w:lineRule="auto"/>
        <w:tabs>
          <w:tab w:leader="none" w:pos="131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other asset or property with respect to which the Collateral Agent reasonably determines in its sole discretion that the costs of obtaining a security interest therein are excessive in relation to the value of the security afforded thereby;</w:t>
      </w:r>
    </w:p>
    <w:p>
      <w:pPr>
        <w:spacing w:after="0" w:line="170" w:lineRule="exact"/>
        <w:rPr>
          <w:rFonts w:ascii="Arial" w:cs="Arial" w:eastAsia="Arial" w:hAnsi="Arial"/>
          <w:sz w:val="18"/>
          <w:szCs w:val="18"/>
          <w:color w:val="auto"/>
        </w:rPr>
      </w:pPr>
    </w:p>
    <w:p>
      <w:pPr>
        <w:ind w:left="1280" w:hanging="635"/>
        <w:spacing w:after="0"/>
        <w:tabs>
          <w:tab w:leader="none" w:pos="12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motor vehicles and other assets subject to certificates of title;</w:t>
      </w:r>
    </w:p>
    <w:p>
      <w:pPr>
        <w:spacing w:after="0" w:line="225" w:lineRule="exact"/>
        <w:rPr>
          <w:rFonts w:ascii="Arial" w:cs="Arial" w:eastAsia="Arial" w:hAnsi="Arial"/>
          <w:sz w:val="18"/>
          <w:szCs w:val="18"/>
          <w:color w:val="auto"/>
        </w:rPr>
      </w:pPr>
    </w:p>
    <w:p>
      <w:pPr>
        <w:ind w:left="1340" w:hanging="695"/>
        <w:spacing w:after="0"/>
        <w:tabs>
          <w:tab w:leader="none" w:pos="13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credit card receivables and any other assets or proceeds of the foregoing securing any credit card receivable financing or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210" w:lineRule="exact"/>
        <w:rPr>
          <w:rFonts w:ascii="Arial" w:cs="Arial" w:eastAsia="Arial" w:hAnsi="Arial"/>
          <w:sz w:val="16"/>
          <w:szCs w:val="16"/>
          <w:color w:val="auto"/>
        </w:rPr>
      </w:pPr>
    </w:p>
    <w:p>
      <w:pPr>
        <w:jc w:val="both"/>
        <w:ind w:firstLine="645"/>
        <w:spacing w:after="0" w:line="257" w:lineRule="auto"/>
        <w:tabs>
          <w:tab w:leader="none" w:pos="135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voting stock of any subsidiary representing more than 65% of the total voting power of all outstanding voting stock of such Subsidiary with respect to any subsidiary (x) that is a “controlled foreign corporation” (within the meaning of Section 957 of the Internal Revenue Code of 1986, together with the regulations promulgated thereunder from time to time (the “Code”)) of which any Grantor is a “United States shareholder” (within the meaning of Section 951 of the Code) or (y) substantially all of the assets of which consist of the equity interests of one or more controlled foreign corporations;</w:t>
      </w:r>
    </w:p>
    <w:p>
      <w:pPr>
        <w:spacing w:after="0" w:line="188" w:lineRule="exact"/>
        <w:rPr>
          <w:rFonts w:ascii="Arial" w:cs="Arial" w:eastAsia="Arial" w:hAnsi="Arial"/>
          <w:sz w:val="18"/>
          <w:szCs w:val="18"/>
          <w:color w:val="auto"/>
        </w:rPr>
      </w:pPr>
    </w:p>
    <w:p>
      <w:pPr>
        <w:jc w:val="both"/>
        <w:ind w:firstLine="645"/>
        <w:spacing w:after="0" w:line="286" w:lineRule="auto"/>
        <w:tabs>
          <w:tab w:leader="none" w:pos="135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any assets securing Indebtedness (as defined in the Securities Purchase Agreement) incurred in connection with the construction and development of new XpresSpa locations;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secured only by the assets of the subsidiary which owns and/or operates such location and the Indebtedness is not guaranteed by the Company or any other subsidiary of the Company;</w:t>
      </w:r>
    </w:p>
    <w:p>
      <w:pPr>
        <w:spacing w:after="0" w:line="165" w:lineRule="exact"/>
        <w:rPr>
          <w:rFonts w:ascii="Arial" w:cs="Arial" w:eastAsia="Arial" w:hAnsi="Arial"/>
          <w:sz w:val="17"/>
          <w:szCs w:val="17"/>
          <w:color w:val="auto"/>
        </w:rPr>
      </w:pPr>
    </w:p>
    <w:p>
      <w:pPr>
        <w:jc w:val="both"/>
        <w:ind w:right="20" w:firstLine="645"/>
        <w:spacing w:after="0" w:line="264" w:lineRule="auto"/>
        <w:tabs>
          <w:tab w:leader="none" w:pos="129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Intellectual Property consisting of intent-to-use (or the equivalent) trademark applications, for which the creation by a Grantor of a security interest therein is prohibited without the consent of third party or by applicable law or any trademark that would be rendered invalid, abandoned, void or unenforceable by reason of it being included as part of the Collateral; and</w:t>
      </w:r>
    </w:p>
    <w:p>
      <w:pPr>
        <w:spacing w:after="0" w:line="181" w:lineRule="exact"/>
        <w:rPr>
          <w:rFonts w:ascii="Arial" w:cs="Arial" w:eastAsia="Arial" w:hAnsi="Arial"/>
          <w:sz w:val="18"/>
          <w:szCs w:val="18"/>
          <w:color w:val="auto"/>
        </w:rPr>
      </w:pPr>
    </w:p>
    <w:p>
      <w:pPr>
        <w:ind w:right="20" w:firstLine="645"/>
        <w:spacing w:after="0" w:line="277" w:lineRule="auto"/>
        <w:tabs>
          <w:tab w:leader="none" w:pos="133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provided no item included in the definition of Collateral as a result of Section i(a)(x) above shall be included in the definition of Excluded Property.</w:t>
      </w:r>
    </w:p>
    <w:p>
      <w:pPr>
        <w:spacing w:after="0" w:line="38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74" w:name="page275"/>
    <w:bookmarkEnd w:id="274"/>
    <w:p>
      <w:pPr>
        <w:jc w:val="both"/>
        <w:ind w:left="-20" w:firstLine="656"/>
        <w:spacing w:after="0" w:line="270" w:lineRule="auto"/>
        <w:tabs>
          <w:tab w:leader="none" w:pos="149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Accounts</w:t>
      </w:r>
      <w:r>
        <w:rPr>
          <w:rFonts w:ascii="Arial" w:cs="Arial" w:eastAsia="Arial" w:hAnsi="Arial"/>
          <w:sz w:val="17"/>
          <w:szCs w:val="17"/>
          <w:color w:val="auto"/>
        </w:rPr>
        <w:t>” means (i) any deposit account of the Grantors that is used by such Grantor solely as a payroll account for the employees of the Grantors or their subsidiaries or the funds in which consist solely of funds held by the Grantors in trust for any director, officer or employee of the Grantors or their subsidiaries or any employee benefit plan maintained by the Grantors or their subsidiaries or funds representing deferred compensation for the directors and employees of the Grantors or their subsidiaries, (ii) escrow accounts, deposit accounts and trust accounts, in each case holding assets that are pledged or otherwise encumbered pursuant to Permitted Liens (as defined in the Securities Purchase Agreement) or escrow accounts and trust accounts maintained exclusively for the purpose of establishing or maintaining escrow amounts for third-parties, (iii) any deposit accounts and securities accounts not located in the United States or any of its States or territories and (iv) any deposit accounts with a daily average balance of $100,000 or less individually, or $250,000 or less in the aggregate for all such accounts. Provided however, no account included in the definition of Collateral as a result of Section i(a)(x) above shall be included in the definition of Excluded Accounts.</w:t>
      </w:r>
    </w:p>
    <w:p>
      <w:pPr>
        <w:spacing w:after="0" w:line="181" w:lineRule="exact"/>
        <w:rPr>
          <w:rFonts w:ascii="Arial" w:cs="Arial" w:eastAsia="Arial" w:hAnsi="Arial"/>
          <w:sz w:val="17"/>
          <w:szCs w:val="17"/>
          <w:color w:val="auto"/>
        </w:rPr>
      </w:pPr>
    </w:p>
    <w:p>
      <w:pPr>
        <w:ind w:left="-20" w:firstLine="656"/>
        <w:spacing w:after="0" w:line="277" w:lineRule="auto"/>
        <w:tabs>
          <w:tab w:leader="none" w:pos="139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IP</w:t>
      </w:r>
      <w:r>
        <w:rPr>
          <w:rFonts w:ascii="Arial" w:cs="Arial" w:eastAsia="Arial" w:hAnsi="Arial"/>
          <w:sz w:val="18"/>
          <w:szCs w:val="18"/>
          <w:color w:val="auto"/>
        </w:rPr>
        <w:t xml:space="preserve">” means all Intellectual Property of any Grantor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unless such item is included in the definition of Collateral as a result of Section i(a)(x).</w:t>
      </w:r>
    </w:p>
    <w:p>
      <w:pPr>
        <w:spacing w:after="0" w:line="170" w:lineRule="exact"/>
        <w:rPr>
          <w:rFonts w:ascii="Arial" w:cs="Arial" w:eastAsia="Arial" w:hAnsi="Arial"/>
          <w:sz w:val="18"/>
          <w:szCs w:val="18"/>
          <w:color w:val="auto"/>
        </w:rPr>
      </w:pPr>
    </w:p>
    <w:p>
      <w:pPr>
        <w:jc w:val="both"/>
        <w:ind w:left="-20" w:firstLine="656"/>
        <w:spacing w:after="0" w:line="286" w:lineRule="auto"/>
        <w:tabs>
          <w:tab w:leader="none" w:pos="131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the collective reference to all rights, priorities and privileges relating to intellectual property, whether arising under United States, multinational or foreign laws or otherwise, including, without limitation, (i) all copyrights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(ii) all patents of the United States, any other country or any political subdivision thereof, all reissues and extensions thereof, and all applications for letters patent of the United States or any other country and all divisions, continuations and continuations-in-part thereof, (iii) all trademarks, trade names, corporate names, company names, business names, fictitious business names, trade dress, service marks, logos, domain names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 law rights related thereto, (iv) all trade secrets arising under the laws of the United States, any other country or any political subdivision thereof, (v) all rights to obtain any reissues, renewals or extensions of the foregoing, (vi) all licenses for any of the foregoing, (vii) any items included in the definition of Intellectual Property Rights as defined in the Securities Purchase Agreement and not set forth above, and (viii) all causes of action for infringement of the foregoing.</w:t>
      </w:r>
    </w:p>
    <w:p>
      <w:pPr>
        <w:spacing w:after="0" w:line="174" w:lineRule="exact"/>
        <w:rPr>
          <w:rFonts w:ascii="Arial" w:cs="Arial" w:eastAsia="Arial" w:hAnsi="Arial"/>
          <w:sz w:val="16"/>
          <w:szCs w:val="16"/>
          <w:color w:val="auto"/>
        </w:rPr>
      </w:pPr>
    </w:p>
    <w:p>
      <w:pPr>
        <w:jc w:val="both"/>
        <w:ind w:left="-20" w:right="20" w:firstLine="656"/>
        <w:spacing w:after="0" w:line="264" w:lineRule="auto"/>
        <w:tabs>
          <w:tab w:leader="none" w:pos="148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means, at any time of determination, the holders of more than fifty percent (50%) (based on then-outstanding principal amounts and accrued interest of Notes at the time of such determination) of the Notes, which must include Alpha Capital Anstalt for so long as Alpha Capital Anstalt holds a Note with outstanding principal and accrued interest of not less than $500,000.</w:t>
      </w:r>
    </w:p>
    <w:p>
      <w:pPr>
        <w:spacing w:after="0" w:line="181" w:lineRule="exact"/>
        <w:rPr>
          <w:rFonts w:ascii="Arial" w:cs="Arial" w:eastAsia="Arial" w:hAnsi="Arial"/>
          <w:sz w:val="18"/>
          <w:szCs w:val="18"/>
          <w:color w:val="auto"/>
        </w:rPr>
      </w:pPr>
    </w:p>
    <w:p>
      <w:pPr>
        <w:ind w:left="-20" w:firstLine="656"/>
        <w:spacing w:after="0" w:line="277" w:lineRule="auto"/>
        <w:tabs>
          <w:tab w:leader="none" w:pos="136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Endorsement</w:t>
      </w:r>
      <w:r>
        <w:rPr>
          <w:rFonts w:ascii="Arial" w:cs="Arial" w:eastAsia="Arial" w:hAnsi="Arial"/>
          <w:sz w:val="18"/>
          <w:szCs w:val="18"/>
          <w:color w:val="auto"/>
        </w:rPr>
        <w:t>” means undated stock powers endorsed in blank and other proper instruments of assignment duly executed and such other instruments or documents as the Collateral Agent (as that term is defined below) may reasonably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5" w:name="page276"/>
    <w:bookmarkEnd w:id="275"/>
    <w:p>
      <w:pPr>
        <w:jc w:val="both"/>
        <w:ind w:left="-8" w:firstLine="656"/>
        <w:spacing w:after="0" w:line="268" w:lineRule="auto"/>
        <w:tabs>
          <w:tab w:leader="none" w:pos="1408" w:val="left"/>
        </w:tabs>
        <w:numPr>
          <w:ilvl w:val="1"/>
          <w:numId w:val="2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of the liabilities and obligations (primary, secondary, direct, contingent, sole, joint or several) due or to become due, or that are now or may be hereafter contracted or acquired, or owing to, of any Debtor to the Secured Parties, including, without limitation, all obligations under this Agreement, the Notes, the Guaranty and obligations under any other Transaction Document, instrument, agreement or other document executed and/or delivered in connection herewith or therewith in each case, whether now or hereafter existing,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any of the Secured Parties as a preference, fraudulent transfer or otherwise as such obligations may be amended, supplemented, converted, extended or modified from time to time. Without limiting the generality of the foregoing, the term “Obligations” shall include, without limitation: (i) principal of, and interest on the Notes and the loans extended pursuant thereto; (ii) any and all other fees, indemnities, costs, obligations and liabilities of the Debtors from time to time under or in connection with this Agreement, the Notes and any other Transaction Documents, instruments, agreements or other documents executed and/or delivered in connection herewith or therewith; and (iii) all amounts (including but not limited to post-petition interest) in respect of the foregoing that would be payable but for the fact that the obligations to pay such amounts are unenforceable or not allowable due to the existence of a bankruptcy, reorganization or similar proceeding involving any Debtor.</w:t>
      </w:r>
    </w:p>
    <w:p>
      <w:pPr>
        <w:spacing w:after="0" w:line="187" w:lineRule="exact"/>
        <w:rPr>
          <w:rFonts w:ascii="Arial" w:cs="Arial" w:eastAsia="Arial" w:hAnsi="Arial"/>
          <w:sz w:val="17"/>
          <w:szCs w:val="17"/>
          <w:color w:val="auto"/>
        </w:rPr>
      </w:pPr>
    </w:p>
    <w:p>
      <w:pPr>
        <w:jc w:val="both"/>
        <w:ind w:left="-8" w:firstLine="656"/>
        <w:spacing w:after="0" w:line="259" w:lineRule="auto"/>
        <w:tabs>
          <w:tab w:leader="none" w:pos="127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Debtor, the documents by which such Debtor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Debtor (such as bylaws, a partnership agreement or an operating, limited liability or members agreement).</w:t>
      </w:r>
    </w:p>
    <w:p>
      <w:pPr>
        <w:spacing w:after="0" w:line="186" w:lineRule="exact"/>
        <w:rPr>
          <w:rFonts w:ascii="Arial" w:cs="Arial" w:eastAsia="Arial" w:hAnsi="Arial"/>
          <w:sz w:val="18"/>
          <w:szCs w:val="18"/>
          <w:color w:val="auto"/>
        </w:rPr>
      </w:pPr>
    </w:p>
    <w:p>
      <w:pPr>
        <w:ind w:left="1272" w:hanging="624"/>
        <w:spacing w:after="0"/>
        <w:tabs>
          <w:tab w:leader="none" w:pos="127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shall have the meaning ascribed to such term in Section 4(i).</w:t>
      </w:r>
    </w:p>
    <w:p>
      <w:pPr>
        <w:spacing w:after="0" w:line="225" w:lineRule="exact"/>
        <w:rPr>
          <w:rFonts w:ascii="Arial" w:cs="Arial" w:eastAsia="Arial" w:hAnsi="Arial"/>
          <w:sz w:val="18"/>
          <w:szCs w:val="18"/>
          <w:color w:val="auto"/>
        </w:rPr>
      </w:pPr>
    </w:p>
    <w:p>
      <w:pPr>
        <w:jc w:val="both"/>
        <w:ind w:left="-8" w:firstLine="656"/>
        <w:spacing w:after="0" w:line="257" w:lineRule="auto"/>
        <w:tabs>
          <w:tab w:leader="none" w:pos="139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of the State of New York and or any other applicable law of any state or states which has jurisdiction with respect to all, or any portion of, the Collateral or this Agreement, from time to time. It is the intent of the parties that defined terms in the UCC should be construed in their broadest sense so that the term “Collateral” will be construed in its broadest sense. Accordingly, if there are, from time to time, changes to defined terms in the UCC that broaden the definitions, they are incorporated herein and if existing definitions in the UCC are broader than the amended definitions, the existing ones shall be controlling.</w:t>
      </w:r>
    </w:p>
    <w:p>
      <w:pPr>
        <w:spacing w:after="0" w:line="184" w:lineRule="exact"/>
        <w:rPr>
          <w:rFonts w:ascii="Arial" w:cs="Arial" w:eastAsia="Arial" w:hAnsi="Arial"/>
          <w:sz w:val="18"/>
          <w:szCs w:val="18"/>
          <w:color w:val="auto"/>
        </w:rPr>
      </w:pPr>
    </w:p>
    <w:p>
      <w:pPr>
        <w:jc w:val="both"/>
        <w:ind w:left="-8" w:firstLine="8"/>
        <w:spacing w:after="0" w:line="303" w:lineRule="auto"/>
        <w:tabs>
          <w:tab w:leader="none" w:pos="649" w:val="left"/>
        </w:tabs>
        <w:numPr>
          <w:ilvl w:val="0"/>
          <w:numId w:val="284"/>
        </w:numPr>
        <w:rPr>
          <w:rFonts w:ascii="Arial" w:cs="Arial" w:eastAsia="Arial" w:hAnsi="Arial"/>
          <w:sz w:val="16"/>
          <w:szCs w:val="16"/>
          <w:color w:val="auto"/>
        </w:rPr>
      </w:pPr>
      <w:r>
        <w:rPr>
          <w:rFonts w:ascii="Arial" w:cs="Arial" w:eastAsia="Arial" w:hAnsi="Arial"/>
          <w:sz w:val="16"/>
          <w:szCs w:val="16"/>
          <w:b w:val="1"/>
          <w:bCs w:val="1"/>
          <w:color w:val="auto"/>
        </w:rPr>
        <w:t>Grant of Security Interest in Collateral</w:t>
      </w:r>
      <w:r>
        <w:rPr>
          <w:rFonts w:ascii="Arial" w:cs="Arial" w:eastAsia="Arial" w:hAnsi="Arial"/>
          <w:sz w:val="16"/>
          <w:szCs w:val="16"/>
          <w:color w:val="auto"/>
        </w:rPr>
        <w:t>. As an inducement for the Secured Parties to extend the loans as evidenced by the Notes and to secure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and timely payment, performance and discharge in full, as the case may be, of all of the Obligations, each Debtor hereby unconditionally and irrevocably pledges, grants and hypothecates to the Secured Parties a security interest in and to, a lien upon and a right of set-off against all of their respective right, title and interest of whatsoever kind and nature in and to, the Collateral (a “</w:t>
      </w:r>
      <w:r>
        <w:rPr>
          <w:rFonts w:ascii="Arial" w:cs="Arial" w:eastAsia="Arial" w:hAnsi="Arial"/>
          <w:sz w:val="16"/>
          <w:szCs w:val="16"/>
          <w:u w:val="single" w:color="auto"/>
          <w:color w:val="auto"/>
        </w:rPr>
        <w:t>Security Interest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Security Interests</w:t>
      </w:r>
      <w:r>
        <w:rPr>
          <w:rFonts w:ascii="Arial" w:cs="Arial" w:eastAsia="Arial" w:hAnsi="Arial"/>
          <w:sz w:val="16"/>
          <w:szCs w:val="16"/>
          <w:color w:val="auto"/>
        </w:rPr>
        <w:t>”).</w:t>
      </w:r>
    </w:p>
    <w:p>
      <w:pPr>
        <w:spacing w:after="0" w:line="3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76" w:name="page277"/>
    <w:bookmarkEnd w:id="276"/>
    <w:p>
      <w:pPr>
        <w:jc w:val="both"/>
        <w:ind w:left="-8" w:firstLine="8"/>
        <w:spacing w:after="0" w:line="256" w:lineRule="auto"/>
        <w:tabs>
          <w:tab w:leader="none" w:pos="78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Delivery of Certain Collateral; Perfection</w:t>
      </w:r>
      <w:r>
        <w:rPr>
          <w:rFonts w:ascii="Arial" w:cs="Arial" w:eastAsia="Arial" w:hAnsi="Arial"/>
          <w:sz w:val="18"/>
          <w:szCs w:val="18"/>
          <w:color w:val="auto"/>
        </w:rPr>
        <w:t>. Subject to the Senior Security Agreement, at any time at the request of the Collateral Agent, each</w:t>
      </w:r>
      <w:r>
        <w:rPr>
          <w:rFonts w:ascii="Arial" w:cs="Arial" w:eastAsia="Arial" w:hAnsi="Arial"/>
          <w:sz w:val="18"/>
          <w:szCs w:val="18"/>
          <w:b w:val="1"/>
          <w:bCs w:val="1"/>
          <w:color w:val="auto"/>
        </w:rPr>
        <w:t xml:space="preserve"> </w:t>
      </w:r>
      <w:r>
        <w:rPr>
          <w:rFonts w:ascii="Arial" w:cs="Arial" w:eastAsia="Arial" w:hAnsi="Arial"/>
          <w:sz w:val="18"/>
          <w:szCs w:val="18"/>
          <w:color w:val="auto"/>
        </w:rPr>
        <w:t>Debtor shall deliver or cause to be delivered to the Collateral Agent, any and all certificates and other instruments or documents representing any of the Collateral, in each case, together with all Necessary Endorsements. Notwithstanding anything to the contrary contained herein, (x) nothing in this Agreement, the Notes or the Securities Purchase Agreement shall require any perfection steps or documentation with respect to any Excluded IP or assets constituting Collateral located outside of the U.S. and (y) no deposit account control agreements shall be required with respect to any Excluded Accounts or otherwise prior to the date that is 45 days following written request from the Collateral Agent.</w:t>
      </w:r>
    </w:p>
    <w:p>
      <w:pPr>
        <w:spacing w:after="0" w:line="187" w:lineRule="exact"/>
        <w:rPr>
          <w:rFonts w:ascii="Arial" w:cs="Arial" w:eastAsia="Arial" w:hAnsi="Arial"/>
          <w:sz w:val="18"/>
          <w:szCs w:val="18"/>
          <w:color w:val="auto"/>
        </w:rPr>
      </w:pPr>
    </w:p>
    <w:p>
      <w:pPr>
        <w:jc w:val="both"/>
        <w:ind w:left="-8" w:firstLine="8"/>
        <w:spacing w:after="0" w:line="258" w:lineRule="auto"/>
        <w:tabs>
          <w:tab w:leader="none" w:pos="703"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Representations, Warranties, Covenants and Agreements of the Debtors</w:t>
      </w:r>
      <w:r>
        <w:rPr>
          <w:rFonts w:ascii="Arial" w:cs="Arial" w:eastAsia="Arial" w:hAnsi="Arial"/>
          <w:sz w:val="18"/>
          <w:szCs w:val="18"/>
          <w:color w:val="auto"/>
        </w:rPr>
        <w:t>. Except as set forth under the corresponding section of the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schedules delivered to the Secured Parties and Collateral Agent concurrently herewith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which Disclosure Schedules shall be deemed a part hereof. As of the date hereof, each Debtor represents and warrants to the Secured Parties as follows and, until the indefeasible repayment in full of the Obligations (other than unasserted contingent obligations until such obligations arise or are asserted), covenants and agrees with, the Secured Parties as follows:</w:t>
      </w:r>
    </w:p>
    <w:p>
      <w:pPr>
        <w:spacing w:after="0" w:line="187" w:lineRule="exact"/>
        <w:rPr>
          <w:rFonts w:ascii="Arial" w:cs="Arial" w:eastAsia="Arial" w:hAnsi="Arial"/>
          <w:sz w:val="18"/>
          <w:szCs w:val="18"/>
          <w:color w:val="auto"/>
        </w:rPr>
      </w:pPr>
    </w:p>
    <w:p>
      <w:pPr>
        <w:jc w:val="both"/>
        <w:ind w:left="-8" w:firstLine="656"/>
        <w:spacing w:after="0" w:line="273" w:lineRule="auto"/>
        <w:tabs>
          <w:tab w:leader="none" w:pos="1388" w:val="left"/>
        </w:tabs>
        <w:numPr>
          <w:ilvl w:val="1"/>
          <w:numId w:val="285"/>
        </w:numPr>
        <w:rPr>
          <w:rFonts w:ascii="Arial" w:cs="Arial" w:eastAsia="Arial" w:hAnsi="Arial"/>
          <w:sz w:val="17"/>
          <w:szCs w:val="17"/>
          <w:color w:val="auto"/>
        </w:rPr>
      </w:pPr>
      <w:r>
        <w:rPr>
          <w:rFonts w:ascii="Arial" w:cs="Arial" w:eastAsia="Arial" w:hAnsi="Arial"/>
          <w:sz w:val="17"/>
          <w:szCs w:val="17"/>
          <w:color w:val="auto"/>
        </w:rPr>
        <w:t>Each Debtor has the requisite corporate, partnership, limited liability company or other power and authority to enter into this Agreement and otherwise to carry out its obligations hereunder. The execution, delivery and performance by each Debtor of this Agreement and the filings contemplated herein have been duly authorized by all necessary action on the part of such Debtor and no further action is required by such Debtor. This Agreement, when executed and delivered, will constitute the legal, valid and binding obligation of each Debtor, enforceable against each Debtor in accordance with its terms except as such enforceability may be limited by applicable bankruptcy, insolvency, reorganization and similar laws of general application relating to or affecting the rights and remedies of creditors and by general principles of equity.</w:t>
      </w:r>
    </w:p>
    <w:p>
      <w:pPr>
        <w:spacing w:after="0" w:line="178" w:lineRule="exact"/>
        <w:rPr>
          <w:rFonts w:ascii="Arial" w:cs="Arial" w:eastAsia="Arial" w:hAnsi="Arial"/>
          <w:sz w:val="17"/>
          <w:szCs w:val="17"/>
          <w:color w:val="auto"/>
        </w:rPr>
      </w:pPr>
    </w:p>
    <w:p>
      <w:pPr>
        <w:jc w:val="both"/>
        <w:ind w:left="-8" w:firstLine="656"/>
        <w:spacing w:after="0" w:line="254" w:lineRule="auto"/>
        <w:tabs>
          <w:tab w:leader="none" w:pos="152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The Debtors have no place of business or offices where their respective material books of account and records are kept (other than temporarily at the offices of its attorneys or accountants) or places where Collateral is stored or located (except for Collateral out for repair, in transit, at other locations in connection with repair or refurbishment thereof in the ordinary course of business or in the possession of employees of the Grantors in the ordinary course of business), except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Except as specifically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each Debtor is the record owner of the real property where such Collateral is located, and there exist no mortgages or other liens on any such real property or on the Collateral except for Permitted Liens (as defined in the Securities Purchase Agreement), all of which are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Except as disclosed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except for Collateral to be held by the Collateral Agent, no material Collateral is in the possession of any consignee, bailee, warehouseman, agent or processor.</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77" w:name="page278"/>
    <w:bookmarkEnd w:id="277"/>
    <w:p>
      <w:pPr>
        <w:jc w:val="both"/>
        <w:ind w:left="-20" w:firstLine="656"/>
        <w:spacing w:after="0" w:line="255" w:lineRule="auto"/>
        <w:tabs>
          <w:tab w:leader="none" w:pos="131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Except for Permitted Liens and except as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the Debtors are the sole owners of the Collateral (except for non-exclusive licenses granted by any Debtor in the ordinary course of business), free and clear of any liens, security interests, encumbrances, rights or claims, and are fully authorized to grant the Security Interests. Except for Permitted Liens and other items which are all as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there is not on file in any governmental or regulatory authority, agency or recording office an effective financing statement, security agreement, license or transfer or any notice of any of the foregoing (other than those that will be filed in favor of the Secured Parties pursuant to this Agreement) covering or affecting any of the Collateral.</w:t>
      </w:r>
    </w:p>
    <w:p>
      <w:pPr>
        <w:spacing w:after="0" w:line="193" w:lineRule="exact"/>
        <w:rPr>
          <w:rFonts w:ascii="Arial" w:cs="Arial" w:eastAsia="Arial" w:hAnsi="Arial"/>
          <w:sz w:val="18"/>
          <w:szCs w:val="18"/>
          <w:color w:val="auto"/>
        </w:rPr>
      </w:pPr>
    </w:p>
    <w:p>
      <w:pPr>
        <w:jc w:val="both"/>
        <w:ind w:left="-20" w:firstLine="656"/>
        <w:spacing w:after="0" w:line="257" w:lineRule="auto"/>
        <w:tabs>
          <w:tab w:leader="none" w:pos="132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the knowledge of the Grantors, no written claim has been received that any Collateral or any Debtor’s use of any Collateral violates the rights of any third party in any material respect. To the knowledge of the Grantors, there has been no material adverse decision to any Debtor’s claim of ownership rights in or exclusive rights to use the Collateral in any jurisdiction or to any Debtor’s right to keep and maintain such Collateral in full force and effect, and there is no material proceeding involving said rights pending or, threatened before any court, judicial body, administrative or regulatory agency, arbitrator or other governmental authority.</w:t>
      </w:r>
    </w:p>
    <w:p>
      <w:pPr>
        <w:spacing w:after="0" w:line="188" w:lineRule="exact"/>
        <w:rPr>
          <w:rFonts w:ascii="Arial" w:cs="Arial" w:eastAsia="Arial" w:hAnsi="Arial"/>
          <w:sz w:val="18"/>
          <w:szCs w:val="18"/>
          <w:color w:val="auto"/>
        </w:rPr>
      </w:pPr>
    </w:p>
    <w:p>
      <w:pPr>
        <w:jc w:val="both"/>
        <w:ind w:left="-20" w:firstLine="656"/>
        <w:spacing w:after="0" w:line="293" w:lineRule="auto"/>
        <w:tabs>
          <w:tab w:leader="none" w:pos="132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Each Debtor shall at all times maintain its material books of account and records relating to the Collateral at its principal place of business and its Collateral at the locations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may not relocate such books of account and records or tangible Collateral except in the ordinary course of sales unless it delivers to the Secured Parties at least 5 days prior to such relocation (i) written notice of such relocation and the new location thereof (which must be within the United States) and (ii) evidence that appropriate financing statements under the UCC and other necessary documents have been filed and recorded and other steps have been taken to perfect the Security Interests to create in favor of the Secured Parties a valid, perfected and continuing perfected first priority lien in the Collateral subject only to Permitted Liens and except as otherwise permitted hereby.</w:t>
      </w:r>
    </w:p>
    <w:p>
      <w:pPr>
        <w:spacing w:after="0" w:line="164" w:lineRule="exact"/>
        <w:rPr>
          <w:rFonts w:ascii="Arial" w:cs="Arial" w:eastAsia="Arial" w:hAnsi="Arial"/>
          <w:sz w:val="16"/>
          <w:szCs w:val="16"/>
          <w:color w:val="auto"/>
        </w:rPr>
      </w:pPr>
    </w:p>
    <w:p>
      <w:pPr>
        <w:jc w:val="both"/>
        <w:ind w:left="-20" w:firstLine="656"/>
        <w:spacing w:after="0" w:line="287" w:lineRule="auto"/>
        <w:tabs>
          <w:tab w:leader="none" w:pos="133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This Agreement creates in favor of the Secured Parties a valid security interest in the Collateral, subject only to Permitted Liens, securing the payment and performance of the Obligations. Upon making the filings described in the immediately following paragraph, all security interests created hereunder in any Collateral that may be perfected by filing Uniform Commercial Code financing statements shall have been duly perfected. Except for the filing of the Uniform Commercial Code financing statements referred to in the immediately following paragraph, the recordation of the Intellectual Property Security Agreement (as defined below) with respect to copyrights and copyright applications in the United States Copyright Office referred to in paragraph (p), the execution and delivery of deposit account control agreements satisfying the requirements of Section 9-104(a)(2) of the UCC with respect to each deposit account of the Debtors other than any Excluded Account, and the delivery of the certificates and other instruments provided in Section 3, no action is necessary to create, perfect or protect the security interests created hereunder. Without limiting the generality of the foregoing, except for the filing of said financing statements, the recordation of said Intellectual Property Security Agreement, and the execution and delivery of said deposit account control agreements, no consent of any third parties and no authorization, approval or other action by, and no notice to or filing with, any governmental authority or regulatory body is required for (i) the execution, delivery and performance of this Agreement, (ii) the creation or perfection of the Security Interests created hereunder in the Collateral or (iii) the enforcement of the rights of the Collateral Agent and the Secured Parties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8" w:name="page279"/>
    <w:bookmarkEnd w:id="278"/>
    <w:p>
      <w:pPr>
        <w:jc w:val="both"/>
        <w:ind w:left="-20" w:firstLine="656"/>
        <w:spacing w:after="0" w:line="286" w:lineRule="auto"/>
        <w:tabs>
          <w:tab w:leader="none" w:pos="137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Each Debtor hereby authorizes the Collateral Agent to file one or more financing statements under the UCC, with respect to the Security Interests, with the proper filing and recording agencies in any jurisdiction deemed proper by it and authorizes Collateral Agent to take any other action in Collateral Agent’s absolute discretion to effectuate, memorialize and protect Secured Parties’ interest and rights under this Agreement.</w:t>
      </w:r>
    </w:p>
    <w:p>
      <w:pPr>
        <w:spacing w:after="0" w:line="165" w:lineRule="exact"/>
        <w:rPr>
          <w:rFonts w:ascii="Arial" w:cs="Arial" w:eastAsia="Arial" w:hAnsi="Arial"/>
          <w:sz w:val="17"/>
          <w:szCs w:val="17"/>
          <w:color w:val="auto"/>
        </w:rPr>
      </w:pPr>
    </w:p>
    <w:p>
      <w:pPr>
        <w:jc w:val="both"/>
        <w:ind w:left="-20" w:firstLine="656"/>
        <w:spacing w:after="0" w:line="271" w:lineRule="auto"/>
        <w:tabs>
          <w:tab w:leader="none" w:pos="132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the Debtors does not (i) violate any of the provisions of any Organizational Documents of any Debtor or, to the knowledge of any Debtor, any judgment, decree, order or award of any court, governmental body or arbitrator or any applicable law, rule or regulation applicable to any Debtor, in any material respect or (ii) to the knowledge of each Debtor,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any Debtor’s debt or otherwise) or other understanding to which such Debtor is a party or by which any property or asset of any Debtor is bound or affected, in any material respect. If any, all required consents (including, without limitation, from stockholders or creditors of any Debtor) necessary for any Debtor to enter into and perform its obligations hereunder have been obtained.</w:t>
      </w:r>
    </w:p>
    <w:p>
      <w:pPr>
        <w:spacing w:after="0" w:line="178" w:lineRule="exact"/>
        <w:rPr>
          <w:rFonts w:ascii="Arial" w:cs="Arial" w:eastAsia="Arial" w:hAnsi="Arial"/>
          <w:sz w:val="17"/>
          <w:szCs w:val="17"/>
          <w:color w:val="auto"/>
        </w:rPr>
      </w:pPr>
    </w:p>
    <w:p>
      <w:pPr>
        <w:jc w:val="both"/>
        <w:ind w:left="-20" w:firstLine="656"/>
        <w:spacing w:after="0" w:line="259" w:lineRule="auto"/>
        <w:tabs>
          <w:tab w:leader="none" w:pos="12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The capital stock and other equity interests listed on </w:t>
      </w:r>
      <w:r>
        <w:rPr>
          <w:rFonts w:ascii="Arial" w:cs="Arial" w:eastAsia="Arial" w:hAnsi="Arial"/>
          <w:sz w:val="18"/>
          <w:szCs w:val="18"/>
          <w:u w:val="single" w:color="auto"/>
          <w:color w:val="auto"/>
        </w:rPr>
        <w:t>Schedule H</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Pledged Securities</w:t>
      </w:r>
      <w:r>
        <w:rPr>
          <w:rFonts w:ascii="Arial" w:cs="Arial" w:eastAsia="Arial" w:hAnsi="Arial"/>
          <w:sz w:val="18"/>
          <w:szCs w:val="18"/>
          <w:color w:val="auto"/>
        </w:rPr>
        <w:t>”) represent all of the capital stock and other equity interests of the Grantors. All of the Pledged Securities, if applicable, are validly issued, fully paid and nonassessable, and the Company is the legal and beneficial owner of the Pledged Securities, free and clear of any lien, security interest or other encumbrance except for the security interests created by this Agreement and other Permitted Liens.</w:t>
      </w:r>
    </w:p>
    <w:p>
      <w:pPr>
        <w:spacing w:after="0" w:line="186" w:lineRule="exact"/>
        <w:rPr>
          <w:rFonts w:ascii="Arial" w:cs="Arial" w:eastAsia="Arial" w:hAnsi="Arial"/>
          <w:sz w:val="18"/>
          <w:szCs w:val="18"/>
          <w:color w:val="auto"/>
        </w:rPr>
      </w:pPr>
    </w:p>
    <w:p>
      <w:pPr>
        <w:jc w:val="both"/>
        <w:ind w:left="-20" w:firstLine="656"/>
        <w:spacing w:after="0" w:line="264" w:lineRule="auto"/>
        <w:tabs>
          <w:tab w:leader="none" w:pos="136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ownership and other equity interests in partnerships and limited liability companies (if any) included in the Collateral (the “</w:t>
      </w:r>
      <w:r>
        <w:rPr>
          <w:rFonts w:ascii="Arial" w:cs="Arial" w:eastAsia="Arial" w:hAnsi="Arial"/>
          <w:sz w:val="18"/>
          <w:szCs w:val="18"/>
          <w:u w:val="single" w:color="auto"/>
          <w:color w:val="auto"/>
        </w:rPr>
        <w:t>Pledged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Interests</w:t>
      </w:r>
      <w:r>
        <w:rPr>
          <w:rFonts w:ascii="Arial" w:cs="Arial" w:eastAsia="Arial" w:hAnsi="Arial"/>
          <w:sz w:val="18"/>
          <w:szCs w:val="18"/>
          <w:color w:val="auto"/>
        </w:rPr>
        <w:t>”) by their express terms do not provide that they are securities governed by Article 8 of the UCC and are not held in a securities account or by any financial intermediary.</w:t>
      </w:r>
    </w:p>
    <w:p>
      <w:pPr>
        <w:spacing w:after="0" w:line="181" w:lineRule="exact"/>
        <w:rPr>
          <w:rFonts w:ascii="Arial" w:cs="Arial" w:eastAsia="Arial" w:hAnsi="Arial"/>
          <w:sz w:val="18"/>
          <w:szCs w:val="18"/>
          <w:color w:val="auto"/>
        </w:rPr>
      </w:pPr>
    </w:p>
    <w:p>
      <w:pPr>
        <w:jc w:val="both"/>
        <w:ind w:left="-20" w:firstLine="656"/>
        <w:spacing w:after="0" w:line="288" w:lineRule="auto"/>
        <w:tabs>
          <w:tab w:leader="none" w:pos="132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Except for Permitted Liens and Excluded IP, each Debtor shall at all times maintain the liens and Security Interests provided for hereunder as valid and perfected first priority liens subject only to the security interests in the Collateral in favor of the Secured Parties until this Agreement and the Security Interest hereunder shall be terminated pursuant to Section 14 hereof. Each Debtor hereby agrees to defend the same against the claims of any and all persons and entities. Each Debtor shall safeguard and protect all Collateral for the account of the Secured Parties. Upon request of the Collateral Agent, each Debtor will sign and deliver to the Collateral Agent on behalf of the Secured Parties at any time or from time to time one or more financing statements pursuant to the UCC in form reasonably satisfactory to the Collateral Agent and will pay the cost of filing the same in all public offices wherever filing is, or is deemed by the Collateral Agent to be, necessary or desirable to effect the rights and obligations provided for herein. Without limiting the generality of the foregoing, each Debtor shall pay all fees, taxes and other amounts necessary to maintain the Collateral and the Security Interest hereunder, and each Debtor shall obtain and furnish to the Collateral Agent from time to time, upon demand, such releases and/or subordinations of claims and liens (other than Permitted Liens) that may be reasonably required to maintain the priority of the Security Interest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9" w:name="page280"/>
    <w:bookmarkEnd w:id="279"/>
    <w:p>
      <w:pPr>
        <w:jc w:val="both"/>
        <w:ind w:left="-20" w:firstLine="656"/>
        <w:spacing w:after="0" w:line="272" w:lineRule="auto"/>
        <w:tabs>
          <w:tab w:leader="none" w:pos="127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Other than with respect to Permitted Liens, no Debtor will transfer, pledge, hypothecate, encumber, license, sell or otherwise dispose of any of the Collateral (except for non-exclusive licenses granted by a Debtor in its ordinary course of business, sales of inventory by a Debtor in its ordinary course of business and disposition of obsolete equipment) without the prior written consent of the Collateral Agent. The foregoing notwithstanding, Debtor may replace noncash components of the Collateral with a cash or Cash Equivalent deposit made at an institution subject to a cash account control agreement acceptable to the Secured Parties, provided the amount of cash deposited subject to such agreement is not less than the highest amount of the Obligations that may be outstanding pursuant to the Transaction Documents. Cash Equivalent shall mean U.S. government Treasury bills, bank certificates of deposit, bankers' acceptances, corporate commercial paper and other money market instruments.</w:t>
      </w:r>
    </w:p>
    <w:p>
      <w:pPr>
        <w:spacing w:after="0" w:line="177" w:lineRule="exact"/>
        <w:rPr>
          <w:rFonts w:ascii="Arial" w:cs="Arial" w:eastAsia="Arial" w:hAnsi="Arial"/>
          <w:sz w:val="17"/>
          <w:szCs w:val="17"/>
          <w:color w:val="auto"/>
        </w:rPr>
      </w:pPr>
    </w:p>
    <w:p>
      <w:pPr>
        <w:ind w:left="-20" w:right="20" w:firstLine="656"/>
        <w:spacing w:after="0" w:line="277" w:lineRule="auto"/>
        <w:tabs>
          <w:tab w:leader="none" w:pos="138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Debtor shall keep and preserve its material equipment, inventory and other tangible Collateral in good condition, repair and order in all material respects.</w:t>
      </w:r>
    </w:p>
    <w:p>
      <w:pPr>
        <w:spacing w:after="0" w:line="170" w:lineRule="exact"/>
        <w:rPr>
          <w:rFonts w:ascii="Arial" w:cs="Arial" w:eastAsia="Arial" w:hAnsi="Arial"/>
          <w:sz w:val="18"/>
          <w:szCs w:val="18"/>
          <w:color w:val="auto"/>
        </w:rPr>
      </w:pPr>
    </w:p>
    <w:p>
      <w:pPr>
        <w:jc w:val="both"/>
        <w:ind w:left="-20" w:firstLine="656"/>
        <w:spacing w:after="0" w:line="285" w:lineRule="auto"/>
        <w:tabs>
          <w:tab w:leader="none" w:pos="144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Each Debtor shall maintain with financially sound and reputable insurers, insurance with respect to the Collateral, including Collateral hereafter acquired, against loss or damage of the kinds and in the amounts customarily insured against by entities of established reputation having similar properties similarly situated and in such amounts as are customarily carried under similar circumstances by other such entities and otherwise as is prudent for entities engaged in similar businesses but in any event sufficient to cover the full replacement cost thereof. Each Debtor shall cause each insurance policy issued in connection herewith to provide, and the insurer issuing such policy to certify to the Collateral Agent, that (a) the Collateral Agent will be named as lender loss payee and additional insured under each such insurance policy; and (b) if such insurance is proposed to be cancelled or materially changed for any reason whatsoever, such insurer or the Company will promptly notify the Collateral Agent. In addition, the Collateral Agent will have the right (but no obligation) at its election to remedy any default in the payment of premiums within thirty (30) days of notice from the Company or the insurer of any such default. Subject to the rights of the Senior Lender under the Senior Security Agreement and the other transaction documents entered into between any Debtors and the Senior Lender in connection therewith, if no Event of Default (as defined in the Notes) exists and if the proceeds arising out of any claim or series of related claims do not exceed $250,000, loss payments in each instance will be applied by the applicable Debtor to the repair and/or replacement of property with respect to which the loss was incurred to the extent reasonably feasible, and any loss payments or the balance thereof remaining, to the extent not so applied, shall be payable to the applicable Debtor; provided, however, that payments received by any Debtor after an Event of Default occurs and is continuing or in excess of $250,000 for any occurrence or series of related occurrences shall be paid to the Collateral Agent on behalf of the Secured Parties and, if received by such Debtor, shall be held in trust for the Secured Parties and immediately paid over to the Collateral Agent unless otherwise directed in writing by the Collateral Agent. Copies of such policies or the related certificates, in each case, naming the Collateral Agent as lender loss payee and additional insured shall be delivered to the Collateral Agent at least annually and at the time any new policy of insurance is issued.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0" w:name="page281"/>
    <w:bookmarkEnd w:id="280"/>
    <w:p>
      <w:pPr>
        <w:jc w:val="both"/>
        <w:ind w:left="-20" w:firstLine="656"/>
        <w:spacing w:after="0" w:line="264" w:lineRule="auto"/>
        <w:tabs>
          <w:tab w:leader="none" w:pos="147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Debtor shall, within ten (10) days of obtaining knowledge thereof, advise Collateral Agent promptly, in sufficient detail, of any material adverse change in the Collateral taken as a whole, and of the occurrence of any event which would have a material adverse effect on the value of the Collateral taken as a whole or on the Secured Parties’ security interest.</w:t>
      </w:r>
    </w:p>
    <w:p>
      <w:pPr>
        <w:spacing w:after="0" w:line="181" w:lineRule="exact"/>
        <w:rPr>
          <w:rFonts w:ascii="Arial" w:cs="Arial" w:eastAsia="Arial" w:hAnsi="Arial"/>
          <w:sz w:val="18"/>
          <w:szCs w:val="18"/>
          <w:color w:val="auto"/>
        </w:rPr>
      </w:pPr>
    </w:p>
    <w:p>
      <w:pPr>
        <w:jc w:val="both"/>
        <w:ind w:left="-20" w:firstLine="656"/>
        <w:spacing w:after="0" w:line="291" w:lineRule="auto"/>
        <w:tabs>
          <w:tab w:leader="none" w:pos="137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Each Debtor shall promptly execute and deliver to the Collateral Agent such further deeds, mortgages, assignments, security agreements, financing statements or other instruments, documents, certificates and assurances and take such further action as the Collateral Agent may from time to time request and may in its sole discretion deem necessary to perfect, protect or enforce the Secured Parties’ security interest in the Collateral including, without limitation, one or more deposit account control agreements, and if applicable, the execution and delivery of a separate security agreement with respect to each Debtor’s Intellectual Property (“</w:t>
      </w:r>
      <w:r>
        <w:rPr>
          <w:rFonts w:ascii="Arial" w:cs="Arial" w:eastAsia="Arial" w:hAnsi="Arial"/>
          <w:sz w:val="16"/>
          <w:szCs w:val="16"/>
          <w:u w:val="single" w:color="auto"/>
          <w:color w:val="auto"/>
        </w:rPr>
        <w:t>Intellectual Property Security Agreement</w:t>
      </w:r>
      <w:r>
        <w:rPr>
          <w:rFonts w:ascii="Arial" w:cs="Arial" w:eastAsia="Arial" w:hAnsi="Arial"/>
          <w:sz w:val="16"/>
          <w:szCs w:val="16"/>
          <w:color w:val="auto"/>
        </w:rPr>
        <w:t>”) in which the Secured Parties have been granted a security interest hereunder, in each case other than with respect to any Excluded IP, all substantially in forms reasonably acceptable to the Collateral Agent, which Intellectual Property Security Agreement, and other such documents and agreements other than as stated therein, shall be subject to all of the terms and conditions hereof.</w:t>
      </w:r>
    </w:p>
    <w:p>
      <w:pPr>
        <w:spacing w:after="0" w:line="167" w:lineRule="exact"/>
        <w:rPr>
          <w:rFonts w:ascii="Arial" w:cs="Arial" w:eastAsia="Arial" w:hAnsi="Arial"/>
          <w:sz w:val="16"/>
          <w:szCs w:val="16"/>
          <w:color w:val="auto"/>
        </w:rPr>
      </w:pPr>
    </w:p>
    <w:p>
      <w:pPr>
        <w:ind w:left="-20" w:right="20" w:firstLine="656"/>
        <w:spacing w:after="0" w:line="342" w:lineRule="auto"/>
        <w:tabs>
          <w:tab w:leader="none" w:pos="13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Each Debtor shall permit the Collateral Agent and its representatives and agents to inspect the Collateral during normal business hours and upon 1 day prior notice, and to make copies of records pertaining to the Collateral as may be reasonably requested by the Collateral Agent from time to time.</w:t>
      </w:r>
    </w:p>
    <w:p>
      <w:pPr>
        <w:spacing w:after="0" w:line="123" w:lineRule="exact"/>
        <w:rPr>
          <w:rFonts w:ascii="Arial" w:cs="Arial" w:eastAsia="Arial" w:hAnsi="Arial"/>
          <w:sz w:val="16"/>
          <w:szCs w:val="16"/>
          <w:color w:val="auto"/>
        </w:rPr>
      </w:pPr>
    </w:p>
    <w:p>
      <w:pPr>
        <w:ind w:left="-20" w:right="20" w:firstLine="656"/>
        <w:spacing w:after="0" w:line="277" w:lineRule="auto"/>
        <w:tabs>
          <w:tab w:leader="none" w:pos="13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Debtor shall take commercially reasonable steps necessary to diligently pursue and seek to preserve, enforce and collect any rights, claims, causes of action and accounts receivable in respect of the Collateral.</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31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Debtor shall promptly notify the Secured Parties in sufficient detail upon becoming aware of any attachment, garnishment, execution or other legal process levied against any Collateral and of any other information received by such Debtor that may materially affect the value of the Collateral, the Security Interest or the rights and remedies of the Secured Parties hereunder.</w:t>
      </w:r>
    </w:p>
    <w:p>
      <w:pPr>
        <w:spacing w:after="0" w:line="181" w:lineRule="exact"/>
        <w:rPr>
          <w:rFonts w:ascii="Arial" w:cs="Arial" w:eastAsia="Arial" w:hAnsi="Arial"/>
          <w:sz w:val="18"/>
          <w:szCs w:val="18"/>
          <w:color w:val="auto"/>
        </w:rPr>
      </w:pPr>
    </w:p>
    <w:p>
      <w:pPr>
        <w:ind w:left="-20" w:firstLine="656"/>
        <w:spacing w:after="0" w:line="342" w:lineRule="auto"/>
        <w:tabs>
          <w:tab w:leader="none" w:pos="126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All information heretofore, herein or hereafter supplied to the Secured Parties by or on behalf of any Debtor with respect to the Collateral is accurate and complete in all material respects as of the date furnished and in light of the circumstances under which such statements were made.</w:t>
      </w:r>
    </w:p>
    <w:p>
      <w:pPr>
        <w:spacing w:after="0" w:line="123" w:lineRule="exact"/>
        <w:rPr>
          <w:rFonts w:ascii="Arial" w:cs="Arial" w:eastAsia="Arial" w:hAnsi="Arial"/>
          <w:sz w:val="16"/>
          <w:szCs w:val="16"/>
          <w:color w:val="auto"/>
        </w:rPr>
      </w:pPr>
    </w:p>
    <w:p>
      <w:pPr>
        <w:ind w:left="-20" w:firstLine="656"/>
        <w:spacing w:after="0" w:line="277" w:lineRule="auto"/>
        <w:tabs>
          <w:tab w:leader="none" w:pos="145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Debtor shall at all times preserve and keep in full force and effect its existence and good standing and any rights and franchises material to its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1" w:name="page282"/>
    <w:bookmarkEnd w:id="281"/>
    <w:p>
      <w:pPr>
        <w:jc w:val="both"/>
        <w:ind w:left="-20" w:firstLine="656"/>
        <w:spacing w:after="0" w:line="259" w:lineRule="auto"/>
        <w:tabs>
          <w:tab w:leader="none" w:pos="127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Debtor will change its name, type of organization, jurisdiction of organization, organizational identification number (if it has one), legal or corporate structure, or add any new fictitious name unless it provides at least 15 days prior written notice to the Collateral Agent of such change and, at the time of such written notification, such Debtor provides any financing statements or fixture filings necessary to perfect and continue the perfection of the Security Interests granted and evidenced by this Agreement.</w:t>
      </w:r>
    </w:p>
    <w:p>
      <w:pPr>
        <w:spacing w:after="0" w:line="186" w:lineRule="exact"/>
        <w:rPr>
          <w:rFonts w:ascii="Arial" w:cs="Arial" w:eastAsia="Arial" w:hAnsi="Arial"/>
          <w:sz w:val="18"/>
          <w:szCs w:val="18"/>
          <w:color w:val="auto"/>
        </w:rPr>
      </w:pPr>
    </w:p>
    <w:p>
      <w:pPr>
        <w:ind w:left="-20" w:right="20" w:firstLine="656"/>
        <w:spacing w:after="0" w:line="308" w:lineRule="auto"/>
        <w:tabs>
          <w:tab w:leader="none" w:pos="137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Except in the ordinary course of business, no Debtor may consign any of its inventory or sell any of its inventory on bill and hold, sale or return, sale on approval, or other conditional terms of sale without the consent of the Collateral Agent which shall not be unreasonably withheld.</w:t>
      </w:r>
    </w:p>
    <w:p>
      <w:pPr>
        <w:spacing w:after="0" w:line="146" w:lineRule="exact"/>
        <w:rPr>
          <w:rFonts w:ascii="Arial" w:cs="Arial" w:eastAsia="Arial" w:hAnsi="Arial"/>
          <w:sz w:val="17"/>
          <w:szCs w:val="17"/>
          <w:color w:val="auto"/>
        </w:rPr>
      </w:pPr>
    </w:p>
    <w:p>
      <w:pPr>
        <w:jc w:val="both"/>
        <w:ind w:left="-20" w:firstLine="656"/>
        <w:spacing w:after="0" w:line="264" w:lineRule="auto"/>
        <w:tabs>
          <w:tab w:leader="none" w:pos="144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Debtor may relocate its chief executive office to a new location without providing 30 days prior written notification thereof to the Secured Parties and provided that at the time of such written notification, such Debtor provides any financing statements necessary to perfect and continue the perfection of the Security Interests granted and evidenced by this Agreement.</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38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Each Debtor was organized and remains organized solely under the laws of the state set forth next to such Debtor’s name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attached hereto, which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sets forth each Debtor’s organizational identification number or, if any Debtor does not have one, states that one does not exist.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(z)</w:t>
      </w:r>
    </w:p>
    <w:p>
      <w:pPr>
        <w:spacing w:after="0" w:line="225" w:lineRule="exact"/>
        <w:rPr>
          <w:sz w:val="20"/>
          <w:szCs w:val="20"/>
          <w:color w:val="auto"/>
        </w:rPr>
      </w:pPr>
    </w:p>
    <w:p>
      <w:pPr>
        <w:ind w:left="1900" w:hanging="615"/>
        <w:spacing w:after="0"/>
        <w:tabs>
          <w:tab w:leader="none" w:pos="1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The actual name of each Debtor is the name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900" w:hanging="615"/>
        <w:spacing w:after="0"/>
        <w:tabs>
          <w:tab w:leader="none" w:pos="1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no Debtor has any trade names except as set forth on </w:t>
      </w:r>
      <w:r>
        <w:rPr>
          <w:rFonts w:ascii="Arial" w:cs="Arial" w:eastAsia="Arial" w:hAnsi="Arial"/>
          <w:sz w:val="18"/>
          <w:szCs w:val="18"/>
          <w:u w:val="single" w:color="auto"/>
          <w:color w:val="auto"/>
        </w:rPr>
        <w:t>Schedule E</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2020" w:hanging="735"/>
        <w:spacing w:after="0"/>
        <w:tabs>
          <w:tab w:leader="none" w:pos="202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no Debtor has used any name other than that stated in the preamble hereto or as set forth on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for the preceding five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years; and</w:t>
      </w:r>
    </w:p>
    <w:p>
      <w:pPr>
        <w:spacing w:after="0" w:line="210" w:lineRule="exact"/>
        <w:rPr>
          <w:rFonts w:ascii="Arial" w:cs="Arial" w:eastAsia="Arial" w:hAnsi="Arial"/>
          <w:sz w:val="16"/>
          <w:szCs w:val="16"/>
          <w:color w:val="auto"/>
        </w:rPr>
      </w:pPr>
    </w:p>
    <w:p>
      <w:pPr>
        <w:ind w:left="1900" w:hanging="615"/>
        <w:spacing w:after="0"/>
        <w:tabs>
          <w:tab w:leader="none" w:pos="190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no entity has merged into any Debtor or been acquired by any Debtor within the past five years except as set forth on </w:t>
      </w:r>
      <w:r>
        <w:rPr>
          <w:rFonts w:ascii="Arial" w:cs="Arial" w:eastAsia="Arial" w:hAnsi="Arial"/>
          <w:sz w:val="16"/>
          <w:szCs w:val="16"/>
          <w:u w:val="single" w:color="auto"/>
          <w:color w:val="auto"/>
        </w:rPr>
        <w:t>Schedule E</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0" w:right="20" w:firstLine="656"/>
        <w:spacing w:after="0" w:line="277" w:lineRule="auto"/>
        <w:tabs>
          <w:tab w:leader="none" w:pos="134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At any time that any Collateral consists of instruments, certificated securities or other items that require or permit possession by a secured party to perfect the security interest created hereby, the applicable Debtor shall deliver such Collateral to the Collateral Agent.</w:t>
      </w:r>
    </w:p>
    <w:p>
      <w:pPr>
        <w:spacing w:after="0" w:line="170" w:lineRule="exact"/>
        <w:rPr>
          <w:rFonts w:ascii="Arial" w:cs="Arial" w:eastAsia="Arial" w:hAnsi="Arial"/>
          <w:sz w:val="18"/>
          <w:szCs w:val="18"/>
          <w:color w:val="auto"/>
        </w:rPr>
      </w:pPr>
    </w:p>
    <w:p>
      <w:pPr>
        <w:jc w:val="both"/>
        <w:ind w:left="-20" w:firstLine="656"/>
        <w:spacing w:after="0" w:line="302" w:lineRule="auto"/>
        <w:tabs>
          <w:tab w:leader="none" w:pos="137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During the continuance of an Event of Default, each Debtor, in its capacity as issuer, hereby agrees to comply with any and all orders and instructions of Collateral Agent regarding the Pledged Securities consistent with the terms of this Agreement without the further consent of any Debtor as contemplated by Section 8-106 (or any successor section) of the UCC. Further, each Debtor agrees, solely with respect to the Pledged Securities, that it shall not enter into a similar agreement (or one that would confer “control” within the meaning of Article 8 of the UCC) with any other person or entity.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2" w:name="page283"/>
    <w:bookmarkEnd w:id="282"/>
    <w:p>
      <w:pPr>
        <w:jc w:val="both"/>
        <w:ind w:left="-20" w:firstLine="656"/>
        <w:spacing w:after="0" w:line="259" w:lineRule="auto"/>
        <w:tabs>
          <w:tab w:leader="none" w:pos="138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Debtor shall cause all tangible chattel paper constituting Collateral to be delivered to the Collateral Agent or, if such delivery is not possible, then to cause such tangible chattel paper to contain a legend noting that it is subject to the security interest created by this Agreement. To the extent that any Collateral consists of electronic chattel paper, the applicable Debtor shall cause the underlying chattel paper to be “marked” within the meaning of Section 9-105 of the UCC (or successor section thereto).</w:t>
      </w:r>
    </w:p>
    <w:p>
      <w:pPr>
        <w:spacing w:after="0" w:line="186" w:lineRule="exact"/>
        <w:rPr>
          <w:rFonts w:ascii="Arial" w:cs="Arial" w:eastAsia="Arial" w:hAnsi="Arial"/>
          <w:sz w:val="18"/>
          <w:szCs w:val="18"/>
          <w:color w:val="auto"/>
        </w:rPr>
      </w:pPr>
    </w:p>
    <w:p>
      <w:pPr>
        <w:jc w:val="both"/>
        <w:ind w:left="-20" w:firstLine="656"/>
        <w:spacing w:after="0" w:line="312" w:lineRule="auto"/>
        <w:tabs>
          <w:tab w:leader="none" w:pos="133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there is any investment property or deposit account included as Collateral that can be perfected by “control” through an account control agreement, the applicable Debtor shall at the request of the Collateral Agent cause such an account control agreement, in form and substance in each case reasonably satisfactory to the Collateral Agent, to be entered into and delivered to the Collateral Agent for the benefit of the Secured Parties.</w:t>
      </w:r>
    </w:p>
    <w:p>
      <w:pPr>
        <w:spacing w:after="0" w:line="146" w:lineRule="exact"/>
        <w:rPr>
          <w:rFonts w:ascii="Arial" w:cs="Arial" w:eastAsia="Arial" w:hAnsi="Arial"/>
          <w:sz w:val="16"/>
          <w:szCs w:val="16"/>
          <w:color w:val="auto"/>
        </w:rPr>
      </w:pPr>
    </w:p>
    <w:p>
      <w:pPr>
        <w:ind w:left="-20" w:firstLine="656"/>
        <w:spacing w:after="0" w:line="277" w:lineRule="auto"/>
        <w:tabs>
          <w:tab w:leader="none" w:pos="133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the extent that any Collateral consists of letter-of-credit rights, the applicable Debtor shall cause the issuer of each underlying letter of credit to consent to an assignment of the proceeds thereof to the Secured Parties.</w:t>
      </w:r>
    </w:p>
    <w:p>
      <w:pPr>
        <w:spacing w:after="0" w:line="170" w:lineRule="exact"/>
        <w:rPr>
          <w:rFonts w:ascii="Arial" w:cs="Arial" w:eastAsia="Arial" w:hAnsi="Arial"/>
          <w:sz w:val="18"/>
          <w:szCs w:val="18"/>
          <w:color w:val="auto"/>
        </w:rPr>
      </w:pPr>
    </w:p>
    <w:p>
      <w:pPr>
        <w:jc w:val="both"/>
        <w:ind w:left="-20" w:firstLine="656"/>
        <w:spacing w:after="0" w:line="312" w:lineRule="auto"/>
        <w:tabs>
          <w:tab w:leader="none" w:pos="14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To the extent that any Collateral is in the possession of any third party, the applicable Debtor shall join with the Collateral Agent in notifying such third party of the Secured Parties’ security interest in such Collateral and shall use commercially reasonable efforts to obtain an acknowledgement and agreement from such third party with respect to the Collateral, in form and substance reasonably satisfactory to the Collateral Agent.</w:t>
      </w:r>
    </w:p>
    <w:p>
      <w:pPr>
        <w:spacing w:after="0" w:line="146" w:lineRule="exact"/>
        <w:rPr>
          <w:rFonts w:ascii="Arial" w:cs="Arial" w:eastAsia="Arial" w:hAnsi="Arial"/>
          <w:sz w:val="16"/>
          <w:szCs w:val="16"/>
          <w:color w:val="auto"/>
        </w:rPr>
      </w:pPr>
    </w:p>
    <w:p>
      <w:pPr>
        <w:jc w:val="both"/>
        <w:ind w:left="-20" w:firstLine="656"/>
        <w:spacing w:after="0" w:line="264" w:lineRule="auto"/>
        <w:tabs>
          <w:tab w:leader="none" w:pos="13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any Debtor shall at any time hold or acquire a commercial tort claim, such Debtor shall promptly notify the Secured Parties in a writing signed by such Debtor of the particulars thereof and grant to the Secured Parties in such writing a security interest therein and in the proceeds thereof, all upon the terms of this Agreement, with such writing to be in form and substance satisfactory to the Collateral Agent.</w:t>
      </w:r>
    </w:p>
    <w:p>
      <w:pPr>
        <w:spacing w:after="0" w:line="181" w:lineRule="exact"/>
        <w:rPr>
          <w:rFonts w:ascii="Arial" w:cs="Arial" w:eastAsia="Arial" w:hAnsi="Arial"/>
          <w:sz w:val="18"/>
          <w:szCs w:val="18"/>
          <w:color w:val="auto"/>
        </w:rPr>
      </w:pPr>
    </w:p>
    <w:p>
      <w:pPr>
        <w:jc w:val="both"/>
        <w:ind w:left="-20" w:firstLine="656"/>
        <w:spacing w:after="0" w:line="257" w:lineRule="auto"/>
        <w:tabs>
          <w:tab w:leader="none" w:pos="138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Debtor shall promptly provide written notice to the Collateral Agent of any and all accounts which arise out of contracts with any governmental authority and, to the extent necessary to perfect or continue the perfected status of the Security Interests in such accounts and proceeds thereof, shall execute and deliver to the Collateral Agent an assignment of claims for such accounts and cooperate with the Collateral Agent in taking any other steps required, in its judgment, under the Federal Assignment of Claims Act or any similar federal, state or local statute or rule to perfect or continue the perfected status of the Security Interests in such accounts and proceeds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3" w:name="page284"/>
    <w:bookmarkEnd w:id="283"/>
    <w:p>
      <w:pPr>
        <w:jc w:val="both"/>
        <w:ind w:left="-20" w:firstLine="656"/>
        <w:spacing w:after="0" w:line="287" w:lineRule="auto"/>
        <w:tabs>
          <w:tab w:leader="none" w:pos="143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Company shall cause each wholly-owned domestic subsidiary of the Company formed or acquired after the date hereof (that has become a Grantor under the Senior Security Agreement) to promptly become a party hereto (an “</w:t>
      </w:r>
      <w:r>
        <w:rPr>
          <w:rFonts w:ascii="Arial" w:cs="Arial" w:eastAsia="Arial" w:hAnsi="Arial"/>
          <w:sz w:val="16"/>
          <w:szCs w:val="16"/>
          <w:u w:val="single" w:color="auto"/>
          <w:color w:val="auto"/>
        </w:rPr>
        <w:t>Additional Debtor</w:t>
      </w:r>
      <w:r>
        <w:rPr>
          <w:rFonts w:ascii="Arial" w:cs="Arial" w:eastAsia="Arial" w:hAnsi="Arial"/>
          <w:sz w:val="16"/>
          <w:szCs w:val="16"/>
          <w:color w:val="auto"/>
        </w:rPr>
        <w:t xml:space="preserve">”), by executing and delivering an Additional Debtor Joinder substantially in the form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attached hereto and comply with the provisions hereof applicable to the Debtors. Concurrent therewith, the Additional Debtor shall deliver replacement schedules for, or supplements to all other Disclosure Schedules to (or referred to in) this Agreement, as applicable, which replacement schedules shall supersede, or supplements shall modify, the Schedules then in effect. The Additional Debtor shall also deliver such opinions of counsel, authorizing resolutions, good standing certificates, incumbency certificates, organizational documents, financing statements and other information and documentation as the Collateral Agent may reasonably request. Upon delivery of the foregoing to the Collateral Agent, the Additional Debtor shall be and become a party to this Agreement with the same rights and obligations as the Debtors, for all purposes hereof as fully and to the same extent as if it were an original signatory hereto and shall be deemed to have made the representations, warranties and covenants set forth herein as of the date of execution and delivery of such Additional Debtor Joinder (other than representations and warranties that specifically refer to an earlier date), and all references herein to the “Debtors” shall be deemed to include each Additional Debtor.</w:t>
      </w:r>
    </w:p>
    <w:p>
      <w:pPr>
        <w:spacing w:after="0" w:line="172" w:lineRule="exact"/>
        <w:rPr>
          <w:rFonts w:ascii="Arial" w:cs="Arial" w:eastAsia="Arial" w:hAnsi="Arial"/>
          <w:sz w:val="16"/>
          <w:szCs w:val="16"/>
          <w:color w:val="auto"/>
        </w:rPr>
      </w:pPr>
    </w:p>
    <w:p>
      <w:pPr>
        <w:ind w:left="1260" w:hanging="624"/>
        <w:spacing w:after="0"/>
        <w:tabs>
          <w:tab w:leader="none" w:pos="12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Debtor shall vote the Pledged Securities to comply with the covenants and agreements set forth herein and in the Notes.</w:t>
      </w:r>
    </w:p>
    <w:p>
      <w:pPr>
        <w:spacing w:after="0" w:line="225" w:lineRule="exact"/>
        <w:rPr>
          <w:rFonts w:ascii="Arial" w:cs="Arial" w:eastAsia="Arial" w:hAnsi="Arial"/>
          <w:sz w:val="18"/>
          <w:szCs w:val="18"/>
          <w:color w:val="auto"/>
        </w:rPr>
      </w:pPr>
    </w:p>
    <w:p>
      <w:pPr>
        <w:jc w:val="both"/>
        <w:ind w:left="-20" w:firstLine="656"/>
        <w:spacing w:after="0" w:line="290" w:lineRule="auto"/>
        <w:tabs>
          <w:tab w:leader="none" w:pos="126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Each Debtor shall register the pledge of the applicable Pledged Securities on the books of such Debtor. Each Debtor shall notify each issuer of Pledged Securities to register the pledge of the applicable Pledged Securities in the name of the Collateral Agent on the books of such issuer. Further, except with respect to certificated securities delivered to the Collateral Agent, the applicable Debtor shall deliver to Collateral Agent an acknowledgement of pledge (which, where appropriate, shall comply with the requirements of the relevant UCC with respect to perfection by registration) signed by the issuer of the applicable Pledged Securities, which acknowledgement shall confirm that: (a) it has registered the pledge on its books and records; and (b) at any time directed by Collateral Agent during the continuation of an Event of Default, such issuer will transfer the record ownership of such Pledged Securities into the name of any designee of the Collateral Agent, will take such steps as may be necessary to effect the transfer, and will comply with all other instructions of the Collateral Agent regarding such Pledged Securities without the further consent of the applicable Debtor.</w:t>
      </w:r>
    </w:p>
    <w:p>
      <w:pPr>
        <w:spacing w:after="0" w:line="166" w:lineRule="exact"/>
        <w:rPr>
          <w:rFonts w:ascii="Arial" w:cs="Arial" w:eastAsia="Arial" w:hAnsi="Arial"/>
          <w:sz w:val="16"/>
          <w:szCs w:val="16"/>
          <w:color w:val="auto"/>
        </w:rPr>
      </w:pPr>
    </w:p>
    <w:p>
      <w:pPr>
        <w:jc w:val="both"/>
        <w:ind w:left="-20" w:firstLine="656"/>
        <w:spacing w:after="0" w:line="253" w:lineRule="auto"/>
        <w:tabs>
          <w:tab w:leader="none" w:pos="127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the event that, upon an occurrence of an Event of Default, Collateral Agent shall sell all or any of the Pledged Securities to another party or parties (herein called the “</w:t>
      </w:r>
      <w:r>
        <w:rPr>
          <w:rFonts w:ascii="Arial" w:cs="Arial" w:eastAsia="Arial" w:hAnsi="Arial"/>
          <w:sz w:val="18"/>
          <w:szCs w:val="18"/>
          <w:u w:val="single" w:color="auto"/>
          <w:color w:val="auto"/>
        </w:rPr>
        <w:t>Transferee</w:t>
      </w:r>
      <w:r>
        <w:rPr>
          <w:rFonts w:ascii="Arial" w:cs="Arial" w:eastAsia="Arial" w:hAnsi="Arial"/>
          <w:sz w:val="18"/>
          <w:szCs w:val="18"/>
          <w:color w:val="auto"/>
        </w:rPr>
        <w:t>”) or shall purchase or retain all or any of the Pledged Securities, each Debtor shall, to the extent applicable: (i) deliver to Collateral Agent or the Transferee, as the case may be, the articles of incorporation, bylaws, minute books, stock certificate books, corporate seals, deeds, leases, indentures, agreements, evidences of indebtedness, books of account, financial records and all other Organizational Documents and records of the Debtors and their direct and indirect subsidiaries; (ii) use its commercially reasonable efforts to obtain resignations of the persons then serving as officers and directors of the Debtors and their direct and indirect subsidiaries, if so requested; and (iii) use its commercially reasonable efforts to obtain any approvals that are required by any governmental or regulatory body in order to permit the sale of the Pledged Securities to the Transferee or the purchase or retention of the Pledged Securities by Collateral Agent and allow the Transferee or Collateral Agent to continue the business of the Debtors and their direct and indirect subsidiaries.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4" w:name="page285"/>
    <w:bookmarkEnd w:id="284"/>
    <w:p>
      <w:pPr>
        <w:ind w:left="1352" w:hanging="704"/>
        <w:spacing w:after="0"/>
        <w:tabs>
          <w:tab w:leader="none" w:pos="1352" w:val="left"/>
        </w:tabs>
        <w:numPr>
          <w:ilvl w:val="1"/>
          <w:numId w:val="295"/>
        </w:numPr>
        <w:rPr>
          <w:rFonts w:ascii="Arial" w:cs="Arial" w:eastAsia="Arial" w:hAnsi="Arial"/>
          <w:sz w:val="16"/>
          <w:szCs w:val="16"/>
          <w:color w:val="auto"/>
        </w:rPr>
      </w:pPr>
      <w:r>
        <w:rPr>
          <w:rFonts w:ascii="Arial" w:cs="Arial" w:eastAsia="Arial" w:hAnsi="Arial"/>
          <w:sz w:val="16"/>
          <w:szCs w:val="16"/>
          <w:color w:val="auto"/>
        </w:rPr>
        <w:t>Other than with respect to Excluded IP, without limiting the generality of the other obligations of the Debtors hereunder, each Debtor shall</w:t>
      </w:r>
    </w:p>
    <w:p>
      <w:pPr>
        <w:spacing w:after="0" w:line="46" w:lineRule="exact"/>
        <w:rPr>
          <w:rFonts w:ascii="Arial" w:cs="Arial" w:eastAsia="Arial" w:hAnsi="Arial"/>
          <w:sz w:val="16"/>
          <w:szCs w:val="16"/>
          <w:color w:val="auto"/>
        </w:rPr>
      </w:pPr>
    </w:p>
    <w:p>
      <w:pPr>
        <w:jc w:val="both"/>
        <w:ind w:left="-8" w:firstLine="8"/>
        <w:spacing w:after="0" w:line="254" w:lineRule="auto"/>
        <w:tabs>
          <w:tab w:leader="none" w:pos="21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cause to be registered at the United States Copyright Office all of its material copyrights, (ii) cause the security interest contemplated hereby with respect to all Intellectual Property registered at the United States Copyright Office or United States Patent and Trademark Office to be duly recorded at the applicable office, and (iii) give the Collateral Agent notice whenever it acquires (whether absolutely or by license) or creates any additional material Intellectual Property.</w:t>
      </w:r>
    </w:p>
    <w:p>
      <w:pPr>
        <w:spacing w:after="0" w:line="189" w:lineRule="exact"/>
        <w:rPr>
          <w:rFonts w:ascii="Arial" w:cs="Arial" w:eastAsia="Arial" w:hAnsi="Arial"/>
          <w:sz w:val="18"/>
          <w:szCs w:val="18"/>
          <w:color w:val="auto"/>
        </w:rPr>
      </w:pPr>
    </w:p>
    <w:p>
      <w:pPr>
        <w:jc w:val="both"/>
        <w:ind w:left="-8" w:firstLine="656"/>
        <w:spacing w:after="0" w:line="257" w:lineRule="auto"/>
        <w:tabs>
          <w:tab w:leader="none" w:pos="151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Each Debtor will from time to time, at the joint and several expense of the Debtors, promptly execute and deliver all such further instruments and documents, and take all such further action as may be reasonably necessary or desirable, or as the Collateral Agent may reasonably request, in order to perfect (other than with respect to Excluded IP) and protect any security interest granted or purported to be granted hereby or to enable the Collateral Agent to exercise and enforce Collateral Agent’s rights and remedies hereunder and with respect to any Collateral or to otherwise carry out the purposes of this Agreement.</w:t>
      </w:r>
    </w:p>
    <w:p>
      <w:pPr>
        <w:spacing w:after="0" w:line="188" w:lineRule="exact"/>
        <w:rPr>
          <w:rFonts w:ascii="Arial" w:cs="Arial" w:eastAsia="Arial" w:hAnsi="Arial"/>
          <w:sz w:val="18"/>
          <w:szCs w:val="18"/>
          <w:color w:val="auto"/>
        </w:rPr>
      </w:pPr>
    </w:p>
    <w:p>
      <w:pPr>
        <w:jc w:val="both"/>
        <w:ind w:left="-8" w:firstLine="656"/>
        <w:spacing w:after="0" w:line="276" w:lineRule="auto"/>
        <w:tabs>
          <w:tab w:leader="none" w:pos="1476"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Schedule F</w:t>
      </w:r>
      <w:r>
        <w:rPr>
          <w:rFonts w:ascii="Arial" w:cs="Arial" w:eastAsia="Arial" w:hAnsi="Arial"/>
          <w:sz w:val="17"/>
          <w:szCs w:val="17"/>
          <w:color w:val="auto"/>
        </w:rPr>
        <w:t xml:space="preserve"> attached hereto lists all of the patents, patent applications, trademarks, trademark applications, registered copyrights, and domain names owned by any of the Debtors as of the date hereof, other than with respect to Excluded IP. </w:t>
      </w:r>
      <w:r>
        <w:rPr>
          <w:rFonts w:ascii="Arial" w:cs="Arial" w:eastAsia="Arial" w:hAnsi="Arial"/>
          <w:sz w:val="17"/>
          <w:szCs w:val="17"/>
          <w:u w:val="single" w:color="auto"/>
          <w:color w:val="auto"/>
        </w:rPr>
        <w:t>Schedule F</w:t>
      </w:r>
      <w:r>
        <w:rPr>
          <w:rFonts w:ascii="Arial" w:cs="Arial" w:eastAsia="Arial" w:hAnsi="Arial"/>
          <w:sz w:val="17"/>
          <w:szCs w:val="17"/>
          <w:color w:val="auto"/>
        </w:rPr>
        <w:t xml:space="preserve"> lists all material licenses in favor of any Debtor for the use of any patents, trademarks, copyrights and domain names as of the date hereof, other than with respect to Excluded IP. All material patents and trademarks of the Debtors have been duly recorded at the United States Patent and Trademark Office and all material copyrights of the Debtors have been duly recorded at the United States Copyright Office, other than with respect to Excluded IP.</w:t>
      </w:r>
    </w:p>
    <w:p>
      <w:pPr>
        <w:spacing w:after="0" w:line="172" w:lineRule="exact"/>
        <w:rPr>
          <w:rFonts w:ascii="Arial" w:cs="Arial" w:eastAsia="Arial" w:hAnsi="Arial"/>
          <w:sz w:val="17"/>
          <w:szCs w:val="17"/>
          <w:color w:val="auto"/>
        </w:rPr>
      </w:pPr>
    </w:p>
    <w:p>
      <w:pPr>
        <w:jc w:val="both"/>
        <w:ind w:left="-8" w:firstLine="656"/>
        <w:spacing w:after="0" w:line="342" w:lineRule="auto"/>
        <w:tabs>
          <w:tab w:leader="none" w:pos="130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G</w:t>
      </w:r>
      <w:r>
        <w:rPr>
          <w:rFonts w:ascii="Arial" w:cs="Arial" w:eastAsia="Arial" w:hAnsi="Arial"/>
          <w:sz w:val="16"/>
          <w:szCs w:val="16"/>
          <w:color w:val="auto"/>
        </w:rPr>
        <w:t xml:space="preserve"> attached hereto, none of the account debtors or other persons or entities obligated on any of the Collateral is a governmental authority covered by the Federal Assignment of Claims Act or any similar federal, state or local statute or rule in respect of such Collateral.</w:t>
      </w:r>
    </w:p>
    <w:p>
      <w:pPr>
        <w:spacing w:after="0" w:line="123" w:lineRule="exact"/>
        <w:rPr>
          <w:rFonts w:ascii="Arial" w:cs="Arial" w:eastAsia="Arial" w:hAnsi="Arial"/>
          <w:sz w:val="16"/>
          <w:szCs w:val="16"/>
          <w:color w:val="auto"/>
        </w:rPr>
      </w:pPr>
    </w:p>
    <w:p>
      <w:pPr>
        <w:ind w:left="-8" w:right="20" w:firstLine="656"/>
        <w:spacing w:after="0" w:line="277" w:lineRule="auto"/>
        <w:tabs>
          <w:tab w:leader="none" w:pos="134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No material assets relating to the business of providing spa services are held by XpresSpa Group, Inc. or any of its subsidiaries other than the Company and its direct and indirect subsidiaries.</w:t>
      </w:r>
    </w:p>
    <w:p>
      <w:pPr>
        <w:spacing w:after="0" w:line="170" w:lineRule="exact"/>
        <w:rPr>
          <w:rFonts w:ascii="Arial" w:cs="Arial" w:eastAsia="Arial" w:hAnsi="Arial"/>
          <w:sz w:val="18"/>
          <w:szCs w:val="18"/>
          <w:color w:val="auto"/>
        </w:rPr>
      </w:pPr>
    </w:p>
    <w:p>
      <w:pPr>
        <w:jc w:val="both"/>
        <w:ind w:left="-8" w:firstLine="656"/>
        <w:spacing w:after="0" w:line="257" w:lineRule="auto"/>
        <w:tabs>
          <w:tab w:leader="none" w:pos="13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Debtors shall ensure that within 10 Business Days following the date hereof (“Pledge Date”), XpresSpa Group, Inc. shall provide a pledge on terms reasonably satisfactory to the Collateral Agent of all of the equity interests it holds in XpresSpa Holdings, LLC (the “Group Pledge”) to secure the Obligations as described hereunder and to secure the Obligations (as defined in the Senior Security Agreement), in each case, with the same priority and relative rights as the security interests set forth hereunder and in the Senior Security Agreement. Failure to obtain the Group Pledge by the Pledge Date shall be an Event of Default under this Agreement and the Notes.</w:t>
      </w:r>
    </w:p>
    <w:p>
      <w:pPr>
        <w:spacing w:after="0" w:line="184" w:lineRule="exact"/>
        <w:rPr>
          <w:sz w:val="20"/>
          <w:szCs w:val="20"/>
          <w:color w:val="auto"/>
        </w:rPr>
      </w:pPr>
    </w:p>
    <w:p>
      <w:pPr>
        <w:jc w:val="both"/>
        <w:ind w:left="-8" w:firstLine="8"/>
        <w:spacing w:after="0" w:line="256" w:lineRule="auto"/>
        <w:tabs>
          <w:tab w:leader="none" w:pos="89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Effect of Pledge on Certain Rights</w:t>
      </w:r>
      <w:r>
        <w:rPr>
          <w:rFonts w:ascii="Arial" w:cs="Arial" w:eastAsia="Arial" w:hAnsi="Arial"/>
          <w:sz w:val="18"/>
          <w:szCs w:val="18"/>
          <w:color w:val="auto"/>
        </w:rPr>
        <w:t>. If any of the Collateral subject to this Agreement consists of nonvoting equity or ownership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class, designation, preference or rights) that may be converted into voting equity or ownership interests upon the occurrence of certain events (including, without limitation, upon the transfer of all or any of the other stock or assets of the issuer), it is agreed that the pledge of such equity or ownership interests pursuant to this Agreement or the enforcement of any of Collateral Agent’s rights hereunder shall not be deemed to be the type of event which would trigger such conversion rights notwithstanding any provisions in the Organizational Documents or agreements to which any Debtor is subject or to which any Debtor is party.</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85" w:name="page286"/>
    <w:bookmarkEnd w:id="285"/>
    <w:p>
      <w:pPr>
        <w:ind w:left="632" w:hanging="632"/>
        <w:spacing w:after="0"/>
        <w:tabs>
          <w:tab w:leader="none" w:pos="63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Defaults</w:t>
      </w:r>
      <w:r>
        <w:rPr>
          <w:rFonts w:ascii="Arial" w:cs="Arial" w:eastAsia="Arial" w:hAnsi="Arial"/>
          <w:sz w:val="18"/>
          <w:szCs w:val="18"/>
          <w:color w:val="auto"/>
        </w:rPr>
        <w:t>. The following events shall be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92" w:hanging="644"/>
        <w:spacing w:after="0"/>
        <w:tabs>
          <w:tab w:leader="none" w:pos="129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occurrence of an Event of Default (as defined in the Notes) under the Notes;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Any representation or warranty of any Debtor in this Agreement shall prove to have been incorrect in any material respect when made;</w:t>
      </w:r>
    </w:p>
    <w:p>
      <w:pPr>
        <w:spacing w:after="0" w:line="236" w:lineRule="exact"/>
        <w:rPr>
          <w:rFonts w:ascii="Arial" w:cs="Arial" w:eastAsia="Arial" w:hAnsi="Arial"/>
          <w:sz w:val="17"/>
          <w:szCs w:val="17"/>
          <w:color w:val="auto"/>
        </w:rPr>
      </w:pPr>
    </w:p>
    <w:p>
      <w:pPr>
        <w:jc w:val="both"/>
        <w:ind w:left="-8" w:firstLine="656"/>
        <w:spacing w:after="0" w:line="264" w:lineRule="auto"/>
        <w:tabs>
          <w:tab w:leader="none" w:pos="135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failure by any Debtor to observe or perform any of its obligations hereunder for five (5) days after delivery to such Debtor of written notice of such failure by or on behalf of a Secured Party or ten (10) days after Debtor otherwise becomes aware of such non-observance or non-performance; or</w:t>
      </w:r>
    </w:p>
    <w:p>
      <w:pPr>
        <w:spacing w:after="0" w:line="181" w:lineRule="exact"/>
        <w:rPr>
          <w:rFonts w:ascii="Arial" w:cs="Arial" w:eastAsia="Arial" w:hAnsi="Arial"/>
          <w:sz w:val="18"/>
          <w:szCs w:val="18"/>
          <w:color w:val="auto"/>
        </w:rPr>
      </w:pPr>
    </w:p>
    <w:p>
      <w:pPr>
        <w:jc w:val="both"/>
        <w:ind w:left="-8" w:firstLine="656"/>
        <w:spacing w:after="0" w:line="259" w:lineRule="auto"/>
        <w:tabs>
          <w:tab w:leader="none" w:pos="131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any material provision of this Agreement shall at any time for any reason be declared to be null and void, or the validity or enforceability thereof shall be contested by any Debtor, or a proceeding shall be commenced by any Debtor, or by any governmental authority having jurisdiction over any Debtor, seeking to establish the invalidity or unenforceability thereof, or any Debtor shall deny that any Debtor has any liability or obligation purported to be created under this Agreement.</w:t>
      </w:r>
    </w:p>
    <w:p>
      <w:pPr>
        <w:spacing w:after="0" w:line="182" w:lineRule="exact"/>
        <w:rPr>
          <w:rFonts w:ascii="Arial" w:cs="Arial" w:eastAsia="Arial" w:hAnsi="Arial"/>
          <w:sz w:val="18"/>
          <w:szCs w:val="18"/>
          <w:color w:val="auto"/>
        </w:rPr>
      </w:pPr>
    </w:p>
    <w:p>
      <w:pPr>
        <w:ind w:left="632" w:hanging="632"/>
        <w:spacing w:after="0"/>
        <w:tabs>
          <w:tab w:leader="none" w:pos="63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Duty to Hold In Trust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656"/>
        <w:spacing w:after="0" w:line="255" w:lineRule="auto"/>
        <w:tabs>
          <w:tab w:leader="none" w:pos="139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During the continuance of an Event of Default, each Debtor shall, upon receipt of any revenue, income, dividend, interest or other sums subject to the Security Interests, whether payable pursuant to the Notes or otherwise, or of any check, draft, note, trade acceptance or other instrument evidencing an obligation to pay any such sum, hold the same in trust for the Secured Parties and shall forthwith endorse and transfer any such sums or instruments, or both, to the Collateral Agent for distribution to the Secured Parties, pro-rata in proportion to their respective then-currently outstanding principal amount of Notes for application to the satisfaction of the Obligations (and if any Note is not outstanding, pro-rata in proportion to the initial purchases of the remaining Notes).</w:t>
      </w:r>
    </w:p>
    <w:p>
      <w:pPr>
        <w:spacing w:after="0" w:line="193" w:lineRule="exact"/>
        <w:rPr>
          <w:rFonts w:ascii="Arial" w:cs="Arial" w:eastAsia="Arial" w:hAnsi="Arial"/>
          <w:sz w:val="18"/>
          <w:szCs w:val="18"/>
          <w:color w:val="auto"/>
        </w:rPr>
      </w:pPr>
    </w:p>
    <w:p>
      <w:pPr>
        <w:jc w:val="both"/>
        <w:ind w:left="-8" w:firstLine="656"/>
        <w:spacing w:after="0" w:line="271" w:lineRule="auto"/>
        <w:tabs>
          <w:tab w:leader="none" w:pos="1453" w:val="left"/>
        </w:tabs>
        <w:numPr>
          <w:ilvl w:val="1"/>
          <w:numId w:val="298"/>
        </w:numPr>
        <w:rPr>
          <w:rFonts w:ascii="Arial" w:cs="Arial" w:eastAsia="Arial" w:hAnsi="Arial"/>
          <w:sz w:val="17"/>
          <w:szCs w:val="17"/>
          <w:color w:val="auto"/>
        </w:rPr>
      </w:pPr>
      <w:r>
        <w:rPr>
          <w:rFonts w:ascii="Arial" w:cs="Arial" w:eastAsia="Arial" w:hAnsi="Arial"/>
          <w:sz w:val="17"/>
          <w:szCs w:val="17"/>
          <w:color w:val="auto"/>
        </w:rPr>
        <w:t>If any Debtor shall become entitled to receive or shall receive any securities or other property (including, without limitation, shares of Pledged Securities or instruments representing Pledged Securities acquired after the date hereof, or any options, warrants, rights or other similar property or certificates representing a dividend, or any distribution in connection with any recapitalization, reclassification or increase or reduction of capital, or issued in connection with any reorganization of such Debtor or any of its direct or indirect subsidiaries) in respect of the Pledged Securities (whether as an addition to, in substitution of, or in exchange for, such Pledged Securities or otherwise), such Debtor agrees to (i) hold the same in trust on behalf of and for the benefit of the Secured Parties; and (ii) to deliver any and all certificates or instruments evidencing the same to Collateral Agent on or before the close of business on the fifth Business Day following the receipt thereof by such Debtor, in the exact form received together with the Necessary Endorsements, to be held by Collateral Agent subject to the terms of this Agreement as Collateral.</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286" w:name="page287"/>
    <w:bookmarkEnd w:id="286"/>
    <w:p>
      <w:pPr>
        <w:ind w:left="632" w:hanging="632"/>
        <w:spacing w:after="0"/>
        <w:tabs>
          <w:tab w:leader="none" w:pos="632"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Rights and Remedies Upon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656"/>
        <w:spacing w:after="0" w:line="264" w:lineRule="auto"/>
        <w:tabs>
          <w:tab w:leader="none" w:pos="140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After the occurrence and during the continuance of any Event of Default, the Collateral Agent shall have the right to exercise all of the remedies conferred hereunder and under the Notes, and the Collateral Agent shall have all the rights and remedies of a secured party under the UCC. Without limitation, the Collateral Agent, for the benefit of the Secured Parties, shall have the following rights and powers:</w:t>
      </w:r>
    </w:p>
    <w:p>
      <w:pPr>
        <w:spacing w:after="0" w:line="181" w:lineRule="exact"/>
        <w:rPr>
          <w:rFonts w:ascii="Arial" w:cs="Arial" w:eastAsia="Arial" w:hAnsi="Arial"/>
          <w:sz w:val="18"/>
          <w:szCs w:val="18"/>
          <w:color w:val="auto"/>
        </w:rPr>
      </w:pPr>
    </w:p>
    <w:p>
      <w:pPr>
        <w:jc w:val="both"/>
        <w:ind w:left="652" w:firstLine="645"/>
        <w:spacing w:after="0" w:line="273" w:lineRule="auto"/>
        <w:tabs>
          <w:tab w:leader="none" w:pos="1921"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Collateral Agent shall have the right to take possession of the Collateral and, for that purpose, enter, with the aid and assistance of any person, any premises where the Collateral, or any part thereof, is or may be placed and remove the same, so long as the same can be accomplished without breach of the peace and otherwise in compliance with applicable law, and each Debtor shall assemble the Collateral and make it available to the Collateral Agent at places which the Collateral Agent shall reasonably select, whether at such Debtor’s premises or elsewhere, and make available to the Collateral Agent, without rent, all of such Debtor’s respective premises and facilities for the purpose of the Collateral Agent taking possession of, removing or putting the Collateral in saleable or disposable form.</w:t>
      </w:r>
    </w:p>
    <w:p>
      <w:pPr>
        <w:spacing w:after="0" w:line="178" w:lineRule="exact"/>
        <w:rPr>
          <w:rFonts w:ascii="Arial" w:cs="Arial" w:eastAsia="Arial" w:hAnsi="Arial"/>
          <w:sz w:val="17"/>
          <w:szCs w:val="17"/>
          <w:color w:val="auto"/>
        </w:rPr>
      </w:pPr>
    </w:p>
    <w:p>
      <w:pPr>
        <w:jc w:val="both"/>
        <w:ind w:left="652" w:firstLine="645"/>
        <w:spacing w:after="0" w:line="290" w:lineRule="auto"/>
        <w:tabs>
          <w:tab w:leader="none" w:pos="1925" w:val="left"/>
        </w:tabs>
        <w:numPr>
          <w:ilvl w:val="2"/>
          <w:numId w:val="299"/>
        </w:numPr>
        <w:rPr>
          <w:rFonts w:ascii="Arial" w:cs="Arial" w:eastAsia="Arial" w:hAnsi="Arial"/>
          <w:sz w:val="16"/>
          <w:szCs w:val="16"/>
          <w:color w:val="auto"/>
        </w:rPr>
      </w:pPr>
      <w:r>
        <w:rPr>
          <w:rFonts w:ascii="Arial" w:cs="Arial" w:eastAsia="Arial" w:hAnsi="Arial"/>
          <w:sz w:val="16"/>
          <w:szCs w:val="16"/>
          <w:color w:val="auto"/>
        </w:rPr>
        <w:t>Upon notice to the Debtors by Collateral Agent, all rights of each Debtor to exercise the voting and other consensual rights which it would otherwise be entitled to exercise and all rights of each Debtor to receive the dividends and interest which it would otherwise be authorized to receive and retain, shall cease. Upon such notice, Collateral Agent shall have the right to receive, for the benefit of the Secured Parties, any interest, cash dividends or other payments on the Collateral and, at the option of Collateral Agent, to exercise in such Collateral Agent’s discretion all voting rights pertaining thereto. Without limiting the generality of the foregoing, Collateral Agent shall have the right (but not the obligation) to exercise all rights with respect to the Collateral as if it were the sole and absolute owner thereof, including, without limitation, to vote and/or to exchange, at its sole discretion, any or all of the Collateral in connection with a merger, reorganization, consolidation, recapitalization or other readjustment concerning or involving the Collateral or any Debtor or any of its direct or indirect subsidiaries.</w:t>
      </w:r>
    </w:p>
    <w:p>
      <w:pPr>
        <w:spacing w:after="0" w:line="166" w:lineRule="exact"/>
        <w:rPr>
          <w:rFonts w:ascii="Arial" w:cs="Arial" w:eastAsia="Arial" w:hAnsi="Arial"/>
          <w:sz w:val="16"/>
          <w:szCs w:val="16"/>
          <w:color w:val="auto"/>
        </w:rPr>
      </w:pPr>
    </w:p>
    <w:p>
      <w:pPr>
        <w:jc w:val="both"/>
        <w:ind w:left="652" w:firstLine="645"/>
        <w:spacing w:after="0" w:line="272" w:lineRule="auto"/>
        <w:tabs>
          <w:tab w:leader="none" w:pos="1944"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Collateral Agent shall have the right to seek an Order from a court appointing a Trustee to operate the business of each Debtor using the Collateral and shall have the right to assign, sell, lease or otherwise dispose of and deliver all or any part of the Collateral, at public or private sale or otherwise, either with or without special conditions or stipulations, for cash or on credit or for future delivery, in such parcel or parcels and at such time or times and at such place or places, and upon such terms and conditions as are commercially reasonable. Upon each such sale, lease, assignment or other transfer or disposition of Collateral, the Collateral Agent, for the benefit of the Secured Parties, may, unless prohibited by applicable law which cannot be waived, purchase all or any part of the Collateral being sold, free from and discharged of all trusts, claims, right of redemption and equities of any Debtor, which are hereby waived and released.</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287" w:name="page288"/>
    <w:bookmarkEnd w:id="287"/>
    <w:p>
      <w:pPr>
        <w:jc w:val="both"/>
        <w:ind w:left="640" w:right="20" w:firstLine="645"/>
        <w:spacing w:after="0" w:line="264" w:lineRule="auto"/>
        <w:tabs>
          <w:tab w:leader="none" w:pos="193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Collateral Agent shall have the right (but not the obligation) to notify any account debtors and any obligors under instruments or accounts to make payments directly to the Collateral Agent, on behalf of the Secured Parties, and to enforce the Debtors’ rights against such account debtors and obligors.</w:t>
      </w:r>
    </w:p>
    <w:p>
      <w:pPr>
        <w:spacing w:after="0" w:line="181" w:lineRule="exact"/>
        <w:rPr>
          <w:rFonts w:ascii="Arial" w:cs="Arial" w:eastAsia="Arial" w:hAnsi="Arial"/>
          <w:sz w:val="18"/>
          <w:szCs w:val="18"/>
          <w:color w:val="auto"/>
        </w:rPr>
      </w:pPr>
    </w:p>
    <w:p>
      <w:pPr>
        <w:ind w:left="640" w:firstLine="645"/>
        <w:spacing w:after="0" w:line="342" w:lineRule="auto"/>
        <w:tabs>
          <w:tab w:leader="none" w:pos="196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Collateral Agent, for the benefit of the Secured Parties, may (but is not obligated to) direct any financial intermediary or any other person or entity holding any investment property to transfer the same to the Collateral Agent, on behalf of the Secured Parties, or its designee.</w:t>
      </w:r>
    </w:p>
    <w:p>
      <w:pPr>
        <w:spacing w:after="0" w:line="123" w:lineRule="exact"/>
        <w:rPr>
          <w:rFonts w:ascii="Arial" w:cs="Arial" w:eastAsia="Arial" w:hAnsi="Arial"/>
          <w:sz w:val="16"/>
          <w:szCs w:val="16"/>
          <w:color w:val="auto"/>
        </w:rPr>
      </w:pPr>
    </w:p>
    <w:p>
      <w:pPr>
        <w:ind w:left="640" w:firstLine="645"/>
        <w:spacing w:after="0" w:line="342" w:lineRule="auto"/>
        <w:tabs>
          <w:tab w:leader="none" w:pos="195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Collateral Agent may (but is not obligated to) transfer any or all Intellectual Property registered in the name of any Debtor at the United States Patent and Trademark Office and/or Copyright Office into the name of the Collateral Agent or any purchaser of any Collateral.</w:t>
      </w:r>
    </w:p>
    <w:p>
      <w:pPr>
        <w:spacing w:after="0" w:line="123" w:lineRule="exact"/>
        <w:rPr>
          <w:rFonts w:ascii="Arial" w:cs="Arial" w:eastAsia="Arial" w:hAnsi="Arial"/>
          <w:sz w:val="16"/>
          <w:szCs w:val="16"/>
          <w:color w:val="auto"/>
        </w:rPr>
      </w:pPr>
    </w:p>
    <w:p>
      <w:pPr>
        <w:jc w:val="both"/>
        <w:ind w:left="-20" w:firstLine="656"/>
        <w:spacing w:after="0" w:line="273" w:lineRule="auto"/>
        <w:tabs>
          <w:tab w:leader="none" w:pos="1346"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Collateral Agent shall comply with any applicable law in connection with a disposition of Collateral and such compliance will not be considered adversely to affect the commercial reasonableness of any sale of the Collateral. The Collateral Agent may sell the Collateral without giving any warranties and may specifically disclaim such warranties. If the Collateral Agent sells any of the Collateral on credit, the Debtors will only be credited with payments actually made by the purchaser. In addition, each Debtor waives any and all rights that it may have to a judicial hearing in advance of the enforcement of any of the Collateral Agent’s rights and remedies hereunder, including, without limitation, its right following an Event of Default to take immediate possession of the Collateral and to exercise its rights and remedies with respect thereto.</w:t>
      </w:r>
    </w:p>
    <w:p>
      <w:pPr>
        <w:spacing w:after="0" w:line="178" w:lineRule="exact"/>
        <w:rPr>
          <w:rFonts w:ascii="Arial" w:cs="Arial" w:eastAsia="Arial" w:hAnsi="Arial"/>
          <w:sz w:val="17"/>
          <w:szCs w:val="17"/>
          <w:color w:val="auto"/>
        </w:rPr>
      </w:pPr>
    </w:p>
    <w:p>
      <w:pPr>
        <w:jc w:val="both"/>
        <w:ind w:left="-20" w:firstLine="656"/>
        <w:spacing w:after="0" w:line="259" w:lineRule="auto"/>
        <w:tabs>
          <w:tab w:leader="none" w:pos="134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any notice to Debtor of the sale or other disposition of Collateral is required by then applicable law, five (5) business days prior written notice (which Debtor agree is reasonable notice within the meaning of Section 9.612(a) of the Uniform Commercial Code) shall be given to Debtor of the time and place of any sale of Collateral. The rights granted in this Section are in addition to any and all rights available to Collateral Agent under the Uniform Commercial Code.</w:t>
      </w:r>
    </w:p>
    <w:p>
      <w:pPr>
        <w:spacing w:after="0" w:line="186" w:lineRule="exact"/>
        <w:rPr>
          <w:rFonts w:ascii="Arial" w:cs="Arial" w:eastAsia="Arial" w:hAnsi="Arial"/>
          <w:sz w:val="18"/>
          <w:szCs w:val="18"/>
          <w:color w:val="auto"/>
        </w:rPr>
      </w:pPr>
    </w:p>
    <w:p>
      <w:pPr>
        <w:jc w:val="both"/>
        <w:ind w:left="-20" w:firstLine="656"/>
        <w:spacing w:after="0" w:line="255" w:lineRule="auto"/>
        <w:tabs>
          <w:tab w:leader="none" w:pos="143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For the purpose of enabling the Collateral Agent to further exercise rights and remedies under this Section 8 or elsewhere provided by agreement or applicable law, each Debtor hereby grants to the Collateral Agent, for the benefit of the Collateral Agent and the Secured Parties, an irrevocable, nonexclusive license (exercisable without payment of royalty or other compensation to such Debtor) to use, license or sublicense during the continuance of an Event of Default, any Intellectual Property now owned or hereafter acquired by such Debtor, and wherever the same may be located, and including in such license access to all media in which any of the licensed items may be recorded or stored and to all computer software and programs used for the compilation or printout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8" w:name="page289"/>
    <w:bookmarkEnd w:id="288"/>
    <w:p>
      <w:pPr>
        <w:jc w:val="both"/>
        <w:ind w:left="-8" w:firstLine="8"/>
        <w:spacing w:after="0" w:line="287" w:lineRule="auto"/>
        <w:tabs>
          <w:tab w:leader="none" w:pos="676"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Applications of Proceeds</w:t>
      </w:r>
      <w:r>
        <w:rPr>
          <w:rFonts w:ascii="Arial" w:cs="Arial" w:eastAsia="Arial" w:hAnsi="Arial"/>
          <w:sz w:val="16"/>
          <w:szCs w:val="16"/>
          <w:color w:val="auto"/>
        </w:rPr>
        <w:t>. The proceeds of any such sale, lease or other disposition of the Collateral hereunder or from payments made on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insurance policy insuring any portion of the Collateral shall be applied first, to the expenses of retaking, holding, storing, processing and preparing for sale, selling, and the like (including, without limitation, any taxes, fees and other costs incurred in connection therewith) of the Collateral, if any, to the reasonable attorneys’ fees and expenses incurred by the Collateral Agent in enforcing the Secured Parties’ rights hereunder and in connection with collecting, storing and disposing of the Collateral, and then to satisfaction of the Obligations pro rata among the Secured Parties (based on then-outstanding principal amounts of Notes at the time of any such determination), and then to the payment of any other amounts required by applicable law, after which the Secured Parties shall pay to the applicable Debtor any surplus proceeds. If, upon the sale, license or other disposition of the Collateral, the proceeds thereof are insufficient to pay all amounts to which the Secured Parties are legally entitled, the Debtors will be liable for the deficiency, together with interest thereon, at the rate of 18% per annum or the lesser amount permitted by applicable law (the “Default Rate”), and the reasonable fees of any attorneys employed by the Secured Parties to collect such deficiency. To the extent permitted by applicable law, each Debtor waives all claims, damages and demands against the Secured Parties arising out of the repossession, removal, retention or sale of the Collateral, unless due solely to the gross negligence or willful misconduct of the Secured Parties as determined by a final judgment (not subject to further appeal) of a court of competent jurisdiction.</w:t>
      </w:r>
    </w:p>
    <w:p>
      <w:pPr>
        <w:spacing w:after="0" w:line="168" w:lineRule="exact"/>
        <w:rPr>
          <w:rFonts w:ascii="Arial" w:cs="Arial" w:eastAsia="Arial" w:hAnsi="Arial"/>
          <w:sz w:val="16"/>
          <w:szCs w:val="16"/>
          <w:color w:val="auto"/>
        </w:rPr>
      </w:pPr>
    </w:p>
    <w:p>
      <w:pPr>
        <w:jc w:val="both"/>
        <w:ind w:left="-8" w:firstLine="8"/>
        <w:spacing w:after="0" w:line="291" w:lineRule="auto"/>
        <w:tabs>
          <w:tab w:leader="none" w:pos="667"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Securities Law Provision</w:t>
      </w:r>
      <w:r>
        <w:rPr>
          <w:rFonts w:ascii="Arial" w:cs="Arial" w:eastAsia="Arial" w:hAnsi="Arial"/>
          <w:sz w:val="16"/>
          <w:szCs w:val="16"/>
          <w:color w:val="auto"/>
        </w:rPr>
        <w:t>. Each Debtor recognizes that Collateral Agent may be limited in its ability to effect a sale to the public of all or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Pledged Securities by reason of certain prohibitions in the Securities Act of 1933, as amended, or other federal or state securities laws (collectively, the “</w:t>
      </w:r>
      <w:r>
        <w:rPr>
          <w:rFonts w:ascii="Arial" w:cs="Arial" w:eastAsia="Arial" w:hAnsi="Arial"/>
          <w:sz w:val="16"/>
          <w:szCs w:val="16"/>
          <w:u w:val="single" w:color="auto"/>
          <w:color w:val="auto"/>
        </w:rPr>
        <w:t>Securities Laws</w:t>
      </w:r>
      <w:r>
        <w:rPr>
          <w:rFonts w:ascii="Arial" w:cs="Arial" w:eastAsia="Arial" w:hAnsi="Arial"/>
          <w:sz w:val="16"/>
          <w:szCs w:val="16"/>
          <w:color w:val="auto"/>
        </w:rPr>
        <w:t>”), and may reasonably be obliged to resort to one or more sales to a restricted group of purchasers who may be required to agree to acquire the Pledged Securities for their own account, for investment and not with a view to the distribution or resale thereof. Each Debtor agrees that sales so made may be at prices and on terms less favorable than if the Pledged Securities were sold to the public, and that Collateral Agent has no obligation to delay the sale of any Pledged Securities for the period of time necessary to register the Pledged Securities for sale to the public under the Securities Laws. Each Debtor shall cooperate with Collateral Agent in its attempt to satisfy any requirements under the Securities Laws (including, without limitation, registration thereunder if requested by Collateral Agent) applicable to the sale of the Pledged Securities by Collateral Agent.</w:t>
      </w:r>
    </w:p>
    <w:p>
      <w:pPr>
        <w:spacing w:after="0" w:line="160" w:lineRule="exact"/>
        <w:rPr>
          <w:rFonts w:ascii="Arial" w:cs="Arial" w:eastAsia="Arial" w:hAnsi="Arial"/>
          <w:sz w:val="16"/>
          <w:szCs w:val="16"/>
          <w:color w:val="auto"/>
        </w:rPr>
      </w:pPr>
    </w:p>
    <w:p>
      <w:pPr>
        <w:jc w:val="both"/>
        <w:ind w:left="-8" w:firstLine="8"/>
        <w:spacing w:after="0" w:line="271" w:lineRule="auto"/>
        <w:tabs>
          <w:tab w:leader="none" w:pos="615" w:val="left"/>
        </w:tabs>
        <w:numPr>
          <w:ilvl w:val="0"/>
          <w:numId w:val="302"/>
        </w:numPr>
        <w:rPr>
          <w:rFonts w:ascii="Arial" w:cs="Arial" w:eastAsia="Arial" w:hAnsi="Arial"/>
          <w:sz w:val="17"/>
          <w:szCs w:val="17"/>
          <w:color w:val="auto"/>
        </w:rPr>
      </w:pPr>
      <w:r>
        <w:rPr>
          <w:rFonts w:ascii="Arial" w:cs="Arial" w:eastAsia="Arial" w:hAnsi="Arial"/>
          <w:sz w:val="17"/>
          <w:szCs w:val="17"/>
          <w:b w:val="1"/>
          <w:bCs w:val="1"/>
          <w:color w:val="auto"/>
        </w:rPr>
        <w:t>Costs and Expenses</w:t>
      </w:r>
      <w:r>
        <w:rPr>
          <w:rFonts w:ascii="Arial" w:cs="Arial" w:eastAsia="Arial" w:hAnsi="Arial"/>
          <w:sz w:val="17"/>
          <w:szCs w:val="17"/>
          <w:color w:val="auto"/>
        </w:rPr>
        <w:t>. Each Debtor agrees to pay all reasonable out-of-pocket fees, costs and expenses incurred in connection with any filing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including without limitation, any financing statements pursuant to the UCC, continuation statements, partial releases and/or termination statements related thereto or any expenses of any searches reasonably required by the Collateral Agent. The Debtors shall also pay all other claims and charges which in the reasonable opinion of the Collateral Agent is reasonably likely to prejudice, imperil or otherwise affect the Collateral or the Security Interests therein. The Debtors will also, upon demand, pay to the Collateral Agent the amount of any and all reasonable expenses, including the reasonable fees and expenses of its counsel and of any experts and agents, which the Collateral Agent, for the benefit of the Secured Parties, may incur in connection with (i) the enforcement of this Agreement, (ii) the custody or preservation of, or the sale of, collection from, or other realization upon, any of the Collateral, or (iii) the exercise or enforcement of any of the rights of the Secured Parties under the Notes. Until so paid, any fees payable hereunder shall be added to the principal amount of the Notes and shall bear interest at the Default Rate.</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289" w:name="page290"/>
    <w:bookmarkEnd w:id="289"/>
    <w:p>
      <w:pPr>
        <w:jc w:val="both"/>
        <w:ind w:left="-8" w:firstLine="8"/>
        <w:spacing w:after="0" w:line="269" w:lineRule="auto"/>
        <w:tabs>
          <w:tab w:leader="none" w:pos="649"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Responsibility for Collateral</w:t>
      </w:r>
      <w:r>
        <w:rPr>
          <w:rFonts w:ascii="Arial" w:cs="Arial" w:eastAsia="Arial" w:hAnsi="Arial"/>
          <w:sz w:val="17"/>
          <w:szCs w:val="17"/>
          <w:color w:val="auto"/>
        </w:rPr>
        <w:t>. The Debtors assume all liabilities and responsibility in connection with all Collateral, and the Obligations shall in no</w:t>
      </w:r>
      <w:r>
        <w:rPr>
          <w:rFonts w:ascii="Arial" w:cs="Arial" w:eastAsia="Arial" w:hAnsi="Arial"/>
          <w:sz w:val="17"/>
          <w:szCs w:val="17"/>
          <w:b w:val="1"/>
          <w:bCs w:val="1"/>
          <w:color w:val="auto"/>
        </w:rPr>
        <w:t xml:space="preserve"> </w:t>
      </w:r>
      <w:r>
        <w:rPr>
          <w:rFonts w:ascii="Arial" w:cs="Arial" w:eastAsia="Arial" w:hAnsi="Arial"/>
          <w:sz w:val="17"/>
          <w:szCs w:val="17"/>
          <w:color w:val="auto"/>
        </w:rPr>
        <w:t>way be affected or diminished by reason of the loss, destruction, damage or theft of any of the Collateral or its unavailability for any reason. Without limiting the generality of the foregoing, (a) neither the Collateral Agent nor any Secured Party (i) has any duty (either before or after an Event of Default) to collect any amounts in respect of the Collateral or to preserve any rights relating to the Collateral, or (ii) has any obligation to clean-up or otherwise prepare the Collateral for sale, and (b) each Debtor shall remain obligated and liable under each contract or agreement included in the Collateral to be observed or performed by such Debtor thereunder. Neither the Collateral Agent nor any Secured Party shall have any obligation or liability under any such contract or agreement by reason of or arising out of this Agreement or the receipt by the Collateral Agent or any Secured Party of any payment relating to any of the Collateral, nor shall the Collateral Agent or any Secured Party be obligated in any manner to perform any of the obligations of any Debtor under or pursuant to any such contract or agreement, to make inquiry as to the nature or sufficiency of any payment received by the Collateral Agent or any Secured Party in respect of the Collateral or as to the sufficiency of any performance by any party under any such contract or agreement, to present or file any claim, to take any action to enforce any performance or to collect the payment of any amounts which may have been assigned to the Collateral Agent or to which the Collateral Agent or any Secured Party may be entitled at any time or times.</w:t>
      </w:r>
    </w:p>
    <w:p>
      <w:pPr>
        <w:spacing w:after="0" w:line="179" w:lineRule="exact"/>
        <w:rPr>
          <w:rFonts w:ascii="Arial" w:cs="Arial" w:eastAsia="Arial" w:hAnsi="Arial"/>
          <w:sz w:val="17"/>
          <w:szCs w:val="17"/>
          <w:color w:val="auto"/>
        </w:rPr>
      </w:pPr>
    </w:p>
    <w:p>
      <w:pPr>
        <w:jc w:val="both"/>
        <w:ind w:left="-8" w:firstLine="8"/>
        <w:spacing w:after="0" w:line="285" w:lineRule="auto"/>
        <w:tabs>
          <w:tab w:leader="none" w:pos="743" w:val="left"/>
        </w:tabs>
        <w:numPr>
          <w:ilvl w:val="0"/>
          <w:numId w:val="303"/>
        </w:numPr>
        <w:rPr>
          <w:rFonts w:ascii="Arial" w:cs="Arial" w:eastAsia="Arial" w:hAnsi="Arial"/>
          <w:sz w:val="16"/>
          <w:szCs w:val="16"/>
          <w:color w:val="auto"/>
        </w:rPr>
      </w:pPr>
      <w:r>
        <w:rPr>
          <w:rFonts w:ascii="Arial" w:cs="Arial" w:eastAsia="Arial" w:hAnsi="Arial"/>
          <w:sz w:val="16"/>
          <w:szCs w:val="16"/>
          <w:b w:val="1"/>
          <w:bCs w:val="1"/>
          <w:color w:val="auto"/>
        </w:rPr>
        <w:t>Security Interests Absolute</w:t>
      </w:r>
      <w:r>
        <w:rPr>
          <w:rFonts w:ascii="Arial" w:cs="Arial" w:eastAsia="Arial" w:hAnsi="Arial"/>
          <w:sz w:val="16"/>
          <w:szCs w:val="16"/>
          <w:color w:val="auto"/>
        </w:rPr>
        <w:t>. All rights of the Secured Parties and all obligations of the Debtors hereunder, shall be absolute and unconditional,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irrespective of: (a) any lack of validity or enforceability of this Agreement, the Notes or any agreement entered into in connection with the foregoing, or any portion hereof or thereof; (b) any change in the time, manner or place of payment or performance of, or in any other term of, all or any of the Obligations, or any other amendment or waiver of or any consent to any departure from the Notes or any other agreement entered into in connection with the foregoing; (c) any exchange, release or non-perfection of any of the Collateral, or any release or amendment or waiver of or consent to departure from any other collateral for, or any guarantee, or any other security, for all or any of the Obligations; (d) any action by the Secured Parties to obtain, adjust, settle and cancel in its sole discretion any insurance claims or matters made or arising in connection with the Collateral; or (e) any other circumstance which might otherwise constitute any legal or equitable defense available to a Debtor, or a discharge of all or any part of the Security Interests granted hereby. Until the Obligations shall have been indefeasibly paid and performed in full, the rights of the Secured Parties shall continue even if the Obligations are barred for any reason, including, without limitation, the running of the statute of limitations or bankruptcy. Each Debtor expressly waives presentment, protest, notice of protest, demand, notice of nonpayment and demand for performance. In the event that at any time any transfer of any Collateral or any payment received by the Secured Parties hereunder shall be deemed by final order of a court of competent jurisdiction to have been a voidable preference or fraudulent conveyance under the bankruptcy or insolvency laws of the United States, or shall be deemed to be otherwise due to any party other than the Secured Parties, then, in any such event, each Debtor’s obligations hereunder shall survive cancellation of this Agreement, and shall not be discharged or satisfied by any prior payment thereof and/or cancellation of this Agreement, but shall remain a valid and binding obligation enforceable in accordance with the terms and provisions hereof. Each Debtor waives all right to require the Secured Parties to proceed against any other person or entity or to apply any Collateral which the Secured Parties may hold at any time, or to marshal assets, or to pursue any other remedy. Each Debtor waives any defense arising by reason of the application of the statute of limitations to any Obligations secured hereby.</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90" w:name="page291"/>
    <w:bookmarkEnd w:id="290"/>
    <w:p>
      <w:pPr>
        <w:jc w:val="both"/>
        <w:ind w:left="-8" w:firstLine="8"/>
        <w:spacing w:after="0" w:line="281" w:lineRule="auto"/>
        <w:tabs>
          <w:tab w:leader="none" w:pos="811" w:val="left"/>
        </w:tabs>
        <w:numPr>
          <w:ilvl w:val="0"/>
          <w:numId w:val="304"/>
        </w:numPr>
        <w:rPr>
          <w:rFonts w:ascii="Arial" w:cs="Arial" w:eastAsia="Arial" w:hAnsi="Arial"/>
          <w:sz w:val="17"/>
          <w:szCs w:val="17"/>
          <w:color w:val="auto"/>
        </w:rPr>
      </w:pPr>
      <w:r>
        <w:rPr>
          <w:rFonts w:ascii="Arial" w:cs="Arial" w:eastAsia="Arial" w:hAnsi="Arial"/>
          <w:sz w:val="17"/>
          <w:szCs w:val="17"/>
          <w:b w:val="1"/>
          <w:bCs w:val="1"/>
          <w:color w:val="auto"/>
        </w:rPr>
        <w:t>Term of Agreement</w:t>
      </w:r>
      <w:r>
        <w:rPr>
          <w:rFonts w:ascii="Arial" w:cs="Arial" w:eastAsia="Arial" w:hAnsi="Arial"/>
          <w:sz w:val="17"/>
          <w:szCs w:val="17"/>
          <w:color w:val="auto"/>
        </w:rPr>
        <w:t>. This Agreement and the Security Interest shall terminate on the date on which all payments under the Notes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indefeasibly paid in full and all other Obligations have been indefeasibly paid or discharged (other than unasserted contingent obligations until such obligations arise or are asserted); provided, however, that all indemnities of the Debtors contained in this Agreement (including, without limitation, Annex B hereto) shall survive and remain operative and in full force and effect regardless of the termination of this Agreement.</w:t>
      </w:r>
    </w:p>
    <w:p>
      <w:pPr>
        <w:spacing w:after="0" w:line="164" w:lineRule="exact"/>
        <w:rPr>
          <w:rFonts w:ascii="Arial" w:cs="Arial" w:eastAsia="Arial" w:hAnsi="Arial"/>
          <w:sz w:val="17"/>
          <w:szCs w:val="17"/>
          <w:color w:val="auto"/>
        </w:rPr>
      </w:pPr>
    </w:p>
    <w:p>
      <w:pPr>
        <w:ind w:left="632" w:hanging="632"/>
        <w:spacing w:after="0"/>
        <w:tabs>
          <w:tab w:leader="none" w:pos="632"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Power of Attorney; Further Assurances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656"/>
        <w:spacing w:after="0" w:line="285" w:lineRule="auto"/>
        <w:tabs>
          <w:tab w:leader="none" w:pos="1402" w:val="left"/>
        </w:tabs>
        <w:numPr>
          <w:ilvl w:val="1"/>
          <w:numId w:val="304"/>
        </w:numPr>
        <w:rPr>
          <w:rFonts w:ascii="Arial" w:cs="Arial" w:eastAsia="Arial" w:hAnsi="Arial"/>
          <w:sz w:val="16"/>
          <w:szCs w:val="16"/>
          <w:color w:val="auto"/>
        </w:rPr>
      </w:pPr>
      <w:r>
        <w:rPr>
          <w:rFonts w:ascii="Arial" w:cs="Arial" w:eastAsia="Arial" w:hAnsi="Arial"/>
          <w:sz w:val="16"/>
          <w:szCs w:val="16"/>
          <w:color w:val="auto"/>
        </w:rPr>
        <w:t>Each Debtor authorizes the Collateral Agent, and does hereby make, constitute and appoint the Collateral Agent and its officers, agents, successors or assigns with full power of substitution, as such Debtor’s true and lawful attorney-in-fact, with power, in the name of the Collateral Agent or such Debtor, after the occurrence and during the continuance of an Event of Default, (i) to endorse any note, checks, drafts, money orders or other instruments of payment (including, without limitation, payments payable under or in respect of any policy of insurance) in respect of the Collateral that may come into possession of the Collateral Agent; (ii) to sign and endorse any financing statement pursuant to the UCC or any invoice, freight or express bill, bill of lading, storage or warehouse receipts, drafts against debtors, assignments, verifications and notices in connection with accounts, and other documents relating to the Collateral; (iii) to pay or discharge taxes, liens, security interests or other encumbrances at any time levied or placed on or threatened against the Collateral; (iv) to demand, collect, receipt for, compromise, settle and sue for monies due in respect of the Collateral; (v) to transfer any Intellectual Property or provide licenses respecting any Intellectual Property; and (vi) generally, at the option of the Collateral Agent, and at the expense of the Debtors, at any time, or from time to time, to execute and deliver any and all documents and instruments and to do all acts and things which the Collateral Agent deems necessary to protect, preserve and realize upon the Collateral and the Security Interests granted therein in order to effect the intent of this Agreement and the Notes all as fully and effectually as the Debtors might or could do; and each Debtor hereby ratifies all that said attorney shall lawfully do or cause to be done by virtue hereof. This power of attorney is coupled with an interest and shall be irrevocable for the term of this Agreement and thereafter as long as any of the Obligations shall be outstanding. The designation set forth herein shall be deemed to amend and supersede any inconsistent provision in the Organizational Documents or other documents or agreements to which any Debtor is subject or to which any Debtor is a party. Without limiting the generality of the foregoing, after the occurrence and during the continuance of an Event of Default, each Secured Party is specifically authorized to execute and file any applications for or instruments of transfer and assignment of any patents, trademarks, copyrights or other Intellectual Property with the United States Patent and Trademark Office and the United States Copyright Office, other than with respect to Excluded IP.</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91" w:name="page292"/>
    <w:bookmarkEnd w:id="291"/>
    <w:p>
      <w:pPr>
        <w:jc w:val="both"/>
        <w:ind w:left="-8" w:firstLine="656"/>
        <w:spacing w:after="0" w:line="257" w:lineRule="auto"/>
        <w:tabs>
          <w:tab w:leader="none" w:pos="131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On a continuing basis, each Debtor will make, execute, acknowledge, deliver, file and record, as the case may be, with the proper filing and recording agencies in any jurisdiction, including, without limitation, the jurisdictions indicated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 all such instruments, and take all such action as may reasonably be deemed necessary or advisable, or as reasonably requested by the Collateral Agent, to perfect the Security Interest granted hereunder and otherwise to carry out the intent and purposes of this Agreement, or for assuring and confirming to the Collateral Agent the grant or perfection of a perfected security interest in all the Collateral under the UCC.</w:t>
      </w:r>
    </w:p>
    <w:p>
      <w:pPr>
        <w:spacing w:after="0" w:line="188" w:lineRule="exact"/>
        <w:rPr>
          <w:rFonts w:ascii="Arial" w:cs="Arial" w:eastAsia="Arial" w:hAnsi="Arial"/>
          <w:sz w:val="18"/>
          <w:szCs w:val="18"/>
          <w:color w:val="auto"/>
        </w:rPr>
      </w:pPr>
    </w:p>
    <w:p>
      <w:pPr>
        <w:jc w:val="both"/>
        <w:ind w:left="-8" w:firstLine="656"/>
        <w:spacing w:after="0" w:line="272" w:lineRule="auto"/>
        <w:tabs>
          <w:tab w:leader="none" w:pos="1327" w:val="left"/>
        </w:tabs>
        <w:numPr>
          <w:ilvl w:val="1"/>
          <w:numId w:val="305"/>
        </w:numPr>
        <w:rPr>
          <w:rFonts w:ascii="Arial" w:cs="Arial" w:eastAsia="Arial" w:hAnsi="Arial"/>
          <w:sz w:val="17"/>
          <w:szCs w:val="17"/>
          <w:color w:val="auto"/>
        </w:rPr>
      </w:pPr>
      <w:r>
        <w:rPr>
          <w:rFonts w:ascii="Arial" w:cs="Arial" w:eastAsia="Arial" w:hAnsi="Arial"/>
          <w:sz w:val="17"/>
          <w:szCs w:val="17"/>
          <w:color w:val="auto"/>
        </w:rPr>
        <w:t>Each Debtor hereby irrevocably appoints the Collateral Agent as such Debtor’s attorney-in-fact, with full authority in the place and instead of such Debtor and in the name of such Debtor, from time to time in the Collateral Agent’s discretion, to take any action permitted under this Agreement and to execute any instrument which the Collateral Agent may reasonably deem necessary or advisable to accomplish the purposes of this Agreement, including the filing, in its sole discretion, of one or more financing or continuation statements and amendments thereto, relative to any of the Collateral without the signature of such Debtor where permitted by law, which financing statements may (but need not) describe the Collateral as “all assets” or “all personal property” or words of like import, and ratifies all such actions taken by the Collateral Agent. This power of attorney is coupled with an interest and shall be irrevocable for the term of this Agreement and thereafter as long as any of the Obligations shall be outstanding.</w:t>
      </w:r>
    </w:p>
    <w:p>
      <w:pPr>
        <w:spacing w:after="0" w:line="173" w:lineRule="exact"/>
        <w:rPr>
          <w:rFonts w:ascii="Arial" w:cs="Arial" w:eastAsia="Arial" w:hAnsi="Arial"/>
          <w:sz w:val="17"/>
          <w:szCs w:val="17"/>
          <w:color w:val="auto"/>
        </w:rPr>
      </w:pPr>
    </w:p>
    <w:p>
      <w:pPr>
        <w:jc w:val="both"/>
        <w:ind w:left="-8" w:firstLine="8"/>
        <w:spacing w:after="0" w:line="290" w:lineRule="auto"/>
        <w:tabs>
          <w:tab w:leader="none" w:pos="757" w:val="left"/>
        </w:tabs>
        <w:numPr>
          <w:ilvl w:val="0"/>
          <w:numId w:val="306"/>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demands, requests, consents, approvals, and other communications required or permitted hereunder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specified herein, shall be (a) personally served, (b) deposited in the mail, registered or certified, return receipt requested, postage prepaid, (c) delivered by a reputable overnight courier service with charges prepaid, or (d) transmitted by hand delivery, telegram, or facsimile, addressed as set forth below or to such other address as such party shall have specified most recently by written notice. Any notice or other communication required or permitted to be given hereunder shall be deemed effective (i) upon hand delivery or delivery by facsimile, with accurate confirmation generated by the transmitting facsimile machine, at the address or number designated below (if delivered on a Business Day during normal business hours), or the first Business Day following such delivery (if delivered other than on a Business Day during normal business hours), (ii) on the first Business Day following the date deposited with an overnight courier service with charges prepaid, or (iii) on the fifth Business Day following the date of mailing pursuant to subpart (b) above, or upon actual receipt of such mailing, whichever shall first occur. The addresses for such communications shall be:</w:t>
      </w:r>
    </w:p>
    <w:p>
      <w:pPr>
        <w:spacing w:after="0" w:line="164" w:lineRule="exact"/>
        <w:rPr>
          <w:sz w:val="20"/>
          <w:szCs w:val="20"/>
          <w:color w:val="auto"/>
        </w:rPr>
      </w:pPr>
    </w:p>
    <w:p>
      <w:pPr>
        <w:ind w:left="2292"/>
        <w:spacing w:after="0"/>
        <w:tabs>
          <w:tab w:leader="none" w:pos="5692" w:val="left"/>
        </w:tabs>
        <w:rPr>
          <w:sz w:val="20"/>
          <w:szCs w:val="20"/>
          <w:color w:val="auto"/>
        </w:rPr>
      </w:pPr>
      <w:r>
        <w:rPr>
          <w:rFonts w:ascii="Arial" w:cs="Arial" w:eastAsia="Arial" w:hAnsi="Arial"/>
          <w:sz w:val="18"/>
          <w:szCs w:val="18"/>
          <w:color w:val="auto"/>
        </w:rPr>
        <w:t>To Debtor, to:</w:t>
      </w:r>
      <w:r>
        <w:rPr>
          <w:sz w:val="20"/>
          <w:szCs w:val="20"/>
          <w:color w:val="auto"/>
        </w:rPr>
        <w:tab/>
      </w:r>
      <w:r>
        <w:rPr>
          <w:rFonts w:ascii="Arial" w:cs="Arial" w:eastAsia="Arial" w:hAnsi="Arial"/>
          <w:sz w:val="16"/>
          <w:szCs w:val="16"/>
          <w:color w:val="auto"/>
        </w:rPr>
        <w:t>c/o XpresSpa Group, Inc.</w:t>
      </w:r>
    </w:p>
    <w:p>
      <w:pPr>
        <w:ind w:left="5712"/>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Attn: Edward Jankowski, CEO</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email: ejankowski@xpresspa.com</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92" w:name="page293"/>
    <w:bookmarkEnd w:id="292"/>
    <w:p>
      <w:pPr>
        <w:ind w:left="2292"/>
        <w:spacing w:after="0"/>
        <w:rPr>
          <w:sz w:val="20"/>
          <w:szCs w:val="20"/>
          <w:color w:val="auto"/>
        </w:rPr>
      </w:pPr>
      <w:r>
        <w:rPr>
          <w:rFonts w:ascii="Arial" w:cs="Arial" w:eastAsia="Arial" w:hAnsi="Arial"/>
          <w:sz w:val="18"/>
          <w:szCs w:val="18"/>
          <w:color w:val="auto"/>
        </w:rPr>
        <w:t>With a copy by email only to</w:t>
      </w:r>
    </w:p>
    <w:p>
      <w:pPr>
        <w:spacing w:after="0" w:line="23" w:lineRule="exact"/>
        <w:rPr>
          <w:sz w:val="20"/>
          <w:szCs w:val="20"/>
          <w:color w:val="auto"/>
        </w:rPr>
      </w:pPr>
    </w:p>
    <w:p>
      <w:pPr>
        <w:ind w:left="2292"/>
        <w:spacing w:after="0"/>
        <w:tabs>
          <w:tab w:leader="none" w:pos="5692" w:val="left"/>
        </w:tabs>
        <w:rPr>
          <w:sz w:val="20"/>
          <w:szCs w:val="20"/>
          <w:color w:val="auto"/>
        </w:rPr>
      </w:pPr>
      <w:r>
        <w:rPr>
          <w:rFonts w:ascii="Arial" w:cs="Arial" w:eastAsia="Arial" w:hAnsi="Arial"/>
          <w:sz w:val="18"/>
          <w:szCs w:val="18"/>
          <w:color w:val="auto"/>
        </w:rPr>
        <w:t>(which shall not constitute notice):</w:t>
      </w:r>
      <w:r>
        <w:rPr>
          <w:sz w:val="20"/>
          <w:szCs w:val="20"/>
          <w:color w:val="auto"/>
        </w:rPr>
        <w:tab/>
      </w:r>
      <w:r>
        <w:rPr>
          <w:rFonts w:ascii="Arial" w:cs="Arial" w:eastAsia="Arial" w:hAnsi="Arial"/>
          <w:sz w:val="16"/>
          <w:szCs w:val="16"/>
          <w:color w:val="auto"/>
        </w:rPr>
        <w:t>Mintz, Levin, Cohn, Ferris, Glovsky and</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Popeo, P.C.</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Chrysler Center</w:t>
      </w:r>
    </w:p>
    <w:p>
      <w:pPr>
        <w:ind w:left="5712"/>
        <w:spacing w:after="0" w:line="186" w:lineRule="auto"/>
        <w:rPr>
          <w:sz w:val="20"/>
          <w:szCs w:val="20"/>
          <w:color w:val="auto"/>
        </w:rPr>
      </w:pPr>
      <w:r>
        <w:rPr>
          <w:rFonts w:ascii="Arial" w:cs="Arial" w:eastAsia="Arial" w:hAnsi="Arial"/>
          <w:sz w:val="18"/>
          <w:szCs w:val="18"/>
          <w:color w:val="auto"/>
        </w:rPr>
        <w:t>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w:t>
      </w:r>
    </w:p>
    <w:p>
      <w:pPr>
        <w:ind w:left="5712"/>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Attn: Kenneth R. Koch, Esq.</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Email: krkoch@mintz.com</w:t>
      </w:r>
    </w:p>
    <w:p>
      <w:pPr>
        <w:spacing w:after="0" w:line="211" w:lineRule="exact"/>
        <w:rPr>
          <w:sz w:val="20"/>
          <w:szCs w:val="20"/>
          <w:color w:val="auto"/>
        </w:rPr>
      </w:pPr>
    </w:p>
    <w:p>
      <w:pPr>
        <w:ind w:left="2292"/>
        <w:spacing w:after="0"/>
        <w:tabs>
          <w:tab w:leader="none" w:pos="5692" w:val="left"/>
        </w:tabs>
        <w:rPr>
          <w:sz w:val="20"/>
          <w:szCs w:val="20"/>
          <w:color w:val="auto"/>
        </w:rPr>
      </w:pPr>
      <w:r>
        <w:rPr>
          <w:rFonts w:ascii="Arial" w:cs="Arial" w:eastAsia="Arial" w:hAnsi="Arial"/>
          <w:sz w:val="18"/>
          <w:szCs w:val="18"/>
          <w:color w:val="auto"/>
        </w:rPr>
        <w:t>To the Collateral Agent:</w:t>
      </w:r>
      <w:r>
        <w:rPr>
          <w:sz w:val="20"/>
          <w:szCs w:val="20"/>
          <w:color w:val="auto"/>
        </w:rPr>
        <w:tab/>
      </w:r>
      <w:r>
        <w:rPr>
          <w:rFonts w:ascii="Arial" w:cs="Arial" w:eastAsia="Arial" w:hAnsi="Arial"/>
          <w:sz w:val="17"/>
          <w:szCs w:val="17"/>
          <w:color w:val="auto"/>
        </w:rPr>
        <w:t>Alpha Capital Anstalt</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c/o Grushko &amp; Mittman, P.C.</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515 Rockaway Avenue</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Valley Stream, New York 11581</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email: counslers@gmail.com</w:t>
      </w:r>
    </w:p>
    <w:p>
      <w:pPr>
        <w:sectPr>
          <w:pgSz w:w="11900" w:h="16838" w:orient="portrait"/>
          <w:cols w:equalWidth="0" w:num="1">
            <w:col w:w="11412"/>
          </w:cols>
          <w:pgMar w:left="248" w:top="908" w:right="239" w:bottom="1440" w:gutter="0" w:footer="0" w:header="0"/>
        </w:sectPr>
      </w:pPr>
    </w:p>
    <w:p>
      <w:pPr>
        <w:spacing w:after="0" w:line="211"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With a copy by email only to</w:t>
      </w:r>
    </w:p>
    <w:p>
      <w:pPr>
        <w:spacing w:after="0" w:line="23" w:lineRule="exact"/>
        <w:rPr>
          <w:sz w:val="20"/>
          <w:szCs w:val="20"/>
          <w:color w:val="auto"/>
        </w:rPr>
      </w:pPr>
    </w:p>
    <w:p>
      <w:pPr>
        <w:ind w:left="2292"/>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Grushko &amp; Mittman,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515 Rockaway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Valley Stream, New York 11581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counslers@gmail.com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Edward M. Grushko, Esq.</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ed@grushkomittman.com</w:t>
      </w:r>
    </w:p>
    <w:p>
      <w:pPr>
        <w:spacing w:after="0" w:line="200" w:lineRule="exact"/>
        <w:rPr>
          <w:sz w:val="20"/>
          <w:szCs w:val="20"/>
          <w:color w:val="auto"/>
        </w:rPr>
      </w:pPr>
    </w:p>
    <w:p>
      <w:pPr>
        <w:sectPr>
          <w:pgSz w:w="11900" w:h="16838" w:orient="portrait"/>
          <w:cols w:equalWidth="0" w:num="2">
            <w:col w:w="4992" w:space="720"/>
            <w:col w:w="5700"/>
          </w:cols>
          <w:pgMar w:left="248" w:top="908" w:right="239" w:bottom="1440" w:gutter="0" w:footer="0" w:header="0"/>
          <w:type w:val="continuous"/>
        </w:sectPr>
      </w:pPr>
    </w:p>
    <w:p>
      <w:pPr>
        <w:spacing w:after="0" w:line="30" w:lineRule="exact"/>
        <w:rPr>
          <w:sz w:val="20"/>
          <w:szCs w:val="20"/>
          <w:color w:val="auto"/>
        </w:rPr>
      </w:pPr>
    </w:p>
    <w:p>
      <w:pPr>
        <w:jc w:val="both"/>
        <w:ind w:left="-8" w:firstLine="8"/>
        <w:spacing w:after="0" w:line="261" w:lineRule="auto"/>
        <w:tabs>
          <w:tab w:leader="none" w:pos="879"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Other Security</w:t>
      </w:r>
      <w:r>
        <w:rPr>
          <w:rFonts w:ascii="Arial" w:cs="Arial" w:eastAsia="Arial" w:hAnsi="Arial"/>
          <w:sz w:val="18"/>
          <w:szCs w:val="18"/>
          <w:color w:val="auto"/>
        </w:rPr>
        <w:t>. To the extent that the Obligations are now or hereafter secured by property other than the Collateral or by the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endorsement or property of any other person, firm, corporation or other entity, then the Collateral Agent shall have the right, in its sole discretion, to pursue, relinquish, subordinate, modify or take any other action with respect thereto, without in any way modifying or affecting any of the Secured Parties’ rights and remedies hereunder.</w:t>
      </w:r>
    </w:p>
    <w:p>
      <w:pPr>
        <w:spacing w:after="0" w:line="180" w:lineRule="exact"/>
        <w:rPr>
          <w:rFonts w:ascii="Arial" w:cs="Arial" w:eastAsia="Arial" w:hAnsi="Arial"/>
          <w:sz w:val="18"/>
          <w:szCs w:val="18"/>
          <w:color w:val="auto"/>
        </w:rPr>
      </w:pPr>
    </w:p>
    <w:p>
      <w:pPr>
        <w:jc w:val="both"/>
        <w:ind w:left="-8" w:firstLine="8"/>
        <w:spacing w:after="0" w:line="261" w:lineRule="auto"/>
        <w:tabs>
          <w:tab w:leader="none" w:pos="635"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Appointment of Collateral Agent</w:t>
      </w:r>
      <w:r>
        <w:rPr>
          <w:rFonts w:ascii="Arial" w:cs="Arial" w:eastAsia="Arial" w:hAnsi="Arial"/>
          <w:sz w:val="18"/>
          <w:szCs w:val="18"/>
          <w:color w:val="auto"/>
        </w:rPr>
        <w:t>. The Secured Parties hereby appoint Alpha Capital Anstalt to act as their agent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exercising any and all rights and remedies of the Secured Parties hereunder. Such appointment shall continue until revoked in writing by a Majority in Interest, at which time a Majority in Interest shall appoint a new Collateral Agent. The Collateral Agent shall have the rights, responsibilities and immunities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180" w:lineRule="exact"/>
        <w:rPr>
          <w:rFonts w:ascii="Arial" w:cs="Arial" w:eastAsia="Arial" w:hAnsi="Arial"/>
          <w:sz w:val="18"/>
          <w:szCs w:val="18"/>
          <w:color w:val="auto"/>
        </w:rPr>
      </w:pPr>
    </w:p>
    <w:p>
      <w:pPr>
        <w:ind w:left="632" w:hanging="632"/>
        <w:spacing w:after="0"/>
        <w:tabs>
          <w:tab w:leader="none" w:pos="632"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 w:firstLine="656"/>
        <w:spacing w:after="0" w:line="312" w:lineRule="auto"/>
        <w:tabs>
          <w:tab w:leader="none" w:pos="135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No course of dealing between the Debtors and the Collateral Agent, nor any failure to exercise, nor any delay in exercising, on the part of the Collateral Agent, any right, power or privilege hereunder or under the Notes shall operate as a waiver thereof; nor shall any single or partial exercise of any right, power or privilege hereunder or thereunder preclude any other or further exercise thereof or the exercise of any other right, power or privilege.</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type w:val="continuous"/>
        </w:sectPr>
      </w:pPr>
    </w:p>
    <w:bookmarkStart w:id="293" w:name="page294"/>
    <w:bookmarkEnd w:id="293"/>
    <w:p>
      <w:pPr>
        <w:ind w:left="-20" w:firstLine="656"/>
        <w:spacing w:after="0" w:line="277" w:lineRule="auto"/>
        <w:tabs>
          <w:tab w:leader="none" w:pos="134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of the rights and remedies of the Collateral Agent with respect to the Collateral, whether established hereby or by the Notes or by any other agreements, instruments or documents or by law shall be cumulative and may be exercised singly or concurrently.</w:t>
      </w:r>
    </w:p>
    <w:p>
      <w:pPr>
        <w:spacing w:after="0" w:line="170" w:lineRule="exact"/>
        <w:rPr>
          <w:rFonts w:ascii="Arial" w:cs="Arial" w:eastAsia="Arial" w:hAnsi="Arial"/>
          <w:sz w:val="18"/>
          <w:szCs w:val="18"/>
          <w:color w:val="auto"/>
        </w:rPr>
      </w:pPr>
    </w:p>
    <w:p>
      <w:pPr>
        <w:jc w:val="both"/>
        <w:ind w:left="-20" w:firstLine="656"/>
        <w:spacing w:after="0" w:line="257" w:lineRule="auto"/>
        <w:tabs>
          <w:tab w:leader="none" w:pos="133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Agreement, together with the exhibits and schedules hereto, contain the entire understanding of the parties with respect to the subject matter hereof and supersede all prior agreements and understandings, oral or written, with respect to such matters, which the parties acknowledge have been merged into this Agreement and the exhibits and schedules hereto. No provision of this Agreement may be waived, modified, supplemented or amended except in a written instrument signed, in the case of an amendment, by the Debtors and Collateral Agent or, in the case of a waiver, by the party against whom enforcement of any such waived provision is sought.</w:t>
      </w:r>
    </w:p>
    <w:p>
      <w:pPr>
        <w:spacing w:after="0" w:line="188" w:lineRule="exact"/>
        <w:rPr>
          <w:rFonts w:ascii="Arial" w:cs="Arial" w:eastAsia="Arial" w:hAnsi="Arial"/>
          <w:sz w:val="18"/>
          <w:szCs w:val="18"/>
          <w:color w:val="auto"/>
        </w:rPr>
      </w:pPr>
    </w:p>
    <w:p>
      <w:pPr>
        <w:jc w:val="both"/>
        <w:ind w:left="-20" w:firstLine="656"/>
        <w:spacing w:after="0" w:line="255" w:lineRule="auto"/>
        <w:tabs>
          <w:tab w:leader="none" w:pos="136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rFonts w:ascii="Arial" w:cs="Arial" w:eastAsia="Arial" w:hAnsi="Arial"/>
          <w:sz w:val="18"/>
          <w:szCs w:val="18"/>
          <w:color w:val="auto"/>
        </w:rPr>
      </w:pPr>
    </w:p>
    <w:p>
      <w:pPr>
        <w:jc w:val="both"/>
        <w:ind w:left="-20" w:firstLine="656"/>
        <w:spacing w:after="0" w:line="264" w:lineRule="auto"/>
        <w:tabs>
          <w:tab w:leader="none" w:pos="140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1" w:lineRule="exact"/>
        <w:rPr>
          <w:rFonts w:ascii="Arial" w:cs="Arial" w:eastAsia="Arial" w:hAnsi="Arial"/>
          <w:sz w:val="18"/>
          <w:szCs w:val="18"/>
          <w:color w:val="auto"/>
        </w:rPr>
      </w:pPr>
    </w:p>
    <w:p>
      <w:pPr>
        <w:jc w:val="both"/>
        <w:ind w:left="-20" w:firstLine="656"/>
        <w:spacing w:after="0" w:line="257" w:lineRule="auto"/>
        <w:tabs>
          <w:tab w:leader="none" w:pos="133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and their successors and permitted assigns. The Debtors may not assign this Agreement or any rights or obligations hereunder without the prior written consent of a Majority in Interest (other than by merger). Any Secured Party may assign any or all of its rights under this Agreement to any Person to whom such Secured Party assigns or transfers any Obligations, provided such transferee agrees in writing to be bound, with respect to the transferred Obligations, by the provisions of this Agreement that apply to the “Secured Parties.”</w:t>
      </w:r>
    </w:p>
    <w:p>
      <w:pPr>
        <w:spacing w:after="0" w:line="188" w:lineRule="exact"/>
        <w:rPr>
          <w:rFonts w:ascii="Arial" w:cs="Arial" w:eastAsia="Arial" w:hAnsi="Arial"/>
          <w:sz w:val="18"/>
          <w:szCs w:val="18"/>
          <w:color w:val="auto"/>
        </w:rPr>
      </w:pPr>
    </w:p>
    <w:p>
      <w:pPr>
        <w:ind w:left="-20" w:firstLine="656"/>
        <w:spacing w:after="0" w:line="277" w:lineRule="auto"/>
        <w:tabs>
          <w:tab w:leader="none" w:pos="139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party shall take such further action and execute and deliver such further documents as may be necessary or appropriate in order to carry out the provisions and purposes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94" w:name="page295"/>
    <w:bookmarkEnd w:id="294"/>
    <w:p>
      <w:pPr>
        <w:jc w:val="both"/>
        <w:ind w:left="-20" w:firstLine="656"/>
        <w:spacing w:after="0" w:line="268" w:lineRule="auto"/>
        <w:tabs>
          <w:tab w:leader="none" w:pos="1434"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Except as otherwise stated herein,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hereto agrees that all proceedings concerning the interpretations, enforcement and defense of the transactions contemplated by this Agreement and the Notes (whether brought against a party hereto or its respective affiliates, directors, officers, shareholders, partners, members, employees or agents) shall be commenced exclusively in the state and federal courts sitting in the City of New York, Borough of Manhattan. Each party hereto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proceeding, any claim that it is not personally subject to the jurisdiction of any such court, that such proceeding is improper.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7"/>
          <w:szCs w:val="17"/>
          <w:b w:val="1"/>
          <w:bCs w:val="1"/>
          <w:color w:val="auto"/>
        </w:rPr>
        <w:t>Each party hereto hereby irrevocably waives, to the fullest extent permitted by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applicable law, any and all right to trial by jury in any legal proceeding arising out of or relating to this Agreement or the transactions contemplated hereby. </w:t>
      </w:r>
      <w:r>
        <w:rPr>
          <w:rFonts w:ascii="Arial" w:cs="Arial" w:eastAsia="Arial" w:hAnsi="Arial"/>
          <w:sz w:val="17"/>
          <w:szCs w:val="17"/>
          <w:color w:val="auto"/>
        </w:rPr>
        <w:t>If any party shall commence a proceeding to enforce any provisions of this Agreement, then the prevailing party in such proceeding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reimbursed by the other party for its reasonable attorney’s fees and other costs and expenses incurred with the investigation, preparation and prosecution of such proceeding.</w:t>
      </w:r>
    </w:p>
    <w:p>
      <w:pPr>
        <w:spacing w:after="0" w:line="180" w:lineRule="exact"/>
        <w:rPr>
          <w:rFonts w:ascii="Arial" w:cs="Arial" w:eastAsia="Arial" w:hAnsi="Arial"/>
          <w:sz w:val="17"/>
          <w:szCs w:val="17"/>
          <w:color w:val="auto"/>
        </w:rPr>
      </w:pPr>
    </w:p>
    <w:p>
      <w:pPr>
        <w:jc w:val="both"/>
        <w:ind w:left="-20" w:firstLine="656"/>
        <w:spacing w:after="0" w:line="259" w:lineRule="auto"/>
        <w:tabs>
          <w:tab w:leader="none" w:pos="127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so executed shall be deemed to be an original and, all of which taken together shall constitute one and the same Agreement. In the event that any signature is delivered by facsimile or other electronic transmission, such signature shall create a valid binding obligation of the party executing (or on whose behalf such signature is executed) the same with the same force and effect as if such signature were the original thereof.</w:t>
      </w:r>
    </w:p>
    <w:p>
      <w:pPr>
        <w:spacing w:after="0" w:line="186" w:lineRule="exact"/>
        <w:rPr>
          <w:rFonts w:ascii="Arial" w:cs="Arial" w:eastAsia="Arial" w:hAnsi="Arial"/>
          <w:sz w:val="18"/>
          <w:szCs w:val="18"/>
          <w:color w:val="auto"/>
        </w:rPr>
      </w:pPr>
    </w:p>
    <w:p>
      <w:pPr>
        <w:ind w:left="1240" w:hanging="604"/>
        <w:spacing w:after="0"/>
        <w:tabs>
          <w:tab w:leader="none" w:pos="12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All Debtors shall jointly and severally be liable for the obligations of each Debtor to the Secured Parties hereunder.</w:t>
      </w:r>
    </w:p>
    <w:p>
      <w:pPr>
        <w:spacing w:after="0" w:line="225" w:lineRule="exact"/>
        <w:rPr>
          <w:rFonts w:ascii="Arial" w:cs="Arial" w:eastAsia="Arial" w:hAnsi="Arial"/>
          <w:sz w:val="18"/>
          <w:szCs w:val="18"/>
          <w:color w:val="auto"/>
        </w:rPr>
      </w:pPr>
    </w:p>
    <w:p>
      <w:pPr>
        <w:jc w:val="both"/>
        <w:ind w:left="-20" w:firstLine="656"/>
        <w:spacing w:after="0" w:line="253" w:lineRule="auto"/>
        <w:tabs>
          <w:tab w:leader="none" w:pos="147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Debtor shall indemnify, reimburse and hold harmless the Collateral Agent and the Secured Parties and their respective partners, members, shareholders, officers, directors, employees and agents (and any other persons with other titles that have similar functions) (collectively,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this Agreement or the Collateral, except any such losses, claims, liabilities, damages, penalties, suits, costs and expenses which result from the gross negligence or willful misconduct of the Indemnitee as determined by a final, nonappealable decision of a court of competent jurisdiction. This indemnification provision is in addition to, and not in limitation of, any other indemnification provision in the Notes, the Securities Purchase Agreement (as such term is defined in the Notes) or any other agreement, instrument or other document executed or delivered in connection herewith or therewith.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5" w:name="page296"/>
    <w:bookmarkEnd w:id="295"/>
    <w:p>
      <w:pPr>
        <w:jc w:val="both"/>
        <w:ind w:firstLine="656"/>
        <w:spacing w:after="0" w:line="276" w:lineRule="auto"/>
        <w:tabs>
          <w:tab w:leader="none" w:pos="130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Nothing in this Agreement shall be construed to subject Collateral Agent or any Secured Party to liability as a partner in any Debtor or any if its direct or indirect subsidiaries that is a partnership or as a member in any Debtor or any of its direct or indirect subsidiaries that is a limited liability company, nor shall Collateral Agent or any Secured Party be deemed to have assumed any obligations under any partnership agreement or limited liability company agreement, as applicable, of any such Debtor or any if its direct or indirect subsidiaries or otherwise, unless and until any such Secured Party exercises its right to be substituted for such Debtor as a partner or member, as applicable, pursuant hereto.</w:t>
      </w:r>
    </w:p>
    <w:p>
      <w:pPr>
        <w:spacing w:after="0" w:line="172" w:lineRule="exact"/>
        <w:rPr>
          <w:rFonts w:ascii="Arial" w:cs="Arial" w:eastAsia="Arial" w:hAnsi="Arial"/>
          <w:sz w:val="17"/>
          <w:szCs w:val="17"/>
          <w:color w:val="auto"/>
        </w:rPr>
      </w:pPr>
    </w:p>
    <w:p>
      <w:pPr>
        <w:jc w:val="both"/>
        <w:ind w:firstLine="656"/>
        <w:spacing w:after="0" w:line="312" w:lineRule="auto"/>
        <w:tabs>
          <w:tab w:leader="none" w:pos="1359"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To the extent that the grant of the security interest in the Collateral and the enforcement of the terms hereof require the consent, approval or action of any partner or member, as applicable, of any Debtor or any direct or indirect subsidiary of any Debtor or compliance with any provisions of any of the Organizational Documents, the Debtors hereby grant such consent and approval and waive any such noncompliance with the terms of said documents.</w:t>
      </w:r>
    </w:p>
    <w:p>
      <w:pPr>
        <w:spacing w:after="0" w:line="142" w:lineRule="exact"/>
        <w:rPr>
          <w:rFonts w:ascii="Arial" w:cs="Arial" w:eastAsia="Arial" w:hAnsi="Arial"/>
          <w:sz w:val="16"/>
          <w:szCs w:val="16"/>
          <w:color w:val="auto"/>
        </w:rPr>
      </w:pPr>
    </w:p>
    <w:p>
      <w:pPr>
        <w:jc w:val="both"/>
        <w:ind w:firstLine="8"/>
        <w:spacing w:after="0" w:line="272" w:lineRule="auto"/>
        <w:tabs>
          <w:tab w:leader="none" w:pos="792" w:val="left"/>
        </w:tabs>
        <w:numPr>
          <w:ilvl w:val="0"/>
          <w:numId w:val="311"/>
        </w:numPr>
        <w:rPr>
          <w:rFonts w:ascii="Arial" w:cs="Arial" w:eastAsia="Arial" w:hAnsi="Arial"/>
          <w:sz w:val="17"/>
          <w:szCs w:val="17"/>
          <w:color w:val="auto"/>
        </w:rPr>
      </w:pPr>
      <w:r>
        <w:rPr>
          <w:rFonts w:ascii="Arial" w:cs="Arial" w:eastAsia="Arial" w:hAnsi="Arial"/>
          <w:sz w:val="17"/>
          <w:szCs w:val="17"/>
          <w:b w:val="1"/>
          <w:bCs w:val="1"/>
          <w:color w:val="auto"/>
        </w:rPr>
        <w:t>Automatic Release</w:t>
      </w:r>
      <w:r>
        <w:rPr>
          <w:rFonts w:ascii="Arial" w:cs="Arial" w:eastAsia="Arial" w:hAnsi="Arial"/>
          <w:sz w:val="17"/>
          <w:szCs w:val="17"/>
          <w:color w:val="auto"/>
        </w:rPr>
        <w:t>. Notwithstanding anything herein to the contrary, immediately upon notice by the Company to the Collateral Agent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under the Senior Security Agreement of the security interest in any Collateral (as defined in the Senior Security Agreement) that would be included in the definition of “Excluded Property” had it not been included as collateral under the Senior Security Agreement (the “Released Property”), the lien and Security Interest granted to the Collateral Agent for the benefit of the Secured Parties pursuant to this Agreement in such Released Property, to the extent constituting property as described in clauses (i) through (vii) of the definition of “Excluded Property”, shall automatically terminate and all rights to the Released Property shall automatically revert to the applicable Grantor. Upon the automatic release of any Released Property pursuant to this Section 20, the Collateral Agent shall, at Grantors’ expense, promptly assign, transfer and deliver to the Grantors any documents (including UCC-3 termination statements or releases) as necessary to acknowledge or effectuate the release of such Released Property.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 of this page left intentionally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6" w:name="page297"/>
    <w:bookmarkEnd w:id="296"/>
    <w:p>
      <w:pPr>
        <w:ind w:left="660"/>
        <w:spacing w:after="0"/>
        <w:rPr>
          <w:sz w:val="20"/>
          <w:szCs w:val="20"/>
          <w:color w:val="auto"/>
        </w:rPr>
      </w:pPr>
      <w:r>
        <w:rPr>
          <w:rFonts w:ascii="Arial" w:cs="Arial" w:eastAsia="Arial" w:hAnsi="Arial"/>
          <w:sz w:val="16"/>
          <w:szCs w:val="16"/>
          <w:color w:val="auto"/>
        </w:rPr>
        <w:t>IN WITNESS WHEREOF, the parties hereto have caused this Security Agreement to be duly executed on the day and year first above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 PRODUCTS WHOLESALING,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AT TERM. 4 JFK,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AUSTIN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DFW KIOSK,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DOWNTOWN NYC,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FRANCHISING,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FRANCHISING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HOUSTON HOBBY,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HOUSTON INTERCONTINENTAL TERMINAL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JFK TERMINAL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JFK TERMINAL 7,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JFK TERMINAL 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JOHN WAYNE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LAS VEGAS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LAX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MOBILE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MSP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ONLINE SHOPPING,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ORLANDO,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PHILADELPHIA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PITTSBURGH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RALEIGH-DURHAM INT’L,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S.F.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SALT LAKE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WASHINGTON REAGAN,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behalf of all the above listed subsidiaries</w:t>
      </w: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909" w:right="7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t>COLLATERAL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ALPHA CAPITAL ANSTALT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t>OMNIBUS SECURED PARTY 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in its capacity as a Secured Party, hereby executes and delivers the Security Agreement to which this signature page is attached and agrees to be bound by the Security Agreement on the date set forth on the first page of the Security Agreement. This counterpart signature page, together with all counterparts of the Security Agreement and signature pages of the other parties named therein, shall constitute one and the same instrument in accordance with the terms of the Security Agreement.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306705</wp:posOffset>
            </wp:positionV>
            <wp:extent cx="28987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160655</wp:posOffset>
            </wp:positionV>
            <wp:extent cx="2898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Taxpayer ID#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1697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t>ANNEX A to 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ADDITIONAL DEBTOR JOINDER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Agreement dated as of May ___, 2018 made by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XpresSpa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its Subsidiaries party thereto from time to time, as Debtors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and in favor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Secured Parties identified therein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Security Agreement as defined above; capitalized terms used herein and not otherwise defined herein shall have the meanings given to such terms in, or by reference in, the Security Agreement.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undersigned hereby agrees that upon delivery of this Additional Debtor Joiner to the Secured Parties referred to above, the undersigned shall (a) be an Additional Debtor under the Security Agreement, (b) have all the rights and obligations of the Debtors under the Security Agreement as fully and to the same extent as if the undersigned was an original signatory thereto and (c) be deemed to have made the representations and warranties set forth therein as of the date of execution and delivery of this Additional Debtor Joinder (except to the extent such representation or warranty specifically refers to an earlier date).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WITHOUT LIMITING THE GENERALITY OF THE FOREGOING, THE UNDERSIGNED SPECIFICALLY GRANTS TO THE SECURED PARTIES A SECURITY INTEREST IN THE COLLATERAL AS MORE FULLY SET FORTH IN THE SECURITY AGREEMENT AND ACKNOWLEDGES AND AGREES TO THE WAIVER OF JURY TRIAL PROVISIONS SET FORTH THEREIN.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 are supplemental and/or replacement Schedules to the Security Agreement, as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 is an original Subsidiary Guaranty executed by the undersigned and delivered herewith.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executed copy of this Additional Debtor Joinder shall be delivered to the Secured Parties, and the Secured Parties may rely on the matters set forth herein on or after the date hereof. This Additional Debtor Joinder shall not be modified, amended or terminated without the prior written consent of the Secured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Joiner to be executed in the name and on behalf of the undersigned.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u w:val="single" w:color="auto"/>
          <w:color w:val="auto"/>
        </w:rPr>
        <w:t>SUBSIDIARY GUARANTY</w:t>
      </w:r>
    </w:p>
    <w:p>
      <w:pPr>
        <w:spacing w:after="0" w:line="229"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Identification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Guaranty (the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 May [_], 2018 is entered into by the undersigned (each a “</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for the benefit of the Collateral Agent identified below and the parties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170"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 Guarantor is a direct or indirect subsidiary of XpresSpa Group,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Lenders have made and/or are making loans to Parent (the “</w:t>
      </w:r>
      <w:r>
        <w:rPr>
          <w:rFonts w:ascii="Arial" w:cs="Arial" w:eastAsia="Arial" w:hAnsi="Arial"/>
          <w:sz w:val="18"/>
          <w:szCs w:val="18"/>
          <w:u w:val="single" w:color="auto"/>
          <w:color w:val="auto"/>
        </w:rPr>
        <w:t>Loans</w:t>
      </w:r>
      <w:r>
        <w:rPr>
          <w:rFonts w:ascii="Arial" w:cs="Arial" w:eastAsia="Arial" w:hAnsi="Arial"/>
          <w:sz w:val="18"/>
          <w:szCs w:val="18"/>
          <w:color w:val="auto"/>
        </w:rPr>
        <w:t>”). Guarantor will obtain substantial benefit from the proceeds of the Loans.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2.2 The Loans are and will be evidenced by certain Secured Convertible Promissory Notes (collectively, “</w:t>
      </w:r>
      <w:r>
        <w:rPr>
          <w:rFonts w:ascii="Arial" w:cs="Arial" w:eastAsia="Arial" w:hAnsi="Arial"/>
          <w:sz w:val="18"/>
          <w:szCs w:val="18"/>
          <w:u w:val="single" w:color="auto"/>
          <w:color w:val="auto"/>
        </w:rPr>
        <w:t>Note</w:t>
      </w:r>
      <w:r>
        <w:rPr>
          <w:rFonts w:ascii="Arial" w:cs="Arial" w:eastAsia="Arial" w:hAnsi="Arial"/>
          <w:sz w:val="18"/>
          <w:szCs w:val="18"/>
          <w:color w:val="auto"/>
        </w:rPr>
        <w:t>” or the “</w:t>
      </w:r>
      <w:r>
        <w:rPr>
          <w:rFonts w:ascii="Arial" w:cs="Arial" w:eastAsia="Arial" w:hAnsi="Arial"/>
          <w:sz w:val="18"/>
          <w:szCs w:val="18"/>
          <w:u w:val="single" w:color="auto"/>
          <w:color w:val="auto"/>
        </w:rPr>
        <w:t>Notes</w:t>
      </w:r>
      <w:r>
        <w:rPr>
          <w:rFonts w:ascii="Arial" w:cs="Arial" w:eastAsia="Arial" w:hAnsi="Arial"/>
          <w:sz w:val="18"/>
          <w:szCs w:val="18"/>
          <w:color w:val="auto"/>
        </w:rPr>
        <w:t>”) issued by Parent on, about or after the date of this Guaranty pursuant to that certain Securities Purchase Agreement dated at or about the date hereof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xml:space="preserve">”). The Notes issued on the Closing Date are further described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were and or will be executed by Parent as “Borrower” for the benefit of each Lender as the “Holder” thereof.</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2.3 In consideration of the Loans made and to be made by Lenders to Parent and for other good and valuable consideration, and as security for the performance by Parent of its obligations under the Notes and as security for the repayment of the Loans and all other sums due from Debtor to Lenders arising under the Notes (collectively, the “</w:t>
      </w:r>
      <w:r>
        <w:rPr>
          <w:rFonts w:ascii="Arial" w:cs="Arial" w:eastAsia="Arial" w:hAnsi="Arial"/>
          <w:sz w:val="18"/>
          <w:szCs w:val="18"/>
          <w:u w:val="single" w:color="auto"/>
          <w:color w:val="auto"/>
        </w:rPr>
        <w:t>Obligations</w:t>
      </w:r>
      <w:r>
        <w:rPr>
          <w:rFonts w:ascii="Arial" w:cs="Arial" w:eastAsia="Arial" w:hAnsi="Arial"/>
          <w:sz w:val="18"/>
          <w:szCs w:val="18"/>
          <w:color w:val="auto"/>
        </w:rPr>
        <w:t>”), Guarantor, for good and valuable consideration, receipt of which is acknowledged, has agreed to enter into this Guaranty.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2.4 The Lenders have appointed Alpha Capital Anstalt as Collateral Agent pursuant to that certain Security Agreement dated at or about the date of this Agreement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among the Lenders and Collateral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2.5 Upper case terms employed but not defined herein shall have the meanings ascribed to them in the Transaction Documents (as defined in the Securities Purchase Agreement).</w:t>
      </w:r>
    </w:p>
    <w:p>
      <w:pPr>
        <w:spacing w:after="0" w:line="170"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Guaranty</w:t>
      </w:r>
      <w:r>
        <w:rPr>
          <w:rFonts w:ascii="Arial" w:cs="Arial" w:eastAsia="Arial" w:hAnsi="Arial"/>
          <w:sz w:val="17"/>
          <w:szCs w:val="17"/>
          <w:color w:val="auto"/>
        </w:rPr>
        <w:t>. Guarantor hereby unconditionally and irrevocably guarantees, jointly and severally with any other guarantor of the Obligations, the punctual payment, performance and observance when due, whether at stated maturity, by acceleration or otherwise, of all of the Obligations now or hereafter existing, whether for principal, interest (including, without limitation, all interest that accrues after the commencement of any insolvency, bankruptcy or reorganization of Parent, whether or not constituting an allowed claim in such proceeding), fees, commissions, expense reimbursements, liquidated damages, indemnifications or otherwise arising under the Notes, Security Agreement, or any other Transaction Document (as defined in the Securities Purchase Agreement) (such obligations, to the extent not paid by Parent being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and included in the definition of Obligations), and agrees to pay any and all reasonable costs, fees and expenses (including reasonable counsel fees and expenses) incurred by Collateral Agent and the Lenders in enforcing any rights under the Guaranty set forth herein. Without limiting the generality of the foregoing, Guarantor’s liability shall extend to all amounts that constitute part of the Guaranteed Obligations and would be owed by Parent to Collateral Agent and the Lenders, but for the fact that they are unenforceable or not allowable due to the existence of an insolvency, bankruptcy or reorganization involving Parent.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1" w:name="page302"/>
    <w:bookmarkEnd w:id="301"/>
    <w:p>
      <w:pPr>
        <w:jc w:val="both"/>
        <w:ind w:firstLine="648"/>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Guaranty Absolute</w:t>
      </w:r>
      <w:r>
        <w:rPr>
          <w:rFonts w:ascii="Arial" w:cs="Arial" w:eastAsia="Arial" w:hAnsi="Arial"/>
          <w:sz w:val="17"/>
          <w:szCs w:val="17"/>
          <w:color w:val="auto"/>
        </w:rPr>
        <w:t>. Guarantor guarantees that the Guaranteed Obligations will be paid strictly in accordance with the terms of the Notes, regardless of any law, regulation or order now or hereafter in effect in any jurisdiction affecting any of such terms or the rights of Collateral Agent or the Lenders with respect thereto. The obligations of Guarantor under this Guaranty are independent of the Guaranteed Obligations, and a separate action or actions may be brought and prosecuted against Guarantor to enforce such obligations, irrespective of whether any action is brought against Parent or any other guarantor or whether Parent or any other guarantor is joined in any such action or actions. The liability of Guarantor under this Guaranty constitutes a primary obligation, and not a contract of surety, and to the extent permitted by law, shall be irrevocable, absolute and unconditional irrespective of, and Guarantor hereby irrevocably waives any defenses it may now or hereafter have in any way relating to, any or all of the following:</w:t>
      </w:r>
    </w:p>
    <w:p>
      <w:pPr>
        <w:spacing w:after="0" w:line="178" w:lineRule="exact"/>
        <w:rPr>
          <w:sz w:val="20"/>
          <w:szCs w:val="20"/>
          <w:color w:val="auto"/>
        </w:rPr>
      </w:pPr>
    </w:p>
    <w:p>
      <w:pPr>
        <w:ind w:left="1960" w:hanging="655"/>
        <w:spacing w:after="0"/>
        <w:tabs>
          <w:tab w:leader="none" w:pos="1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lack of validity of the Notes or any agreement or instrument relating thereto;</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3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the Notes, including, without limitation, any increase in the Guaranteed Obligations resulting from the extension of additional credit to Parent or otherwise;</w:t>
      </w:r>
    </w:p>
    <w:p>
      <w:pPr>
        <w:spacing w:after="0" w:line="181" w:lineRule="exact"/>
        <w:rPr>
          <w:rFonts w:ascii="Arial" w:cs="Arial" w:eastAsia="Arial" w:hAnsi="Arial"/>
          <w:sz w:val="18"/>
          <w:szCs w:val="18"/>
          <w:color w:val="auto"/>
        </w:rPr>
      </w:pPr>
    </w:p>
    <w:p>
      <w:pPr>
        <w:ind w:firstLine="1305"/>
        <w:spacing w:after="0" w:line="277" w:lineRule="auto"/>
        <w:tabs>
          <w:tab w:leader="none" w:pos="197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taking, exchange, release, subordination or non-perfection of any Collateral, or any taking, release or amendment or waiver of or consent to departure from any other guaranty, for all or any of the Guaranteed Obligations;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any change, restructuring or termination of the corporate, limited liability company or partnership structure or existence of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29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other circumstance (including, without limitation, any statute of limitations) or any existence of or reliance on any representation by Collateral Agent or the Lenders that might otherwise constitute a defense available to, or a discharge of, Parent or any other guarantor or surety.</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Guaranty shall continue to be effective or be reinstated, as the case may be, if at any time any payment of any of the Guaranteed Obligations is rescinded or must otherwise be returned by Collateral Agent, the Lenders or any other entity upon the insolvency, bankruptcy or reorganization of the Parent or otherwise (and whether as a result of any demand, settlement, litigation or otherwise), all as though such payment had not been made.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2" w:name="page303"/>
    <w:bookmarkEnd w:id="302"/>
    <w:p>
      <w:pPr>
        <w:jc w:val="both"/>
        <w:ind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Waiver</w:t>
      </w:r>
      <w:r>
        <w:rPr>
          <w:rFonts w:ascii="Arial" w:cs="Arial" w:eastAsia="Arial" w:hAnsi="Arial"/>
          <w:sz w:val="18"/>
          <w:szCs w:val="18"/>
          <w:color w:val="auto"/>
        </w:rPr>
        <w:t>. Guarantor hereby waives promptness, diligence, notice of acceptance and any other notice with respect to any of the Guaranteed Obligations and this Guaranty and any requirement that Collateral Agent or the Lenders exhaust any right or take any action against any Borrower or any other person or entity or any Collateral. Guarantor acknowledges that it will receive direct and indirect benefits from the financing arrangements contemplated herein and that the waiver set forth in this Section 3.3 is knowingly made in contemplation of such benefits. Guarantor hereby waives any right to revoke this Guaranty, and acknowledges that this Guaranty is continuing in nature and applies to all Guaranteed Obligations, whether existing now or in the future.</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Continuing Guaranty; Assignments</w:t>
      </w:r>
      <w:r>
        <w:rPr>
          <w:rFonts w:ascii="Arial" w:cs="Arial" w:eastAsia="Arial" w:hAnsi="Arial"/>
          <w:sz w:val="16"/>
          <w:szCs w:val="16"/>
          <w:color w:val="auto"/>
        </w:rPr>
        <w:t>. This Guaranty is a continuing guaranty and shall (a) remain in full force and effect until the later of the indefeasible cash or other payment in full of the Guaranteed Obligations (other than unasserted contingent obligations until such obligations arise or are asserted), (b) be binding upon Guarantor, its successors and assigns, and (c) inure to the benefit of and be enforceable by the Lenders and their successors, pledgees, transferees and assigns. Without limiting the generality of the foregoing clause (c), any Lender may pledge, assign or otherwise transfer all or any portion of its rights and obligations under this Guaranty (including, without limitation, all or any portion of its Notes owing to it) to any other Person, and such other Person shall thereupon become vested with all the benefits in respect thereof granted such Collateral Agent or Lender herein or otherwise.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Subrogation</w:t>
      </w:r>
      <w:r>
        <w:rPr>
          <w:rFonts w:ascii="Arial" w:cs="Arial" w:eastAsia="Arial" w:hAnsi="Arial"/>
          <w:sz w:val="17"/>
          <w:szCs w:val="17"/>
          <w:color w:val="auto"/>
        </w:rPr>
        <w:t>. Guarantor will not exercise any rights that it may now or hereafter acquire against the Collateral Agent or any Lender or other guarantor (if any) that arise from the existence, payment, performance or enforcement of such Guarantor’s obligations under this Guaranty, including, without limitation, any right of subrogation, reimbursement, exoneration, contribution or indemnification, whether or not such claim, remedy or right arises in equity or under contract, statute or common law, including, without limitation, the right to take or receive from the Collateral Agent or any Lender or other guarantor (if any), directly or indirectly, in cash or other property or by set-off or in any other manner, payment or security solely on account of such claim, remedy or right, unless and until all of the Guaranteed Obligations and all other amounts payable under this Guaranty shall have been indefeasibly paid in full (other than unasserted contingent obligations until such obligations arise or are asserted).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Maximum Obligations</w:t>
      </w:r>
      <w:r>
        <w:rPr>
          <w:rFonts w:ascii="Arial" w:cs="Arial" w:eastAsia="Arial" w:hAnsi="Arial"/>
          <w:sz w:val="18"/>
          <w:szCs w:val="18"/>
          <w:color w:val="auto"/>
        </w:rPr>
        <w:t>. Notwithstanding any provision herein contained to the contrary, Guarantor’s liability with respect to the Obligations shall be limited to an amount not to exceed, as of any date of determination, the amount that could be claimed by Lenders from Guarantor without rendering such claim voidable or avoidable under Section 548 of the Bankruptcy Code or under any applicable state Uniform Fraudulent Transfer Act, Uniform Fraudulent Conveyance Act or similar statute or common law.</w:t>
      </w:r>
    </w:p>
    <w:p>
      <w:pPr>
        <w:spacing w:after="0" w:line="187"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Expenses</w:t>
      </w:r>
      <w:r>
        <w:rPr>
          <w:rFonts w:ascii="Arial" w:cs="Arial" w:eastAsia="Arial" w:hAnsi="Arial"/>
          <w:sz w:val="18"/>
          <w:szCs w:val="18"/>
          <w:color w:val="auto"/>
        </w:rPr>
        <w:t>. Guarantor shall pay to the Lenders, on demand, the amount of any and all reasonable expenses, including, without limitation, reasonable attorneys’ fees, reasonable legal expenses and reasonable brokers’ fees, which the Lenders may incur in connection with exercise or enforcement of any the rights, remedies or powers of the Lenders hereunder or with respect to any or all of the Obligations.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3" w:name="page304"/>
    <w:bookmarkEnd w:id="303"/>
    <w:p>
      <w:pPr>
        <w:jc w:val="both"/>
        <w:ind w:firstLine="648"/>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Waivers, Amendment and Remedies</w:t>
      </w:r>
      <w:r>
        <w:rPr>
          <w:rFonts w:ascii="Arial" w:cs="Arial" w:eastAsia="Arial" w:hAnsi="Arial"/>
          <w:sz w:val="17"/>
          <w:szCs w:val="17"/>
          <w:color w:val="auto"/>
        </w:rPr>
        <w:t>. No course of dealing by the Lenders and no failure by the Lenders to exercise, or delay by the Lender in exercising, any right, remedy or power hereunder shall operate as a waiver thereof, and no single or partial exercise thereof shall preclude any other or further exercise thereof or the exercise of any other right, remedy or power of the Lenders. No amendment, modification or waiver of any provision of this Guaranty and no consent to any departure by Guarantor therefrom, shall, in any event, be effective unless contained in a writing signed by the Guarantor and the Majority in Interest (as such term is defined in the Security Agreement) or Lenders against whom such amendment, modification or waiver is sought, and then such waiver or consent shall be effective only in the specific instance and for the specific purpose for which given. The rights, remedies and powers of the Lenders, not only hereunder, but also under any other Transaction Documents and under applicable law are cumulative, and may be exercised by the Lenders from time to time in such order as the Lenders may elect.</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(a) personally served, (b) deposited in the mail, registered or certified, return receipt requested, postage prepaid, (c) delivered by a reputable overnight courier service with charges prepaid, or (d) transmitted by hand delivery, telegram, or facsimile, addressed as set forth below or to such other address as such party shall have specified most recently by written notice. Any notice or other communication required or permitted to be given hereunder shall be deemed effective (i) upon hand delivery or delivery by facsimile, with accurate confirmation generated by the transmitting facsimile machine, at the address or number designated below if delivered on a Business Day during normal business hours, or the first Business Day following such delivery (if delivered other than on a Business Day during normal business hours), (ii) on the first Business Day following the date deposited with an overnight courier service with charges prepaid, or (iii) on the fifth Business Day following the date of mailing pursuant to subpart (b) above, or upon actual receipt of such mailing, whichever shall first occur. The addresses for such communications shall be:</w:t>
      </w:r>
    </w:p>
    <w:p>
      <w:pPr>
        <w:spacing w:after="0" w:line="167"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8"/>
          <w:szCs w:val="18"/>
          <w:color w:val="auto"/>
        </w:rPr>
        <w:t>To Guarantor, to:</w:t>
      </w:r>
      <w:r>
        <w:rPr>
          <w:sz w:val="20"/>
          <w:szCs w:val="20"/>
          <w:color w:val="auto"/>
        </w:rPr>
        <w:tab/>
      </w:r>
      <w:r>
        <w:rPr>
          <w:rFonts w:ascii="Arial" w:cs="Arial" w:eastAsia="Arial" w:hAnsi="Arial"/>
          <w:sz w:val="16"/>
          <w:szCs w:val="16"/>
          <w:color w:val="auto"/>
        </w:rPr>
        <w:t>c/o XpresSpa Group, Inc.</w:t>
      </w:r>
    </w:p>
    <w:p>
      <w:pPr>
        <w:ind w:left="418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Attn: Edward Jankowski, CEO</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Email: ejankowski@xpresspa.com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by email only to</w:t>
      </w:r>
    </w:p>
    <w:p>
      <w:pPr>
        <w:spacing w:after="0" w:line="23" w:lineRule="exact"/>
        <w:rPr>
          <w:sz w:val="20"/>
          <w:szCs w:val="20"/>
          <w:color w:val="auto"/>
        </w:rPr>
      </w:pPr>
    </w:p>
    <w:p>
      <w:pPr>
        <w:ind w:left="4180" w:right="4320" w:hanging="3591"/>
        <w:spacing w:after="0" w:line="250" w:lineRule="auto"/>
        <w:tabs>
          <w:tab w:leader="none" w:pos="4160" w:val="left"/>
        </w:tabs>
        <w:rPr>
          <w:sz w:val="20"/>
          <w:szCs w:val="20"/>
          <w:color w:val="auto"/>
        </w:rPr>
      </w:pPr>
      <w:r>
        <w:rPr>
          <w:rFonts w:ascii="Arial" w:cs="Arial" w:eastAsia="Arial" w:hAnsi="Arial"/>
          <w:sz w:val="18"/>
          <w:szCs w:val="18"/>
          <w:color w:val="auto"/>
        </w:rPr>
        <w:t>(which shall not constitute notice):</w:t>
      </w:r>
      <w:r>
        <w:rPr>
          <w:sz w:val="20"/>
          <w:szCs w:val="20"/>
          <w:color w:val="auto"/>
        </w:rPr>
        <w:tab/>
      </w:r>
      <w:r>
        <w:rPr>
          <w:rFonts w:ascii="Arial" w:cs="Arial" w:eastAsia="Arial" w:hAnsi="Arial"/>
          <w:sz w:val="18"/>
          <w:szCs w:val="18"/>
          <w:color w:val="auto"/>
        </w:rPr>
        <w:t>Mintz, Levin, Cohn, Ferris, Glovsky and Popeo, P.C.</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Chrysler Center</w:t>
      </w:r>
    </w:p>
    <w:p>
      <w:pPr>
        <w:ind w:left="4180"/>
        <w:spacing w:after="0" w:line="186" w:lineRule="auto"/>
        <w:rPr>
          <w:sz w:val="20"/>
          <w:szCs w:val="20"/>
          <w:color w:val="auto"/>
        </w:rPr>
      </w:pPr>
      <w:r>
        <w:rPr>
          <w:rFonts w:ascii="Arial" w:cs="Arial" w:eastAsia="Arial" w:hAnsi="Arial"/>
          <w:sz w:val="18"/>
          <w:szCs w:val="18"/>
          <w:color w:val="auto"/>
        </w:rPr>
        <w:t>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w:t>
      </w:r>
    </w:p>
    <w:p>
      <w:pPr>
        <w:ind w:left="418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Attn: Kenneth R. Koch, Esq.</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Email: krkoch@mintz.com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4" w:name="page305"/>
    <w:bookmarkEnd w:id="304"/>
    <w:p>
      <w:pPr>
        <w:ind w:left="580"/>
        <w:spacing w:after="0"/>
        <w:tabs>
          <w:tab w:leader="none" w:pos="4160" w:val="left"/>
        </w:tabs>
        <w:rPr>
          <w:sz w:val="20"/>
          <w:szCs w:val="20"/>
          <w:color w:val="auto"/>
        </w:rPr>
      </w:pPr>
      <w:r>
        <w:rPr>
          <w:rFonts w:ascii="Arial" w:cs="Arial" w:eastAsia="Arial" w:hAnsi="Arial"/>
          <w:sz w:val="18"/>
          <w:szCs w:val="18"/>
          <w:color w:val="auto"/>
        </w:rPr>
        <w:t>To the Collateral Agent:</w:t>
      </w:r>
      <w:r>
        <w:rPr>
          <w:sz w:val="20"/>
          <w:szCs w:val="20"/>
          <w:color w:val="auto"/>
        </w:rPr>
        <w:tab/>
      </w:r>
      <w:r>
        <w:rPr>
          <w:rFonts w:ascii="Arial" w:cs="Arial" w:eastAsia="Arial" w:hAnsi="Arial"/>
          <w:sz w:val="16"/>
          <w:szCs w:val="16"/>
          <w:color w:val="auto"/>
        </w:rPr>
        <w:t>Alpha Capital Anstalt</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 Grushko &amp; Mittman, P.C.</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515 Rockaway Avenue</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Valley Stream, New York 11581</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counslers@gmail.com With a copy by email only to</w:t>
      </w:r>
    </w:p>
    <w:p>
      <w:pPr>
        <w:spacing w:after="0" w:line="9" w:lineRule="exact"/>
        <w:rPr>
          <w:sz w:val="20"/>
          <w:szCs w:val="20"/>
          <w:color w:val="auto"/>
        </w:rPr>
      </w:pPr>
    </w:p>
    <w:p>
      <w:pPr>
        <w:ind w:left="580"/>
        <w:spacing w:after="0"/>
        <w:tabs>
          <w:tab w:leader="none" w:pos="4160" w:val="left"/>
        </w:tabs>
        <w:rPr>
          <w:sz w:val="20"/>
          <w:szCs w:val="20"/>
          <w:color w:val="auto"/>
        </w:rPr>
      </w:pPr>
      <w:r>
        <w:rPr>
          <w:rFonts w:ascii="Arial" w:cs="Arial" w:eastAsia="Arial" w:hAnsi="Arial"/>
          <w:sz w:val="18"/>
          <w:szCs w:val="18"/>
          <w:color w:val="auto"/>
        </w:rPr>
        <w:t>(which shall not constitute notice):</w:t>
      </w:r>
      <w:r>
        <w:rPr>
          <w:sz w:val="20"/>
          <w:szCs w:val="20"/>
          <w:color w:val="auto"/>
        </w:rPr>
        <w:tab/>
      </w:r>
      <w:r>
        <w:rPr>
          <w:rFonts w:ascii="Arial" w:cs="Arial" w:eastAsia="Arial" w:hAnsi="Arial"/>
          <w:sz w:val="16"/>
          <w:szCs w:val="16"/>
          <w:color w:val="auto"/>
        </w:rPr>
        <w:t>Grushko &amp; Mittman, P.C.</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515 Rockaway Avenue</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Valley Stream, New York 11581</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email: counslers@gmail.com</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Attn: Edward M. Grushko, Esq.</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Email: ed@grushkomittman.com</w:t>
      </w:r>
    </w:p>
    <w:p>
      <w:pPr>
        <w:sectPr>
          <w:pgSz w:w="11900" w:h="16838" w:orient="portrait"/>
          <w:cols w:equalWidth="0" w:num="1">
            <w:col w:w="11420"/>
          </w:cols>
          <w:pgMar w:left="240" w:top="908" w:right="239" w:bottom="1440" w:gutter="0" w:footer="0" w:header="0"/>
        </w:sect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Lenders: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To the addresses and telecopier numbers set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forth on Schedule A</w:t>
      </w:r>
    </w:p>
    <w:p>
      <w:pPr>
        <w:spacing w:after="0" w:line="200" w:lineRule="exact"/>
        <w:rPr>
          <w:sz w:val="20"/>
          <w:szCs w:val="20"/>
          <w:color w:val="auto"/>
        </w:rPr>
      </w:pPr>
    </w:p>
    <w:p>
      <w:pPr>
        <w:sectPr>
          <w:pgSz w:w="11900" w:h="16838" w:orient="portrait"/>
          <w:cols w:equalWidth="0" w:num="2">
            <w:col w:w="3460" w:space="720"/>
            <w:col w:w="7240"/>
          </w:cols>
          <w:pgMar w:left="240" w:top="908"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its address by written notice in accordance with this paragraph.</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Term; Binding Effect</w:t>
      </w:r>
      <w:r>
        <w:rPr>
          <w:rFonts w:ascii="Arial" w:cs="Arial" w:eastAsia="Arial" w:hAnsi="Arial"/>
          <w:sz w:val="16"/>
          <w:szCs w:val="16"/>
          <w:color w:val="auto"/>
        </w:rPr>
        <w:t>. This Guaranty shall (a) remain in full force and effect until payment and satisfaction in full of all of the Guaranteed Obligations (other than unasserted contingent obligations until such obligations arise or are asserted); (b) be binding upon Guarantor and its successors and permitted assigns; and (c) inure to the benefit of the Lenders and their respective successors and assigns. All the rights and benefits granted by Guarantor to the Collateral Agent and Lenders hereunder and other agreements and documents delivered in connection therewith are deemed granted to both the Collateral Agent and Lenders. Upon the payment in full of the Guaranteed Obligations (other than unasserted contingent obligations until such obligations arise or are asserted), (i) this Guaranty shall terminate and (ii) the Lenders will, upon Guarantor’s request and at Guarantor’s expense, execute and deliver to Guarantor such documents as Guarantor shall reasonably request to evidence such termination, all without any representation, warranty or recourse whatsoever.</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Paragraphs, Articles and Sections in this Guaranty have been included for convenience of reference only, and shall not define or limit the provisions hereof and have no legal or other significance whatsoever.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05" w:name="page306"/>
    <w:bookmarkEnd w:id="305"/>
    <w:p>
      <w:pPr>
        <w:jc w:val="both"/>
        <w:ind w:firstLine="648"/>
        <w:spacing w:after="0" w:line="28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Governing Law; Venue; Severability</w:t>
      </w:r>
      <w:r>
        <w:rPr>
          <w:rFonts w:ascii="Arial" w:cs="Arial" w:eastAsia="Arial" w:hAnsi="Arial"/>
          <w:sz w:val="16"/>
          <w:szCs w:val="16"/>
          <w:color w:val="auto"/>
        </w:rPr>
        <w:t xml:space="preserve">. This Guaranty shall be governed by and construed in accordance with the laws of the State of New York without regard to principles of conflicts or choice of law. Any legal action or proceeding against Guarantor with respect to this Guaranty may be brought in the courts of the State of New York or of the United States for the Southern District of New York, and, by execution and delivery of this Guaranty, Guarantor hereby irrevocably accepts for itself and in respect of its property, generally and unconditionally, the jurisdiction of the aforesaid courts. Guarantor hereby irrevocably waives any objection which it may now or hereafter have to the laying of venue of any of the aforesaid actions or proceedings arising out of or in connection with this Guaranty brought in the aforesaid courts and hereby further irrevocably waives and agrees not to plead or claim in any such court that any such action or proceeding brought in any such court has been brought in an inconvenient forum. If any provision of this Guaranty, or the application thereof to any person or circumstance, is held invalid, such invalidity shall not affect any other provisions which can be given effect without the invalid provision or application, and to this end the provisions hereof shall be severable and the remaining, valid provisions shall remain of full force and effect. </w:t>
      </w:r>
      <w:r>
        <w:rPr>
          <w:rFonts w:ascii="Arial" w:cs="Arial" w:eastAsia="Arial" w:hAnsi="Arial"/>
          <w:sz w:val="16"/>
          <w:szCs w:val="16"/>
          <w:b w:val="1"/>
          <w:bCs w:val="1"/>
          <w:color w:val="auto"/>
        </w:rPr>
        <w:t>This</w:t>
      </w:r>
    </w:p>
    <w:p>
      <w:pPr>
        <w:spacing w:after="0" w:line="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Guaranty shall be deemed an unconditional obligation of Guarantor for the payment of money and, without limitation to any other remedies of Lenders, may be enforced against Guarantor by summary proceeding pursuant to New York Civil Procedure Law and Rules Section 3213 or any similar rule or statute in the jurisdiction where enforcement is sought. For purposes of such rule or statute, any other document or agreement to which Lenders and Guarantor are parties or which Guarantor delivered to Lenders, which may be convenient or necessary to determine Lenders’ rights hereunder or Guarantor’s obligations to Lenders are deemed a part of this Guaranty, whether or not such other document or agreement was delivered together herewith or was executed apart from this Guaranty. </w:t>
      </w:r>
      <w:r>
        <w:rPr>
          <w:rFonts w:ascii="Arial" w:cs="Arial" w:eastAsia="Arial" w:hAnsi="Arial"/>
          <w:sz w:val="16"/>
          <w:szCs w:val="16"/>
          <w:color w:val="auto"/>
        </w:rPr>
        <w:t>Each party hereby irrevocably waives personal service of process and consents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being served in any suit, action or proceeding in connection with this Agreement or any other Transaction Document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Guarantor irrevocably appoints Parent its true and lawful agent for service of process upon whom all processes of law and notices may be served and given in the manner described above; and such service and notice shall be deemed valid personal service and notice upon Guarantor with the same force and validity as if served upon Guarantor.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Satisfaction of Obligations</w:t>
      </w:r>
      <w:r>
        <w:rPr>
          <w:rFonts w:ascii="Arial" w:cs="Arial" w:eastAsia="Arial" w:hAnsi="Arial"/>
          <w:sz w:val="18"/>
          <w:szCs w:val="18"/>
          <w:color w:val="auto"/>
        </w:rPr>
        <w:t>. For all purposes of this Guaranty, the payment in full of the Obligations shall be conclusively deemed to have occurred when the Obligations have been indefeasibly paid pursuant to the terms of the Notes and the Securities Purchase Agreement (other than unasserted contingent obligations until such obligations arise or are asserted).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Counterparts/Execution</w:t>
      </w:r>
      <w:r>
        <w:rPr>
          <w:rFonts w:ascii="Arial" w:cs="Arial" w:eastAsia="Arial" w:hAnsi="Arial"/>
          <w:sz w:val="18"/>
          <w:szCs w:val="18"/>
          <w:color w:val="auto"/>
        </w:rPr>
        <w:t>. This Agreement may be executed in any number of counterparts and by the different signatories hereto on separate counterparts, each of which, when so executed, shall be deemed an original, but all such counterparts shall constitute but one and the same instrument. This Agreement may be executed by facsimile signature and delivered by electronic transmission.</w:t>
      </w:r>
    </w:p>
    <w:p>
      <w:pPr>
        <w:spacing w:after="0" w:line="18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[THE BALANCE OF THIS PAGE HAS BEEN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6" w:name="page307"/>
    <w:bookmarkEnd w:id="30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undersigned have executed and delivered this Guaranty,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 PRODUCTS WHOLESALING,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AT TERM. 4 JFK,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AUSTIN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DFW KIOSK,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DOWNTOWN NYC,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FRANCHISING,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FRANCHISING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HOUSTON HOBBY,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HOUSTON INTERCONTINENTAL TERMINAL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JFK TERMINAL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JFK TERMINAL 7,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JFK TERMINAL 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JOHN WAYNE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LAS VEGAS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LAX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MOBILE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MSP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ONLINE SHOPPING,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ORLANDO,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PHILADELPHIA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PITTSBURGH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RALEIGH-DURHAM INT’L,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S.F.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SALT LAKE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WASHINGTON REAGAN,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behalf of all the above listed Guarantors</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307" w:name="page308"/>
    <w:bookmarkEnd w:id="307"/>
    <w:p>
      <w:pPr>
        <w:jc w:val="center"/>
        <w:spacing w:after="0"/>
        <w:rPr>
          <w:sz w:val="20"/>
          <w:szCs w:val="20"/>
          <w:color w:val="auto"/>
        </w:rPr>
      </w:pPr>
      <w:r>
        <w:rPr>
          <w:rFonts w:ascii="Arial" w:cs="Arial" w:eastAsia="Arial" w:hAnsi="Arial"/>
          <w:sz w:val="16"/>
          <w:szCs w:val="16"/>
          <w:b w:val="1"/>
          <w:bCs w:val="1"/>
          <w:color w:val="auto"/>
        </w:rPr>
        <w:t>This Guaranty Agreement may be signed by facsimile signature and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by confirmed facsimile transmission.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8" w:name="page309"/>
    <w:bookmarkEnd w:id="308"/>
    <w:p>
      <w:pPr>
        <w:ind w:left="4440"/>
        <w:spacing w:after="0"/>
        <w:rPr>
          <w:sz w:val="20"/>
          <w:szCs w:val="20"/>
          <w:color w:val="auto"/>
        </w:rPr>
      </w:pPr>
      <w:r>
        <w:rPr>
          <w:rFonts w:ascii="Arial" w:cs="Arial" w:eastAsia="Arial" w:hAnsi="Arial"/>
          <w:sz w:val="18"/>
          <w:szCs w:val="18"/>
          <w:b w:val="1"/>
          <w:bCs w:val="1"/>
          <w:u w:val="single" w:color="auto"/>
          <w:color w:val="auto"/>
        </w:rPr>
        <w:t>SCHEDULE A TO GUARANTY</w:t>
      </w:r>
    </w:p>
    <w:p>
      <w:pPr>
        <w:spacing w:after="0" w:line="252"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PURCHASE</w:t>
      </w:r>
    </w:p>
    <w:p>
      <w:pPr>
        <w:spacing w:after="0" w:line="196" w:lineRule="auto"/>
        <w:tabs>
          <w:tab w:leader="none" w:pos="9520" w:val="left"/>
        </w:tabs>
        <w:rPr>
          <w:sz w:val="20"/>
          <w:szCs w:val="20"/>
          <w:color w:val="auto"/>
        </w:rPr>
      </w:pPr>
      <w:r>
        <w:rPr>
          <w:rFonts w:ascii="Arial" w:cs="Arial" w:eastAsia="Arial" w:hAnsi="Arial"/>
          <w:sz w:val="18"/>
          <w:szCs w:val="18"/>
          <w:b w:val="1"/>
          <w:bCs w:val="1"/>
          <w:color w:val="auto"/>
        </w:rPr>
        <w:t>PURCHASER AND ADDRESS</w:t>
      </w:r>
      <w:r>
        <w:rPr>
          <w:sz w:val="20"/>
          <w:szCs w:val="20"/>
          <w:color w:val="auto"/>
        </w:rPr>
        <w:tab/>
      </w:r>
      <w:r>
        <w:rPr>
          <w:rFonts w:ascii="Arial" w:cs="Arial" w:eastAsia="Arial" w:hAnsi="Arial"/>
          <w:sz w:val="26"/>
          <w:szCs w:val="26"/>
          <w:b w:val="1"/>
          <w:bCs w:val="1"/>
          <w:color w:val="auto"/>
          <w:vertAlign w:val="superscript"/>
        </w:rPr>
        <w:t>PRICE and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904" w:right="89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t>ANNEX B to 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COLLATERAL AGENT</w:t>
      </w:r>
    </w:p>
    <w:p>
      <w:pPr>
        <w:spacing w:after="0" w:line="225" w:lineRule="exact"/>
        <w:rPr>
          <w:sz w:val="20"/>
          <w:szCs w:val="20"/>
          <w:color w:val="auto"/>
        </w:rPr>
      </w:pPr>
    </w:p>
    <w:p>
      <w:pPr>
        <w:jc w:val="both"/>
        <w:ind w:firstLine="8"/>
        <w:spacing w:after="0" w:line="273" w:lineRule="auto"/>
        <w:tabs>
          <w:tab w:leader="none" w:pos="180" w:val="left"/>
        </w:tabs>
        <w:numPr>
          <w:ilvl w:val="0"/>
          <w:numId w:val="317"/>
        </w:numPr>
        <w:rPr>
          <w:rFonts w:ascii="Arial" w:cs="Arial" w:eastAsia="Arial" w:hAnsi="Arial"/>
          <w:sz w:val="17"/>
          <w:szCs w:val="17"/>
          <w:color w:val="auto"/>
        </w:rPr>
      </w:pPr>
      <w:r>
        <w:rPr>
          <w:rFonts w:ascii="Arial" w:cs="Arial" w:eastAsia="Arial" w:hAnsi="Arial"/>
          <w:sz w:val="17"/>
          <w:szCs w:val="17"/>
          <w:b w:val="1"/>
          <w:bCs w:val="1"/>
          <w:color w:val="auto"/>
        </w:rPr>
        <w:t>Appointment</w:t>
      </w:r>
      <w:r>
        <w:rPr>
          <w:rFonts w:ascii="Arial" w:cs="Arial" w:eastAsia="Arial" w:hAnsi="Arial"/>
          <w:sz w:val="17"/>
          <w:szCs w:val="17"/>
          <w:color w:val="auto"/>
        </w:rPr>
        <w:t>. The Secured Parties (all capitalized terms used herein and not otherwise defined shall have the respective meanings provided in the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which this Annex B is attached (the “</w:t>
      </w:r>
      <w:r>
        <w:rPr>
          <w:rFonts w:ascii="Arial" w:cs="Arial" w:eastAsia="Arial" w:hAnsi="Arial"/>
          <w:sz w:val="17"/>
          <w:szCs w:val="17"/>
          <w:u w:val="single" w:color="auto"/>
          <w:color w:val="auto"/>
        </w:rPr>
        <w:t>Agreement</w:t>
      </w:r>
      <w:r>
        <w:rPr>
          <w:rFonts w:ascii="Arial" w:cs="Arial" w:eastAsia="Arial" w:hAnsi="Arial"/>
          <w:sz w:val="17"/>
          <w:szCs w:val="17"/>
          <w:color w:val="auto"/>
        </w:rPr>
        <w:t>”), by their acceptance of the benefits of the Agreement, hereby designate Alpha Capital Anstalt (“</w:t>
      </w:r>
      <w:r>
        <w:rPr>
          <w:rFonts w:ascii="Arial" w:cs="Arial" w:eastAsia="Arial" w:hAnsi="Arial"/>
          <w:sz w:val="17"/>
          <w:szCs w:val="17"/>
          <w:u w:val="single" w:color="auto"/>
          <w:color w:val="auto"/>
        </w:rPr>
        <w:t>Collateral Agent</w:t>
      </w:r>
      <w:r>
        <w:rPr>
          <w:rFonts w:ascii="Arial" w:cs="Arial" w:eastAsia="Arial" w:hAnsi="Arial"/>
          <w:sz w:val="17"/>
          <w:szCs w:val="17"/>
          <w:color w:val="auto"/>
        </w:rPr>
        <w:t>”) as the Collateral Agent to act as specified herein and in the Agreement. Each Secured Party shall be deemed irrevocably to authorize the Collateral Agent to take such action on its behalf under the provisions of the Agreement and any other Transaction Document (as such term is defined in the Notes) and to exercise such powers and to perform such duties hereunder and thereunder as are specifically delegated to or required of the Collateral Agent by the terms hereof and thereof and such other powers as are reasonably incidental thereto. The Collateral Agent may perform any of its duties hereunder by or through its agents or employees.</w:t>
      </w:r>
    </w:p>
    <w:p>
      <w:pPr>
        <w:spacing w:after="0" w:line="172" w:lineRule="exact"/>
        <w:rPr>
          <w:rFonts w:ascii="Arial" w:cs="Arial" w:eastAsia="Arial" w:hAnsi="Arial"/>
          <w:sz w:val="17"/>
          <w:szCs w:val="17"/>
          <w:color w:val="auto"/>
        </w:rPr>
      </w:pPr>
    </w:p>
    <w:p>
      <w:pPr>
        <w:jc w:val="both"/>
        <w:ind w:firstLine="8"/>
        <w:spacing w:after="0" w:line="291" w:lineRule="auto"/>
        <w:tabs>
          <w:tab w:leader="none" w:pos="180" w:val="left"/>
        </w:tabs>
        <w:numPr>
          <w:ilvl w:val="0"/>
          <w:numId w:val="317"/>
        </w:numPr>
        <w:rPr>
          <w:rFonts w:ascii="Arial" w:cs="Arial" w:eastAsia="Arial" w:hAnsi="Arial"/>
          <w:sz w:val="16"/>
          <w:szCs w:val="16"/>
          <w:color w:val="auto"/>
        </w:rPr>
      </w:pPr>
      <w:r>
        <w:rPr>
          <w:rFonts w:ascii="Arial" w:cs="Arial" w:eastAsia="Arial" w:hAnsi="Arial"/>
          <w:sz w:val="16"/>
          <w:szCs w:val="16"/>
          <w:b w:val="1"/>
          <w:bCs w:val="1"/>
          <w:color w:val="auto"/>
        </w:rPr>
        <w:t>Nature of Duties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shall have no duties or responsibilities except those expressly set forth in the Agreement. Neither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nor any of its partners, members, shareholders, officers, directors, employees or agents shall be liable for any action taken or omitted by it as such under the Agreement or hereunder or in connection herewith or therewith, be responsible for the consequence of any oversight or error of judgment or answerable for any loss, unless caused solely by its or their gross negligence or willful misconduct as determined by a final judgment (not subject to further appeal) of a court of competent jurisdiction. The duties of the Collateral Agent shall be mechanical and administrative in nature; the Collateral Agent shall not have by reason of the Agreement or any other Transaction Document a fiduciary relationship in respect of any Debtor or any Secured Party; and nothing in the Agreement or any other Transaction Document, expressed or implied, is intended to or shall be so construed as to impose upon the Collateral Agent any obligations in respect of the Agreement or any other Transaction Document except as expressly set forth herein and therein.</w:t>
      </w:r>
    </w:p>
    <w:p>
      <w:pPr>
        <w:spacing w:after="0" w:line="160" w:lineRule="exact"/>
        <w:rPr>
          <w:rFonts w:ascii="Arial" w:cs="Arial" w:eastAsia="Arial" w:hAnsi="Arial"/>
          <w:sz w:val="16"/>
          <w:szCs w:val="16"/>
          <w:color w:val="auto"/>
        </w:rPr>
      </w:pPr>
    </w:p>
    <w:p>
      <w:pPr>
        <w:jc w:val="both"/>
        <w:ind w:firstLine="8"/>
        <w:spacing w:after="0" w:line="269" w:lineRule="auto"/>
        <w:tabs>
          <w:tab w:leader="none" w:pos="194" w:val="left"/>
        </w:tabs>
        <w:numPr>
          <w:ilvl w:val="0"/>
          <w:numId w:val="317"/>
        </w:numPr>
        <w:rPr>
          <w:rFonts w:ascii="Arial" w:cs="Arial" w:eastAsia="Arial" w:hAnsi="Arial"/>
          <w:sz w:val="17"/>
          <w:szCs w:val="17"/>
          <w:color w:val="auto"/>
        </w:rPr>
      </w:pPr>
      <w:r>
        <w:rPr>
          <w:rFonts w:ascii="Arial" w:cs="Arial" w:eastAsia="Arial" w:hAnsi="Arial"/>
          <w:sz w:val="17"/>
          <w:szCs w:val="17"/>
          <w:b w:val="1"/>
          <w:bCs w:val="1"/>
          <w:color w:val="auto"/>
        </w:rPr>
        <w:t>Lack of Reliance on the Collateral Agent</w:t>
      </w:r>
      <w:r>
        <w:rPr>
          <w:rFonts w:ascii="Arial" w:cs="Arial" w:eastAsia="Arial" w:hAnsi="Arial"/>
          <w:sz w:val="17"/>
          <w:szCs w:val="17"/>
          <w:color w:val="auto"/>
        </w:rPr>
        <w:t>. Independently and without reliance upon the Collateral Agent, each Secured Party, to the extent it deems</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has made and shall continue to make (i) its own independent investigation of the financial condition and affairs of the Company and its subsidiaries in connection with such Secured Party’s investment in the Debtors, the creation and continuance of the Obligations, the transactions contemplated by the Transaction Documents, and the taking or not taking of any action in connection therewith, and (ii) its own appraisal of the creditworthiness of the Company and its subsidiaries, and of the value of the Collateral from time to time, and the Collateral Agent shall have no duty or responsibility, either initially or on a continuing basis, to provide any Secured Party with any credit, market or other information with respect thereto, whether coming into its possession before any Obligations are incurred or at any time or times thereafter. The Collateral Agent shall not be responsible to the Debtors or any Secured Party for any recitals, statements, information, representations or warranties herein or in any document, certificate or other writing delivered in connection herewith, or for the execution, effectiveness, genuineness, validity, enforceability, perfection, collectibility, priority or sufficiency of the Agreement or any other Transaction Document, or for the financial condition of the Debtors or the value of any of the Collateral, or be required to make any inquiry concerning either the performance or observance of any of the terms, provisions or conditions of the Agreement or any other Transaction Document, or the financial condition of the Debtors, or the value of any of the Collateral, or the existence or possible existence of any default or Event of Default under the Agreement, the Notes or any of the other Transaction Documents.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0" w:name="page311"/>
    <w:bookmarkEnd w:id="310"/>
    <w:p>
      <w:pPr>
        <w:jc w:val="both"/>
        <w:ind w:left="-8" w:firstLine="8"/>
        <w:spacing w:after="0" w:line="269" w:lineRule="auto"/>
        <w:tabs>
          <w:tab w:leader="none" w:pos="172"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Certain Rights of the Collateral Agent</w:t>
      </w:r>
      <w:r>
        <w:rPr>
          <w:rFonts w:ascii="Arial" w:cs="Arial" w:eastAsia="Arial" w:hAnsi="Arial"/>
          <w:sz w:val="17"/>
          <w:szCs w:val="17"/>
          <w:color w:val="auto"/>
        </w:rPr>
        <w:t>. The Collateral Agent shall have the right to take any action with respect to the Collateral, on behalf of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Secured Parties. To the extent practical, the Collateral Agent shall request instructions from the Secured Parties with respect to any material act or action (including failure to act) in connection with the Agreement or any other Transaction Document, and shall be entitled to act or refrain from acting in accordance with the instructions of Secured Parties holding a majority in principal amount of Notes (based on then-outstanding principal amounts of Notes at the time of any such determination); if such instructions are not provided despite the Collateral Agent’s request therefor, the Collateral Agent shall be entitled to refrain from such act or taking such action, and if such action is taken, shall be entitled to appropriate indemnification from the Secured Parties in respect of actions to be taken by the Collateral Agent; and the Collateral Agent shall not incur liability to any person or entity by reason of so refraining. Without limiting the foregoing, (a) no Secured Party shall have any right of action whatsoever against the Collateral Agent as a result of the Collateral Agent acting or refraining from acting hereunder in accordance with the terms of the Agreement or any other Transaction Document, and the Debtors shall have no right to question or challenge the authority of, or the instructions given to, the Collateral Agent pursuant to the foregoing and (b) the Collateral Agent shall not be required to take any action which the Collateral Agent believes (i) could reasonably be expected to expose it to personal liability or (ii) is contrary to this Agreement, the Transaction Documents or applicable law.</w:t>
      </w:r>
    </w:p>
    <w:p>
      <w:pPr>
        <w:spacing w:after="0" w:line="179" w:lineRule="exact"/>
        <w:rPr>
          <w:rFonts w:ascii="Arial" w:cs="Arial" w:eastAsia="Arial" w:hAnsi="Arial"/>
          <w:sz w:val="17"/>
          <w:szCs w:val="17"/>
          <w:color w:val="auto"/>
        </w:rPr>
      </w:pPr>
    </w:p>
    <w:p>
      <w:pPr>
        <w:jc w:val="both"/>
        <w:ind w:left="-8" w:firstLine="8"/>
        <w:spacing w:after="0" w:line="273" w:lineRule="auto"/>
        <w:tabs>
          <w:tab w:leader="none" w:pos="172"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Reliance</w:t>
      </w:r>
      <w:r>
        <w:rPr>
          <w:rFonts w:ascii="Arial" w:cs="Arial" w:eastAsia="Arial" w:hAnsi="Arial"/>
          <w:sz w:val="17"/>
          <w:szCs w:val="17"/>
          <w:color w:val="auto"/>
        </w:rPr>
        <w:t>. The Collateral Agent shall be entitled to rely, and shall be fully protected in relying, upon any writing, resolution, notice, statement,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telex, teletype or telecopier message, cablegram, radiogram, order or other document or telephone message signed, sent or made by the proper person or entity, and, with respect to all legal matters pertaining to the Agreement and the other Transaction Documents and its duties thereunder, upon advice of counsel selected by it and upon all other matters pertaining to this Agreement and the other Transaction Documents and its duties thereunder, upon advice of other experts selected by it. Anything to the contrary notwithstanding, the Collateral Agent shall have no obligation whatsoever to any Secured Party to assure that the Collateral exists or is owned by the Debtors or is cared for, protected or insured or that the liens granted pursuant to the Agreement have been properly or sufficiently or lawfully created, perfected, or enforced or are entitled to any particular priority.</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311" w:name="page312"/>
    <w:bookmarkEnd w:id="311"/>
    <w:p>
      <w:pPr>
        <w:jc w:val="both"/>
        <w:ind w:left="-8" w:firstLine="8"/>
        <w:spacing w:after="0" w:line="291" w:lineRule="auto"/>
        <w:tabs>
          <w:tab w:leader="none" w:pos="172" w:val="left"/>
        </w:tabs>
        <w:numPr>
          <w:ilvl w:val="0"/>
          <w:numId w:val="319"/>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the Collateral Agent is not reimbursed and indemnified by the Debtors, the Secured Parties will jointly and severally</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and indemnify the Collateral Agent, in proportion to their initially purchased respective principal amounts of Notes, from and against any and all liabilities, obligations, losses, damages, penalties, actions, judgments, suits, costs, expenses or disbursements of any kind or nature whatsoever which may be imposed on, incurred by or asserted against the Collateral Agent in performing its duties hereunder or under the Agreement or any other Transaction Document, or in any way relating to or arising out of the Agreement or any other Transaction Document except for those determined by a final judgment (not subject to further appeal) of a court of competent jurisdiction to have resulted solely from the Collateral Agent’s own gross negligence or willful misconduct. Prior to taking any action hereunder as Collateral Agent, the Collateral Agent may require each Secured Party to deposit with it sufficient sums as it determines in good faith is necessary to protect the Collateral Agent for costs and expenses associated with taking such action.</w:t>
      </w:r>
    </w:p>
    <w:p>
      <w:pPr>
        <w:spacing w:after="0" w:line="160" w:lineRule="exact"/>
        <w:rPr>
          <w:rFonts w:ascii="Arial" w:cs="Arial" w:eastAsia="Arial" w:hAnsi="Arial"/>
          <w:sz w:val="16"/>
          <w:szCs w:val="16"/>
          <w:color w:val="auto"/>
        </w:rPr>
      </w:pPr>
    </w:p>
    <w:p>
      <w:pPr>
        <w:ind w:left="172" w:hanging="172"/>
        <w:spacing w:after="0"/>
        <w:tabs>
          <w:tab w:leader="none" w:pos="172"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Resignation by the Collateral Agent</w:t>
      </w:r>
      <w:r>
        <w:rPr>
          <w:rFonts w:ascii="Arial" w:cs="Arial" w:eastAsia="Arial" w:hAnsi="Arial"/>
          <w:sz w:val="18"/>
          <w:szCs w:val="18"/>
          <w:b w:val="1"/>
          <w:bCs w:val="1"/>
          <w:i w:val="1"/>
          <w:iCs w:val="1"/>
          <w:color w:val="auto"/>
        </w:rPr>
        <w:t>.</w:t>
      </w:r>
    </w:p>
    <w:p>
      <w:pPr>
        <w:spacing w:after="0" w:line="229" w:lineRule="exact"/>
        <w:rPr>
          <w:rFonts w:ascii="Arial" w:cs="Arial" w:eastAsia="Arial" w:hAnsi="Arial"/>
          <w:sz w:val="18"/>
          <w:szCs w:val="18"/>
          <w:color w:val="auto"/>
        </w:rPr>
      </w:pPr>
    </w:p>
    <w:p>
      <w:pPr>
        <w:jc w:val="both"/>
        <w:ind w:left="712" w:firstLine="714"/>
        <w:spacing w:after="0" w:line="286" w:lineRule="auto"/>
        <w:tabs>
          <w:tab w:leader="none" w:pos="1679"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The Collateral Agent may resign from the performance of all its functions and duties under the Agreement and the other Transaction Documents at any time by giving 5 days’ prior written notice (as provided in the Agreement) to the Debtors and the Secured Parties. Such resignation shall take effect upon the appointment of a successor Collateral Agent pursuant to clauses (b) and (c) below.</w:t>
      </w:r>
    </w:p>
    <w:p>
      <w:pPr>
        <w:spacing w:after="0" w:line="165" w:lineRule="exact"/>
        <w:rPr>
          <w:rFonts w:ascii="Arial" w:cs="Arial" w:eastAsia="Arial" w:hAnsi="Arial"/>
          <w:sz w:val="17"/>
          <w:szCs w:val="17"/>
          <w:color w:val="auto"/>
        </w:rPr>
      </w:pPr>
    </w:p>
    <w:p>
      <w:pPr>
        <w:ind w:left="1692" w:hanging="266"/>
        <w:spacing w:after="0"/>
        <w:tabs>
          <w:tab w:leader="none" w:pos="1692" w:val="left"/>
        </w:tabs>
        <w:numPr>
          <w:ilvl w:val="1"/>
          <w:numId w:val="319"/>
        </w:numPr>
        <w:rPr>
          <w:rFonts w:ascii="Arial" w:cs="Arial" w:eastAsia="Arial" w:hAnsi="Arial"/>
          <w:sz w:val="16"/>
          <w:szCs w:val="16"/>
          <w:color w:val="auto"/>
        </w:rPr>
      </w:pPr>
      <w:r>
        <w:rPr>
          <w:rFonts w:ascii="Arial" w:cs="Arial" w:eastAsia="Arial" w:hAnsi="Arial"/>
          <w:sz w:val="16"/>
          <w:szCs w:val="16"/>
          <w:color w:val="auto"/>
        </w:rPr>
        <w:t>Upon any such notice of resignation, the Secured Parties, acting by a Majority in Interest, shall appoint a successor Collateral Agent</w:t>
      </w:r>
    </w:p>
    <w:p>
      <w:pPr>
        <w:spacing w:after="0" w:line="46" w:lineRule="exact"/>
        <w:rPr>
          <w:rFonts w:ascii="Arial" w:cs="Arial" w:eastAsia="Arial" w:hAnsi="Arial"/>
          <w:sz w:val="16"/>
          <w:szCs w:val="16"/>
          <w:color w:val="auto"/>
        </w:rPr>
      </w:pPr>
    </w:p>
    <w:p>
      <w:pPr>
        <w:ind w:left="712"/>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10" w:lineRule="exact"/>
        <w:rPr>
          <w:rFonts w:ascii="Arial" w:cs="Arial" w:eastAsia="Arial" w:hAnsi="Arial"/>
          <w:sz w:val="16"/>
          <w:szCs w:val="16"/>
          <w:color w:val="auto"/>
        </w:rPr>
      </w:pPr>
    </w:p>
    <w:p>
      <w:pPr>
        <w:jc w:val="both"/>
        <w:ind w:left="712" w:firstLine="714"/>
        <w:spacing w:after="0" w:line="255" w:lineRule="auto"/>
        <w:tabs>
          <w:tab w:leader="none" w:pos="168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If a successor Collateral Agent shall not have been so appointed within said 5-day period, the Collateral Agent shall then appoint a successor Collateral Agent who shall serve as Collateral Agent until such time, if any, as the Secured Parties appoint a successor Collateral Agent as provided above. If a successor Collateral Agent has not been appointed within such 5-day period, the Collateral Agent may petition any court of competent jurisdiction or may interplead the Debtors and the Secured Parties in a proceeding for the appointment of a successor Collateral Agent, and all fees, including, but not limited to, extraordinary fees associated with the filing of interpleader and expenses associated therewith, shall be payable by the Debtors on demand.</w:t>
      </w:r>
    </w:p>
    <w:p>
      <w:pPr>
        <w:spacing w:after="0" w:line="189" w:lineRule="exact"/>
        <w:rPr>
          <w:rFonts w:ascii="Arial" w:cs="Arial" w:eastAsia="Arial" w:hAnsi="Arial"/>
          <w:sz w:val="18"/>
          <w:szCs w:val="18"/>
          <w:color w:val="auto"/>
        </w:rPr>
      </w:pPr>
    </w:p>
    <w:p>
      <w:pPr>
        <w:jc w:val="both"/>
        <w:ind w:left="-8" w:firstLine="8"/>
        <w:spacing w:after="0" w:line="271" w:lineRule="auto"/>
        <w:tabs>
          <w:tab w:leader="none" w:pos="186" w:val="left"/>
        </w:tabs>
        <w:numPr>
          <w:ilvl w:val="0"/>
          <w:numId w:val="319"/>
        </w:numPr>
        <w:rPr>
          <w:rFonts w:ascii="Arial" w:cs="Arial" w:eastAsia="Arial" w:hAnsi="Arial"/>
          <w:sz w:val="17"/>
          <w:szCs w:val="17"/>
          <w:color w:val="auto"/>
        </w:rPr>
      </w:pPr>
      <w:r>
        <w:rPr>
          <w:rFonts w:ascii="Arial" w:cs="Arial" w:eastAsia="Arial" w:hAnsi="Arial"/>
          <w:sz w:val="17"/>
          <w:szCs w:val="17"/>
          <w:b w:val="1"/>
          <w:bCs w:val="1"/>
          <w:color w:val="auto"/>
        </w:rPr>
        <w:t>Rights with respect to Collateral</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Each Secured Party agrees with all other Secured Parties and the Collateral Agent (i) that it shall not, and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attempt to, exercise any rights with respect to its security interest in the Collateral, whether pursuant to any other agreement or otherwise (other than pursuant to this Agreement), or take or institute any action against the Collateral Agent or any of the other Secured Parties in respect of the Collateral or its rights hereunder (other than any such action arising from the breach of this Agreement) and (ii) that such Secured Party has no other rights with respect to the Collateral other than as set forth in this Agreement and the other Transaction Documents. Upon the acceptance of any appointment as Collateral Agent hereunder by a successor Collateral Agent, such successor Collateral Agent shall thereupon succeed to and become vested with all the rights, powers, privileges and duties of the retiring Collateral Agent and the retiring Collateral Agent shall be discharged from its duties and obligations under the Agreement. After any retiring Collateral Agent’s resignation or removal hereunder as Collateral Agent, the provisions of the Agreement including this Annex B shall inure to its benefit as to any actions taken or omitted to be taken by it while it was Collateral Agent.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Jankowski, certify that:</w:t>
      </w:r>
    </w:p>
    <w:p>
      <w:pPr>
        <w:spacing w:after="0" w:line="225" w:lineRule="exact"/>
        <w:rPr>
          <w:sz w:val="20"/>
          <w:szCs w:val="20"/>
          <w:color w:val="auto"/>
        </w:rPr>
      </w:pPr>
    </w:p>
    <w:p>
      <w:pPr>
        <w:ind w:left="180" w:hanging="172"/>
        <w:spacing w:after="0"/>
        <w:tabs>
          <w:tab w:leader="none" w:pos="1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2018</w:t>
      </w:r>
    </w:p>
    <w:p>
      <w:pPr>
        <w:spacing w:after="0" w:line="225" w:lineRule="exact"/>
        <w:rPr>
          <w:sz w:val="20"/>
          <w:szCs w:val="20"/>
          <w:color w:val="auto"/>
        </w:rPr>
      </w:pPr>
    </w:p>
    <w:p>
      <w:pPr>
        <w:ind w:left="4600"/>
        <w:spacing w:after="0"/>
        <w:tabs>
          <w:tab w:leader="none" w:pos="4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EDWARD JANKOWSKI</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2018</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March 31,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4600"/>
        <w:spacing w:after="0"/>
        <w:tabs>
          <w:tab w:leader="none" w:pos="4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EDWARD JANKOWSKI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22FBB7"/>
    <w:multiLevelType w:val="hybridMultilevel"/>
    <w:lvl w:ilvl="0">
      <w:lvlJc w:val="left"/>
      <w:lvlText w:val="x"/>
      <w:numFmt w:val="bullet"/>
      <w:start w:val="1"/>
    </w:lvl>
  </w:abstractNum>
  <w:abstractNum w:abstractNumId="1">
    <w:nsid w:val="29934699"/>
    <w:multiLevelType w:val="hybridMultilevel"/>
    <w:lvl w:ilvl="0">
      <w:lvlJc w:val="left"/>
      <w:lvlText w:val="☐"/>
      <w:numFmt w:val="bullet"/>
      <w:start w:val="1"/>
    </w:lvl>
  </w:abstractNum>
  <w:abstractNum w:abstractNumId="2">
    <w:nsid w:val="77485850"/>
    <w:multiLevelType w:val="hybridMultilevel"/>
    <w:lvl w:ilvl="0">
      <w:lvlJc w:val="left"/>
      <w:lvlText w:val="•"/>
      <w:numFmt w:val="bullet"/>
      <w:start w:val="1"/>
    </w:lvl>
  </w:abstractNum>
  <w:abstractNum w:abstractNumId="3">
    <w:nsid w:val="744939A3"/>
    <w:multiLevelType w:val="hybridMultilevel"/>
    <w:lvl w:ilvl="0">
      <w:lvlJc w:val="left"/>
      <w:lvlText w:val="·"/>
      <w:numFmt w:val="bullet"/>
      <w:start w:val="1"/>
    </w:lvl>
  </w:abstractNum>
  <w:abstractNum w:abstractNumId="4">
    <w:nsid w:val="4FA0D2E3"/>
    <w:multiLevelType w:val="hybridMultilevel"/>
    <w:lvl w:ilvl="0">
      <w:lvlJc w:val="left"/>
      <w:lvlText w:val="·"/>
      <w:numFmt w:val="bullet"/>
      <w:start w:val="1"/>
    </w:lvl>
  </w:abstractNum>
  <w:abstractNum w:abstractNumId="5">
    <w:nsid w:val="6B1D2C14"/>
    <w:multiLevelType w:val="hybridMultilevel"/>
    <w:lvl w:ilvl="0">
      <w:lvlJc w:val="left"/>
      <w:lvlText w:val="(%1)"/>
      <w:numFmt w:val="lowerRoman"/>
      <w:start w:val="1"/>
    </w:lvl>
  </w:abstractNum>
  <w:abstractNum w:abstractNumId="6">
    <w:nsid w:val="68B867D3"/>
    <w:multiLevelType w:val="hybridMultilevel"/>
    <w:lvl w:ilvl="0">
      <w:lvlJc w:val="left"/>
      <w:lvlText w:val="&amp;"/>
      <w:numFmt w:val="bullet"/>
      <w:start w:val="1"/>
    </w:lvl>
  </w:abstractNum>
  <w:abstractNum w:abstractNumId="7">
    <w:nsid w:val="3F7F5DD9"/>
    <w:multiLevelType w:val="hybridMultilevel"/>
    <w:lvl w:ilvl="0">
      <w:lvlJc w:val="left"/>
      <w:lvlText w:val="\emdash "/>
      <w:numFmt w:val="bullet"/>
      <w:start w:val="1"/>
    </w:lvl>
  </w:abstractNum>
  <w:abstractNum w:abstractNumId="8">
    <w:nsid w:val="2AE05A34"/>
    <w:multiLevelType w:val="hybridMultilevel"/>
    <w:lvl w:ilvl="0">
      <w:lvlJc w:val="left"/>
      <w:lvlText w:val="**"/>
      <w:numFmt w:val="bullet"/>
      <w:start w:val="1"/>
    </w:lvl>
  </w:abstractNum>
  <w:abstractNum w:abstractNumId="9">
    <w:nsid w:val="32794FF7"/>
    <w:multiLevelType w:val="hybridMultilevel"/>
    <w:lvl w:ilvl="0">
      <w:lvlJc w:val="left"/>
      <w:lvlText w:val="%1)"/>
      <w:numFmt w:val="lowerLetter"/>
      <w:start w:val="1"/>
    </w:lvl>
  </w:abstractNum>
  <w:abstractNum w:abstractNumId="10">
    <w:nsid w:val="5454945E"/>
    <w:multiLevelType w:val="hybridMultilevel"/>
    <w:lvl w:ilvl="0">
      <w:lvlJc w:val="left"/>
      <w:lvlText w:val="%1)"/>
      <w:numFmt w:val="lowerLetter"/>
      <w:start w:val="2"/>
    </w:lvl>
  </w:abstractNum>
  <w:abstractNum w:abstractNumId="11">
    <w:nsid w:val="4DEFDFA0"/>
    <w:multiLevelType w:val="hybridMultilevel"/>
    <w:lvl w:ilvl="0">
      <w:lvlJc w:val="left"/>
      <w:lvlText w:val="%1)"/>
      <w:numFmt w:val="lowerLetter"/>
      <w:start w:val="3"/>
    </w:lvl>
  </w:abstractNum>
  <w:abstractNum w:abstractNumId="12">
    <w:nsid w:val="2123D5F2"/>
    <w:multiLevelType w:val="hybridMultilevel"/>
    <w:lvl w:ilvl="0">
      <w:lvlJc w:val="left"/>
      <w:lvlText w:val="%1)"/>
      <w:numFmt w:val="lowerLetter"/>
      <w:start w:val="6"/>
    </w:lvl>
  </w:abstractNum>
  <w:abstractNum w:abstractNumId="13">
    <w:nsid w:val="135B8110"/>
    <w:multiLevelType w:val="hybridMultilevel"/>
    <w:lvl w:ilvl="0">
      <w:lvlJc w:val="left"/>
      <w:lvlText w:val="%1)"/>
      <w:numFmt w:val="lowerLetter"/>
      <w:start w:val="1"/>
    </w:lvl>
  </w:abstractNum>
  <w:abstractNum w:abstractNumId="14">
    <w:nsid w:val="94927A8"/>
    <w:multiLevelType w:val="hybridMultilevel"/>
    <w:lvl w:ilvl="0">
      <w:lvlJc w:val="left"/>
      <w:lvlText w:val="%1)"/>
      <w:numFmt w:val="lowerLetter"/>
      <w:start w:val="1"/>
    </w:lvl>
    <w:lvl w:ilvl="1">
      <w:lvlJc w:val="left"/>
      <w:lvlText w:val="%2."/>
      <w:numFmt w:val="lowerRoman"/>
      <w:start w:val="1"/>
    </w:lvl>
  </w:abstractNum>
  <w:abstractNum w:abstractNumId="15">
    <w:nsid w:val="DCDF8F6"/>
    <w:multiLevelType w:val="hybridMultilevel"/>
    <w:lvl w:ilvl="0">
      <w:lvlJc w:val="left"/>
      <w:lvlText w:val="%1."/>
      <w:numFmt w:val="lowerRoman"/>
      <w:start w:val="2"/>
    </w:lvl>
  </w:abstractNum>
  <w:abstractNum w:abstractNumId="16">
    <w:nsid w:val="52D7B105"/>
    <w:multiLevelType w:val="hybridMultilevel"/>
    <w:lvl w:ilvl="0">
      <w:lvlJc w:val="left"/>
      <w:lvlText w:val="%1."/>
      <w:numFmt w:val="lowerRoman"/>
      <w:start w:val="5"/>
    </w:lvl>
  </w:abstractNum>
  <w:abstractNum w:abstractNumId="17">
    <w:nsid w:val="2E8A6394"/>
    <w:multiLevelType w:val="hybridMultilevel"/>
    <w:lvl w:ilvl="0">
      <w:lvlJc w:val="left"/>
      <w:lvlText w:val="%1"/>
      <w:numFmt w:val="lowerLetter"/>
      <w:start w:val="1"/>
    </w:lvl>
    <w:lvl w:ilvl="1">
      <w:lvlJc w:val="left"/>
      <w:lvlText w:val="%2."/>
      <w:numFmt w:val="lowerRoman"/>
      <w:start w:val="7"/>
    </w:lvl>
  </w:abstractNum>
  <w:abstractNum w:abstractNumId="18">
    <w:nsid w:val="24E60401"/>
    <w:multiLevelType w:val="hybridMultilevel"/>
    <w:lvl w:ilvl="0">
      <w:lvlJc w:val="left"/>
      <w:lvlText w:val="%1)"/>
      <w:numFmt w:val="lowerLetter"/>
      <w:start w:val="4"/>
    </w:lvl>
    <w:lvl w:ilvl="1">
      <w:lvlJc w:val="left"/>
      <w:lvlText w:val="%2"/>
      <w:numFmt w:val="lowerRoman"/>
      <w:start w:val="1"/>
    </w:lvl>
  </w:abstractNum>
  <w:abstractNum w:abstractNumId="19">
    <w:nsid w:val="2A6AD9BE"/>
    <w:multiLevelType w:val="hybridMultilevel"/>
    <w:lvl w:ilvl="0">
      <w:lvlJc w:val="left"/>
      <w:lvlText w:val="%1)"/>
      <w:numFmt w:val="lowerLetter"/>
      <w:start w:val="5"/>
    </w:lvl>
  </w:abstractNum>
  <w:abstractNum w:abstractNumId="20">
    <w:nsid w:val="BAAC1B4"/>
    <w:multiLevelType w:val="hybridMultilevel"/>
    <w:lvl w:ilvl="0">
      <w:lvlJc w:val="left"/>
      <w:lvlText w:val="%1)"/>
      <w:numFmt w:val="lowerLetter"/>
      <w:start w:val="1"/>
    </w:lvl>
  </w:abstractNum>
  <w:abstractNum w:abstractNumId="21">
    <w:nsid w:val="36B2ACBC"/>
    <w:multiLevelType w:val="hybridMultilevel"/>
    <w:lvl w:ilvl="0">
      <w:lvlJc w:val="left"/>
      <w:lvlText w:val="%1)"/>
      <w:numFmt w:val="lowerLetter"/>
      <w:start w:val="3"/>
    </w:lvl>
  </w:abstractNum>
  <w:abstractNum w:abstractNumId="22">
    <w:nsid w:val="779D8544"/>
    <w:multiLevelType w:val="hybridMultilevel"/>
    <w:lvl w:ilvl="0">
      <w:lvlJc w:val="left"/>
      <w:lvlText w:val="%1)"/>
      <w:numFmt w:val="lowerLetter"/>
      <w:start w:val="5"/>
    </w:lvl>
    <w:lvl w:ilvl="1">
      <w:lvlJc w:val="left"/>
      <w:lvlText w:val="%2."/>
      <w:numFmt w:val="lowerRoman"/>
      <w:start w:val="1"/>
    </w:lvl>
  </w:abstractNum>
  <w:abstractNum w:abstractNumId="23">
    <w:nsid w:val="4AB26E7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4">
    <w:nsid w:val="21FAA2FA"/>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25">
    <w:nsid w:val="5451CF49"/>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26">
    <w:nsid w:val="6181EF69"/>
    <w:multiLevelType w:val="hybridMultilevel"/>
    <w:lvl w:ilvl="0">
      <w:lvlJc w:val="left"/>
      <w:lvlText w:val="%1"/>
      <w:numFmt w:val="decimal"/>
      <w:start w:val="1"/>
    </w:lvl>
    <w:lvl w:ilvl="1">
      <w:lvlJc w:val="left"/>
      <w:lvlText w:val="%2)"/>
      <w:numFmt w:val="lowerLetter"/>
      <w:start w:val="1"/>
    </w:lvl>
  </w:abstractNum>
  <w:abstractNum w:abstractNumId="27">
    <w:nsid w:val="3E6400E6"/>
    <w:multiLevelType w:val="hybridMultilevel"/>
    <w:lvl w:ilvl="0">
      <w:lvlJc w:val="left"/>
      <w:lvlText w:val="(%1)"/>
      <w:numFmt w:val="decimal"/>
      <w:start w:val="10"/>
    </w:lvl>
    <w:lvl w:ilvl="1">
      <w:lvlJc w:val="left"/>
      <w:lvlText w:val="%2"/>
      <w:numFmt w:val="lowerLetter"/>
      <w:start w:val="1"/>
    </w:lvl>
  </w:abstractNum>
  <w:abstractNum w:abstractNumId="28">
    <w:nsid w:val="14217E23"/>
    <w:multiLevelType w:val="hybridMultilevel"/>
    <w:lvl w:ilvl="0">
      <w:lvlJc w:val="left"/>
      <w:lvlText w:val="%1)"/>
      <w:numFmt w:val="lowerLetter"/>
      <w:start w:val="1"/>
    </w:lvl>
  </w:abstractNum>
  <w:abstractNum w:abstractNumId="29">
    <w:nsid w:val="710757D0"/>
    <w:multiLevelType w:val="hybridMultilevel"/>
    <w:lvl w:ilvl="0">
      <w:lvlJc w:val="left"/>
      <w:lvlText w:val="%1)"/>
      <w:numFmt w:val="lowerLetter"/>
      <w:start w:val="2"/>
    </w:lvl>
    <w:lvl w:ilvl="1">
      <w:lvlJc w:val="left"/>
      <w:lvlText w:val="%2)"/>
      <w:numFmt w:val="lowerLetter"/>
      <w:start w:val="8"/>
    </w:lvl>
  </w:abstractNum>
  <w:abstractNum w:abstractNumId="30">
    <w:nsid w:val="5015CD1A"/>
    <w:multiLevelType w:val="hybridMultilevel"/>
    <w:lvl w:ilvl="0">
      <w:lvlJc w:val="left"/>
      <w:lvlText w:val="%1)"/>
      <w:numFmt w:val="lowerLetter"/>
      <w:start w:val="1"/>
    </w:lvl>
    <w:lvl w:ilvl="1">
      <w:lvlJc w:val="left"/>
      <w:lvlText w:val="%2."/>
      <w:numFmt w:val="lowerRoman"/>
      <w:start w:val="1"/>
    </w:lvl>
  </w:abstractNum>
  <w:abstractNum w:abstractNumId="31">
    <w:nsid w:val="424479DA"/>
    <w:multiLevelType w:val="hybridMultilevel"/>
    <w:lvl w:ilvl="0">
      <w:lvlJc w:val="left"/>
      <w:lvlText w:val="%1."/>
      <w:numFmt w:val="lowerRoman"/>
      <w:start w:val="2"/>
    </w:lvl>
  </w:abstractNum>
  <w:abstractNum w:abstractNumId="32">
    <w:nsid w:val="1A9A9E69"/>
    <w:multiLevelType w:val="hybridMultilevel"/>
    <w:lvl w:ilvl="0">
      <w:lvlJc w:val="left"/>
      <w:lvlText w:val="%1."/>
      <w:numFmt w:val="lowerRoman"/>
      <w:start w:val="11"/>
    </w:lvl>
  </w:abstractNum>
  <w:abstractNum w:abstractNumId="33">
    <w:nsid w:val="475E256A"/>
    <w:multiLevelType w:val="hybridMultilevel"/>
    <w:lvl w:ilvl="0">
      <w:lvlJc w:val="left"/>
      <w:lvlText w:val="%1)"/>
      <w:numFmt w:val="lowerLetter"/>
      <w:start w:val="2"/>
    </w:lvl>
  </w:abstractNum>
  <w:abstractNum w:abstractNumId="34">
    <w:nsid w:val="368DB37E"/>
    <w:multiLevelType w:val="hybridMultilevel"/>
    <w:lvl w:ilvl="0">
      <w:lvlJc w:val="left"/>
      <w:lvlText w:val="%1)"/>
      <w:numFmt w:val="lowerLetter"/>
      <w:start w:val="1"/>
    </w:lvl>
  </w:abstractNum>
  <w:abstractNum w:abstractNumId="35">
    <w:nsid w:val="6A3B714C"/>
    <w:multiLevelType w:val="hybridMultilevel"/>
    <w:lvl w:ilvl="0">
      <w:lvlJc w:val="left"/>
      <w:lvlText w:val="%1)"/>
      <w:numFmt w:val="lowerLetter"/>
      <w:start w:val="2"/>
    </w:lvl>
  </w:abstractNum>
  <w:abstractNum w:abstractNumId="36">
    <w:nsid w:val="327B517E"/>
    <w:multiLevelType w:val="hybridMultilevel"/>
    <w:lvl w:ilvl="0">
      <w:lvlJc w:val="left"/>
      <w:lvlText w:val="%1)"/>
      <w:numFmt w:val="lowerLetter"/>
      <w:start w:val="5"/>
    </w:lvl>
    <w:lvl w:ilvl="1">
      <w:lvlJc w:val="left"/>
      <w:lvlText w:val="%2)"/>
      <w:numFmt w:val="lowerLetter"/>
      <w:start w:val="7"/>
    </w:lvl>
  </w:abstractNum>
  <w:abstractNum w:abstractNumId="37">
    <w:nsid w:val="1F461B51"/>
    <w:multiLevelType w:val="hybridMultilevel"/>
    <w:lvl w:ilvl="0">
      <w:lvlJc w:val="left"/>
      <w:lvlText w:val="%1)"/>
      <w:numFmt w:val="lowerLetter"/>
      <w:start w:val="8"/>
    </w:lvl>
  </w:abstractNum>
  <w:abstractNum w:abstractNumId="38">
    <w:nsid w:val="29BACF25"/>
    <w:multiLevelType w:val="hybridMultilevel"/>
    <w:lvl w:ilvl="0">
      <w:lvlJc w:val="left"/>
      <w:lvlText w:val="%1)"/>
      <w:numFmt w:val="lowerLetter"/>
      <w:start w:val="9"/>
    </w:lvl>
  </w:abstractNum>
  <w:abstractNum w:abstractNumId="39">
    <w:nsid w:val="5D5BABB3"/>
    <w:multiLevelType w:val="hybridMultilevel"/>
    <w:lvl w:ilvl="0">
      <w:lvlJc w:val="left"/>
      <w:lvlText w:val="1"/>
      <w:numFmt w:val="bullet"/>
      <w:start w:val="1"/>
    </w:lvl>
  </w:abstractNum>
  <w:abstractNum w:abstractNumId="40">
    <w:nsid w:val="51BF6B48"/>
    <w:multiLevelType w:val="hybridMultilevel"/>
    <w:lvl w:ilvl="0">
      <w:lvlJc w:val="left"/>
      <w:lvlText w:val="%1."/>
      <w:numFmt w:val="decimal"/>
      <w:start w:val="1"/>
    </w:lvl>
    <w:lvl w:ilvl="1">
      <w:lvlJc w:val="left"/>
      <w:lvlText w:val="(%2)"/>
      <w:numFmt w:val="lowerLetter"/>
      <w:start w:val="1"/>
    </w:lvl>
  </w:abstractNum>
  <w:abstractNum w:abstractNumId="41">
    <w:nsid w:val="7E0F6384"/>
    <w:multiLevelType w:val="hybridMultilevel"/>
    <w:lvl w:ilvl="0">
      <w:lvlJc w:val="left"/>
      <w:lvlText w:val="(%1)"/>
      <w:numFmt w:val="upperLetter"/>
      <w:start w:val="24"/>
    </w:lvl>
  </w:abstractNum>
  <w:abstractNum w:abstractNumId="42">
    <w:nsid w:val="2B4B8B53"/>
    <w:multiLevelType w:val="hybridMultilevel"/>
    <w:lvl w:ilvl="0">
      <w:lvlJc w:val="left"/>
      <w:lvlText w:val="(%1)"/>
      <w:numFmt w:val="lowerLetter"/>
      <w:start w:val="2"/>
    </w:lvl>
  </w:abstractNum>
  <w:abstractNum w:abstractNumId="43">
    <w:nsid w:val="72E3413A"/>
    <w:multiLevelType w:val="hybridMultilevel"/>
    <w:lvl w:ilvl="0">
      <w:lvlJc w:val="left"/>
      <w:lvlText w:val="(%1)"/>
      <w:numFmt w:val="lowerLetter"/>
      <w:start w:val="4"/>
    </w:lvl>
  </w:abstractNum>
  <w:abstractNum w:abstractNumId="44">
    <w:nsid w:val="116AE494"/>
    <w:multiLevelType w:val="hybridMultilevel"/>
    <w:lvl w:ilvl="0">
      <w:lvlJc w:val="left"/>
      <w:lvlText w:val="(%1)"/>
      <w:numFmt w:val="upperLetter"/>
      <w:start w:val="1"/>
    </w:lvl>
  </w:abstractNum>
  <w:abstractNum w:abstractNumId="45">
    <w:nsid w:val="3494B2FB"/>
    <w:multiLevelType w:val="hybridMultilevel"/>
    <w:lvl w:ilvl="0">
      <w:lvlJc w:val="left"/>
      <w:lvlText w:val="(%1)"/>
      <w:numFmt w:val="upperLetter"/>
      <w:start w:val="24"/>
    </w:lvl>
  </w:abstractNum>
  <w:abstractNum w:abstractNumId="46">
    <w:nsid w:val="B13A31"/>
    <w:multiLevelType w:val="hybridMultilevel"/>
    <w:lvl w:ilvl="0">
      <w:lvlJc w:val="left"/>
      <w:lvlText w:val="(%1)"/>
      <w:numFmt w:val="lowerLetter"/>
      <w:start w:val="5"/>
    </w:lvl>
  </w:abstractNum>
  <w:abstractNum w:abstractNumId="47">
    <w:nsid w:val="64429599"/>
    <w:multiLevelType w:val="hybridMultilevel"/>
    <w:lvl w:ilvl="0">
      <w:lvlJc w:val="left"/>
      <w:lvlText w:val="(%1)"/>
      <w:numFmt w:val="lowerLetter"/>
      <w:start w:val="6"/>
    </w:lvl>
  </w:abstractNum>
  <w:abstractNum w:abstractNumId="48">
    <w:nsid w:val="631F1690"/>
    <w:multiLevelType w:val="hybridMultilevel"/>
    <w:lvl w:ilvl="0">
      <w:lvlJc w:val="left"/>
      <w:lvlText w:val="%1"/>
      <w:numFmt w:val="decimal"/>
      <w:start w:val="1"/>
    </w:lvl>
    <w:lvl w:ilvl="1">
      <w:lvlJc w:val="left"/>
      <w:lvlText w:val="(%2)"/>
      <w:numFmt w:val="lowerLetter"/>
      <w:start w:val="7"/>
    </w:lvl>
  </w:abstractNum>
  <w:abstractNum w:abstractNumId="49">
    <w:nsid w:val="25973E32"/>
    <w:multiLevelType w:val="hybridMultilevel"/>
    <w:lvl w:ilvl="0">
      <w:lvlJc w:val="left"/>
      <w:lvlText w:val="(%1)"/>
      <w:numFmt w:val="decimal"/>
      <w:start w:val="60"/>
    </w:lvl>
    <w:lvl w:ilvl="1">
      <w:lvlJc w:val="left"/>
      <w:lvlText w:val="%2"/>
      <w:numFmt w:val="lowerLetter"/>
      <w:start w:val="1"/>
    </w:lvl>
  </w:abstractNum>
  <w:abstractNum w:abstractNumId="50">
    <w:nsid w:val="EAD6F57"/>
    <w:multiLevelType w:val="hybridMultilevel"/>
    <w:lvl w:ilvl="0">
      <w:lvlJc w:val="left"/>
      <w:lvlText w:val="%1."/>
      <w:numFmt w:val="decimal"/>
      <w:start w:val="2"/>
    </w:lvl>
    <w:lvl w:ilvl="1">
      <w:lvlJc w:val="left"/>
      <w:lvlText w:val="(%2)"/>
      <w:numFmt w:val="lowerLetter"/>
      <w:start w:val="1"/>
    </w:lvl>
  </w:abstractNum>
  <w:abstractNum w:abstractNumId="51">
    <w:nsid w:val="6EC9D844"/>
    <w:multiLevelType w:val="hybridMultilevel"/>
    <w:lvl w:ilvl="0">
      <w:lvlJc w:val="left"/>
      <w:lvlText w:val="%1"/>
      <w:numFmt w:val="decimal"/>
      <w:start w:val="1"/>
    </w:lvl>
    <w:lvl w:ilvl="1">
      <w:lvlJc w:val="left"/>
      <w:lvlText w:val="(%2)"/>
      <w:numFmt w:val="lowerLetter"/>
      <w:start w:val="2"/>
    </w:lvl>
  </w:abstractNum>
  <w:abstractNum w:abstractNumId="52">
    <w:nsid w:val="5C49EAEE"/>
    <w:multiLevelType w:val="hybridMultilevel"/>
    <w:lvl w:ilvl="0">
      <w:lvlJc w:val="left"/>
      <w:lvlText w:val="%1."/>
      <w:numFmt w:val="decimal"/>
      <w:start w:val="3"/>
    </w:lvl>
    <w:lvl w:ilvl="1">
      <w:lvlJc w:val="left"/>
      <w:lvlText w:val="%2"/>
      <w:numFmt w:val="lowerLetter"/>
      <w:start w:val="1"/>
    </w:lvl>
  </w:abstractNum>
  <w:abstractNum w:abstractNumId="53">
    <w:nsid w:val="64AF49B"/>
    <w:multiLevelType w:val="hybridMultilevel"/>
    <w:lvl w:ilvl="0">
      <w:lvlJc w:val="left"/>
      <w:lvlText w:val="%1."/>
      <w:numFmt w:val="decimal"/>
      <w:start w:val="4"/>
    </w:lvl>
    <w:lvl w:ilvl="1">
      <w:lvlJc w:val="left"/>
      <w:lvlText w:val="(%2)"/>
      <w:numFmt w:val="lowerLetter"/>
      <w:start w:val="1"/>
    </w:lvl>
  </w:abstractNum>
  <w:abstractNum w:abstractNumId="54">
    <w:nsid w:val="397C46BC"/>
    <w:multiLevelType w:val="hybridMultilevel"/>
    <w:lvl w:ilvl="0">
      <w:lvlJc w:val="left"/>
      <w:lvlText w:val="%1"/>
      <w:numFmt w:val="decimal"/>
      <w:start w:val="1"/>
    </w:lvl>
    <w:lvl w:ilvl="1">
      <w:lvlJc w:val="left"/>
      <w:lvlText w:val="(%2)"/>
      <w:numFmt w:val="lowerLetter"/>
      <w:start w:val="2"/>
    </w:lvl>
  </w:abstractNum>
  <w:abstractNum w:abstractNumId="55">
    <w:nsid w:val="7E448DE9"/>
    <w:multiLevelType w:val="hybridMultilevel"/>
    <w:lvl w:ilvl="0">
      <w:lvlJc w:val="left"/>
      <w:lvlText w:val="%1."/>
      <w:numFmt w:val="decimal"/>
      <w:start w:val="5"/>
    </w:lvl>
    <w:lvl w:ilvl="1">
      <w:lvlJc w:val="left"/>
      <w:lvlText w:val="%2"/>
      <w:numFmt w:val="lowerLetter"/>
      <w:start w:val="1"/>
    </w:lvl>
  </w:abstractNum>
  <w:abstractNum w:abstractNumId="56">
    <w:nsid w:val="5A9CC3E5"/>
    <w:multiLevelType w:val="hybridMultilevel"/>
    <w:lvl w:ilvl="0">
      <w:lvlJc w:val="left"/>
      <w:lvlText w:val="%1."/>
      <w:numFmt w:val="decimal"/>
      <w:start w:val="6"/>
    </w:lvl>
    <w:lvl w:ilvl="1">
      <w:lvlJc w:val="left"/>
      <w:lvlText w:val="(%2)"/>
      <w:numFmt w:val="lowerLetter"/>
      <w:start w:val="1"/>
    </w:lvl>
  </w:abstractNum>
  <w:abstractNum w:abstractNumId="57">
    <w:nsid w:val="1AFE3625"/>
    <w:multiLevelType w:val="hybridMultilevel"/>
    <w:lvl w:ilvl="0">
      <w:lvlJc w:val="left"/>
      <w:lvlText w:val="%1"/>
      <w:numFmt w:val="decimal"/>
      <w:start w:val="1"/>
    </w:lvl>
    <w:lvl w:ilvl="1">
      <w:lvlJc w:val="left"/>
      <w:lvlText w:val="(%2)"/>
      <w:numFmt w:val="lowerLetter"/>
      <w:start w:val="4"/>
    </w:lvl>
  </w:abstractNum>
  <w:abstractNum w:abstractNumId="58">
    <w:nsid w:val="3CA88ECF"/>
    <w:multiLevelType w:val="hybridMultilevel"/>
    <w:lvl w:ilvl="0">
      <w:lvlJc w:val="left"/>
      <w:lvlText w:val="%1."/>
      <w:numFmt w:val="decimal"/>
      <w:start w:val="8"/>
    </w:lvl>
    <w:lvl w:ilvl="1">
      <w:lvlJc w:val="left"/>
      <w:lvlText w:val="%2"/>
      <w:numFmt w:val="lowerLetter"/>
      <w:start w:val="1"/>
    </w:lvl>
  </w:abstractNum>
  <w:abstractNum w:abstractNumId="59">
    <w:nsid w:val="6EBE4208"/>
    <w:multiLevelType w:val="hybridMultilevel"/>
    <w:lvl w:ilvl="0">
      <w:lvlJc w:val="left"/>
      <w:lvlText w:val="%1."/>
      <w:numFmt w:val="decimal"/>
      <w:start w:val="10"/>
    </w:lvl>
  </w:abstractNum>
  <w:abstractNum w:abstractNumId="60">
    <w:nsid w:val="C058DF5"/>
    <w:multiLevelType w:val="hybridMultilevel"/>
    <w:lvl w:ilvl="0">
      <w:lvlJc w:val="left"/>
      <w:lvlText w:val="%1."/>
      <w:numFmt w:val="decimal"/>
      <w:start w:val="14"/>
    </w:lvl>
    <w:lvl w:ilvl="1">
      <w:lvlJc w:val="left"/>
      <w:lvlText w:val="(%2)"/>
      <w:numFmt w:val="lowerLetter"/>
      <w:start w:val="1"/>
    </w:lvl>
  </w:abstractNum>
  <w:abstractNum w:abstractNumId="61">
    <w:nsid w:val="CBE5BE9"/>
    <w:multiLevelType w:val="hybridMultilevel"/>
    <w:lvl w:ilvl="0">
      <w:lvlJc w:val="left"/>
      <w:lvlText w:val="(%1)"/>
      <w:numFmt w:val="lowerLetter"/>
      <w:start w:val="4"/>
    </w:lvl>
  </w:abstractNum>
  <w:abstractNum w:abstractNumId="62">
    <w:nsid w:val="3102BBE2"/>
    <w:multiLevelType w:val="hybridMultilevel"/>
    <w:lvl w:ilvl="0">
      <w:lvlJc w:val="left"/>
      <w:lvlText w:val="(%1)"/>
      <w:numFmt w:val="lowerLetter"/>
      <w:start w:val="11"/>
    </w:lvl>
  </w:abstractNum>
  <w:abstractNum w:abstractNumId="63">
    <w:nsid w:val="26A02C5E"/>
    <w:multiLevelType w:val="hybridMultilevel"/>
    <w:lvl w:ilvl="0">
      <w:lvlJc w:val="left"/>
      <w:lvlText w:val="(%1)"/>
      <w:numFmt w:val="lowerLetter"/>
      <w:start w:val="24"/>
    </w:lvl>
  </w:abstractNum>
  <w:abstractNum w:abstractNumId="64">
    <w:nsid w:val="541C8153"/>
    <w:multiLevelType w:val="hybridMultilevel"/>
    <w:lvl w:ilvl="0">
      <w:lvlJc w:val="left"/>
      <w:lvlText w:val="%1."/>
      <w:numFmt w:val="decimal"/>
      <w:start w:val="1"/>
    </w:lvl>
  </w:abstractNum>
  <w:abstractNum w:abstractNumId="65">
    <w:nsid w:val="67906F60"/>
    <w:multiLevelType w:val="hybridMultilevel"/>
    <w:lvl w:ilvl="0">
      <w:lvlJc w:val="left"/>
      <w:lvlText w:val="1"/>
      <w:numFmt w:val="bullet"/>
      <w:start w:val="1"/>
    </w:lvl>
  </w:abstractNum>
  <w:abstractNum w:abstractNumId="66">
    <w:nsid w:val="10DB9DAA"/>
    <w:multiLevelType w:val="hybridMultilevel"/>
    <w:lvl w:ilvl="0">
      <w:lvlJc w:val="left"/>
      <w:lvlText w:val="%1."/>
      <w:numFmt w:val="decimal"/>
      <w:start w:val="1"/>
    </w:lvl>
    <w:lvl w:ilvl="1">
      <w:lvlJc w:val="left"/>
      <w:lvlText w:val="(%2)"/>
      <w:numFmt w:val="lowerLetter"/>
      <w:start w:val="1"/>
    </w:lvl>
  </w:abstractNum>
  <w:abstractNum w:abstractNumId="67">
    <w:nsid w:val="697D2D2"/>
    <w:multiLevelType w:val="hybridMultilevel"/>
    <w:lvl w:ilvl="0">
      <w:lvlJc w:val="left"/>
      <w:lvlText w:val="(%1)"/>
      <w:numFmt w:val="lowerLetter"/>
      <w:start w:val="2"/>
    </w:lvl>
  </w:abstractNum>
  <w:abstractNum w:abstractNumId="68">
    <w:nsid w:val="6D68AB2"/>
    <w:multiLevelType w:val="hybridMultilevel"/>
    <w:lvl w:ilvl="0">
      <w:lvlJc w:val="left"/>
      <w:lvlText w:val="(%1)"/>
      <w:numFmt w:val="lowerLetter"/>
      <w:start w:val="4"/>
    </w:lvl>
  </w:abstractNum>
  <w:abstractNum w:abstractNumId="69">
    <w:nsid w:val="3A966CD0"/>
    <w:multiLevelType w:val="hybridMultilevel"/>
    <w:lvl w:ilvl="0">
      <w:lvlJc w:val="left"/>
      <w:lvlText w:val="(%1)"/>
      <w:numFmt w:val="upperLetter"/>
      <w:start w:val="1"/>
    </w:lvl>
  </w:abstractNum>
  <w:abstractNum w:abstractNumId="70">
    <w:nsid w:val="63F37E85"/>
    <w:multiLevelType w:val="hybridMultilevel"/>
    <w:lvl w:ilvl="0">
      <w:lvlJc w:val="left"/>
      <w:lvlText w:val="(%1)"/>
      <w:numFmt w:val="upperLetter"/>
      <w:start w:val="24"/>
    </w:lvl>
  </w:abstractNum>
  <w:abstractNum w:abstractNumId="71">
    <w:nsid w:val="5895F5FA"/>
    <w:multiLevelType w:val="hybridMultilevel"/>
    <w:lvl w:ilvl="0">
      <w:lvlJc w:val="left"/>
      <w:lvlText w:val="(%1)"/>
      <w:numFmt w:val="lowerLetter"/>
      <w:start w:val="5"/>
    </w:lvl>
  </w:abstractNum>
  <w:abstractNum w:abstractNumId="72">
    <w:nsid w:val="38A5D054"/>
    <w:multiLevelType w:val="hybridMultilevel"/>
    <w:lvl w:ilvl="0">
      <w:lvlJc w:val="left"/>
      <w:lvlText w:val="(%1)"/>
      <w:numFmt w:val="lowerLetter"/>
      <w:start w:val="6"/>
    </w:lvl>
  </w:abstractNum>
  <w:abstractNum w:abstractNumId="73">
    <w:nsid w:val="F3F09D8"/>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74">
    <w:nsid w:val="4B793735"/>
    <w:multiLevelType w:val="hybridMultilevel"/>
    <w:lvl w:ilvl="0">
      <w:lvlJc w:val="left"/>
      <w:lvlText w:val="(%1)"/>
      <w:numFmt w:val="decimal"/>
      <w:start w:val="60"/>
    </w:lvl>
    <w:lvl w:ilvl="1">
      <w:lvlJc w:val="left"/>
      <w:lvlText w:val="%2."/>
      <w:numFmt w:val="decimal"/>
      <w:start w:val="2"/>
    </w:lvl>
    <w:lvl w:ilvl="2">
      <w:lvlJc w:val="left"/>
      <w:lvlText w:val="%3"/>
      <w:numFmt w:val="lowerLetter"/>
      <w:start w:val="1"/>
    </w:lvl>
  </w:abstractNum>
  <w:abstractNum w:abstractNumId="75">
    <w:nsid w:val="4A10B4E8"/>
    <w:multiLevelType w:val="hybridMultilevel"/>
    <w:lvl w:ilvl="0">
      <w:lvlJc w:val="left"/>
      <w:lvlText w:val="(%1)"/>
      <w:numFmt w:val="lowerLetter"/>
      <w:start w:val="1"/>
    </w:lvl>
  </w:abstractNum>
  <w:abstractNum w:abstractNumId="76">
    <w:nsid w:val="43D3BCD4"/>
    <w:multiLevelType w:val="hybridMultilevel"/>
    <w:lvl w:ilvl="0">
      <w:lvlJc w:val="left"/>
      <w:lvlText w:val="%1"/>
      <w:numFmt w:val="decimal"/>
      <w:start w:val="1"/>
    </w:lvl>
    <w:lvl w:ilvl="1">
      <w:lvlJc w:val="left"/>
      <w:lvlText w:val="(%2)"/>
      <w:numFmt w:val="lowerLetter"/>
      <w:start w:val="3"/>
    </w:lvl>
  </w:abstractNum>
  <w:abstractNum w:abstractNumId="77">
    <w:nsid w:val="4C2A7166"/>
    <w:multiLevelType w:val="hybridMultilevel"/>
    <w:lvl w:ilvl="0">
      <w:lvlJc w:val="left"/>
      <w:lvlText w:val="%1."/>
      <w:numFmt w:val="decimal"/>
      <w:start w:val="3"/>
    </w:lvl>
    <w:lvl w:ilvl="1">
      <w:lvlJc w:val="left"/>
      <w:lvlText w:val="%2"/>
      <w:numFmt w:val="lowerLetter"/>
      <w:start w:val="1"/>
    </w:lvl>
  </w:abstractNum>
  <w:abstractNum w:abstractNumId="78">
    <w:nsid w:val="2E534A82"/>
    <w:multiLevelType w:val="hybridMultilevel"/>
    <w:lvl w:ilvl="0">
      <w:lvlJc w:val="left"/>
      <w:lvlText w:val="%1."/>
      <w:numFmt w:val="decimal"/>
      <w:start w:val="4"/>
    </w:lvl>
    <w:lvl w:ilvl="1">
      <w:lvlJc w:val="left"/>
      <w:lvlText w:val="(%2)"/>
      <w:numFmt w:val="lowerLetter"/>
      <w:start w:val="1"/>
    </w:lvl>
  </w:abstractNum>
  <w:abstractNum w:abstractNumId="79">
    <w:nsid w:val="26F2D364"/>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80">
    <w:nsid w:val="71C1AF9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81">
    <w:nsid w:val="3D00B9D9"/>
    <w:multiLevelType w:val="hybridMultilevel"/>
    <w:lvl w:ilvl="0">
      <w:lvlJc w:val="left"/>
      <w:lvlText w:val="%1"/>
      <w:numFmt w:val="decimal"/>
      <w:start w:val="1"/>
    </w:lvl>
    <w:lvl w:ilvl="1">
      <w:lvlJc w:val="left"/>
      <w:lvlText w:val="(%2)"/>
      <w:numFmt w:val="lowerLetter"/>
      <w:start w:val="2"/>
    </w:lvl>
  </w:abstractNum>
  <w:abstractNum w:abstractNumId="82">
    <w:nsid w:val="15BCABA8"/>
    <w:multiLevelType w:val="hybridMultilevel"/>
    <w:lvl w:ilvl="0">
      <w:lvlJc w:val="left"/>
      <w:lvlText w:val="%1."/>
      <w:numFmt w:val="decimal"/>
      <w:start w:val="6"/>
    </w:lvl>
    <w:lvl w:ilvl="1">
      <w:lvlJc w:val="left"/>
      <w:lvlText w:val="%2"/>
      <w:numFmt w:val="lowerLetter"/>
      <w:start w:val="1"/>
    </w:lvl>
  </w:abstractNum>
  <w:abstractNum w:abstractNumId="83">
    <w:nsid w:val="4E0B9A87"/>
    <w:multiLevelType w:val="hybridMultilevel"/>
    <w:lvl w:ilvl="0">
      <w:lvlJc w:val="left"/>
      <w:lvlText w:val="%1."/>
      <w:numFmt w:val="decimal"/>
      <w:start w:val="7"/>
    </w:lvl>
    <w:lvl w:ilvl="1">
      <w:lvlJc w:val="left"/>
      <w:lvlText w:val="(%2)"/>
      <w:numFmt w:val="lowerLetter"/>
      <w:start w:val="1"/>
    </w:lvl>
  </w:abstractNum>
  <w:abstractNum w:abstractNumId="84">
    <w:nsid w:val="434BAE75"/>
    <w:multiLevelType w:val="hybridMultilevel"/>
    <w:lvl w:ilvl="0">
      <w:lvlJc w:val="left"/>
      <w:lvlText w:val="%1."/>
      <w:numFmt w:val="decimal"/>
      <w:start w:val="9"/>
    </w:lvl>
  </w:abstractNum>
  <w:abstractNum w:abstractNumId="85">
    <w:nsid w:val="4F38F265"/>
    <w:multiLevelType w:val="hybridMultilevel"/>
    <w:lvl w:ilvl="0">
      <w:lvlJc w:val="left"/>
      <w:lvlText w:val="%1."/>
      <w:numFmt w:val="decimal"/>
      <w:start w:val="13"/>
    </w:lvl>
  </w:abstractNum>
  <w:abstractNum w:abstractNumId="86">
    <w:nsid w:val="4C502870"/>
    <w:multiLevelType w:val="hybridMultilevel"/>
    <w:lvl w:ilvl="0">
      <w:lvlJc w:val="left"/>
      <w:lvlText w:val="%1."/>
      <w:numFmt w:val="decimal"/>
      <w:start w:val="18"/>
    </w:lvl>
    <w:lvl w:ilvl="1">
      <w:lvlJc w:val="left"/>
      <w:lvlText w:val="(%2)"/>
      <w:numFmt w:val="lowerLetter"/>
      <w:start w:val="1"/>
    </w:lvl>
  </w:abstractNum>
  <w:abstractNum w:abstractNumId="87">
    <w:nsid w:val="1DE8725A"/>
    <w:multiLevelType w:val="hybridMultilevel"/>
    <w:lvl w:ilvl="0">
      <w:lvlJc w:val="left"/>
      <w:lvlText w:val="%1"/>
      <w:numFmt w:val="lowerLetter"/>
      <w:start w:val="1"/>
    </w:lvl>
    <w:lvl w:ilvl="1">
      <w:lvlJc w:val="left"/>
      <w:lvlText w:val="(%2)"/>
      <w:numFmt w:val="lowerLetter"/>
      <w:start w:val="8"/>
    </w:lvl>
  </w:abstractNum>
  <w:abstractNum w:abstractNumId="88">
    <w:nsid w:val="6A37288A"/>
    <w:multiLevelType w:val="hybridMultilevel"/>
    <w:lvl w:ilvl="0">
      <w:lvlJc w:val="left"/>
      <w:lvlText w:val="(%1)"/>
      <w:numFmt w:val="lowerLetter"/>
      <w:start w:val="9"/>
    </w:lvl>
    <w:lvl w:ilvl="1">
      <w:lvlJc w:val="left"/>
      <w:lvlText w:val="%2"/>
      <w:numFmt w:val="lowerLetter"/>
      <w:start w:val="1"/>
    </w:lvl>
  </w:abstractNum>
  <w:abstractNum w:abstractNumId="89">
    <w:nsid w:val="8F8B73F"/>
    <w:multiLevelType w:val="hybridMultilevel"/>
    <w:lvl w:ilvl="0">
      <w:lvlJc w:val="left"/>
      <w:lvlText w:val="(%1)"/>
      <w:numFmt w:val="lowerLetter"/>
      <w:start w:val="14"/>
    </w:lvl>
  </w:abstractNum>
  <w:abstractNum w:abstractNumId="90">
    <w:nsid w:val="CA6B462"/>
    <w:multiLevelType w:val="hybridMultilevel"/>
    <w:lvl w:ilvl="0">
      <w:lvlJc w:val="left"/>
      <w:lvlText w:val="(%1)"/>
      <w:numFmt w:val="lowerLetter"/>
      <w:start w:val="26"/>
    </w:lvl>
  </w:abstractNum>
  <w:abstractNum w:abstractNumId="91">
    <w:nsid w:val="763CB680"/>
    <w:multiLevelType w:val="hybridMultilevel"/>
    <w:lvl w:ilvl="0">
      <w:lvlJc w:val="left"/>
      <w:lvlText w:val="(%1)"/>
      <w:numFmt w:val="lowerLetter"/>
      <w:start w:val="27"/>
    </w:lvl>
  </w:abstractNum>
  <w:abstractNum w:abstractNumId="92">
    <w:nsid w:val="15B71329"/>
    <w:multiLevelType w:val="hybridMultilevel"/>
    <w:lvl w:ilvl="0">
      <w:lvlJc w:val="left"/>
      <w:lvlText w:val="%1."/>
      <w:numFmt w:val="decimal"/>
      <w:start w:val="1"/>
    </w:lvl>
  </w:abstractNum>
  <w:abstractNum w:abstractNumId="93">
    <w:nsid w:val="3DA97044"/>
    <w:multiLevelType w:val="hybridMultilevel"/>
    <w:lvl w:ilvl="0">
      <w:lvlJc w:val="left"/>
      <w:lvlText w:val="(%1)"/>
      <w:numFmt w:val="lowerLetter"/>
      <w:start w:val="1"/>
    </w:lvl>
  </w:abstractNum>
  <w:abstractNum w:abstractNumId="94">
    <w:nsid w:val="1CDCE2DE"/>
    <w:multiLevelType w:val="hybridMultilevel"/>
    <w:lvl w:ilvl="0">
      <w:lvlJc w:val="left"/>
      <w:lvlText w:val="(%1)"/>
      <w:numFmt w:val="lowerLetter"/>
      <w:start w:val="1"/>
    </w:lvl>
  </w:abstractNum>
  <w:abstractNum w:abstractNumId="95">
    <w:nsid w:val="69D3947C"/>
    <w:multiLevelType w:val="hybridMultilevel"/>
    <w:lvl w:ilvl="0">
      <w:lvlJc w:val="left"/>
      <w:lvlText w:val="(%1)"/>
      <w:numFmt w:val="lowerLetter"/>
      <w:start w:val="2"/>
    </w:lvl>
  </w:abstractNum>
  <w:abstractNum w:abstractNumId="96">
    <w:nsid w:val="2539DFA5"/>
    <w:multiLevelType w:val="hybridMultilevel"/>
    <w:lvl w:ilvl="0">
      <w:lvlJc w:val="left"/>
      <w:lvlText w:val="(%1)"/>
      <w:numFmt w:val="lowerRoman"/>
      <w:start w:val="2"/>
    </w:lvl>
  </w:abstractNum>
  <w:abstractNum w:abstractNumId="97">
    <w:nsid w:val="2DB88089"/>
    <w:multiLevelType w:val="hybridMultilevel"/>
    <w:lvl w:ilvl="0">
      <w:lvlJc w:val="left"/>
      <w:lvlText w:val="(%1)"/>
      <w:numFmt w:val="lowerLetter"/>
      <w:start w:val="1"/>
    </w:lvl>
  </w:abstractNum>
  <w:abstractNum w:abstractNumId="98">
    <w:nsid w:val="706B674E"/>
    <w:multiLevelType w:val="hybridMultilevel"/>
    <w:lvl w:ilvl="0">
      <w:lvlJc w:val="left"/>
      <w:lvlText w:val="(%1)"/>
      <w:numFmt w:val="lowerLetter"/>
      <w:start w:val="1"/>
    </w:lvl>
  </w:abstractNum>
  <w:abstractNum w:abstractNumId="99">
    <w:nsid w:val="2C106A57"/>
    <w:multiLevelType w:val="hybridMultilevel"/>
    <w:lvl w:ilvl="0">
      <w:lvlJc w:val="left"/>
      <w:lvlText w:val="(%1)"/>
      <w:numFmt w:val="lowerLetter"/>
      <w:start w:val="2"/>
    </w:lvl>
  </w:abstractNum>
  <w:abstractNum w:abstractNumId="100">
    <w:nsid w:val="684EED59"/>
    <w:multiLevelType w:val="hybridMultilevel"/>
    <w:lvl w:ilvl="0">
      <w:lvlJc w:val="left"/>
      <w:lvlText w:val="(%1)"/>
      <w:numFmt w:val="lowerLetter"/>
      <w:start w:val="1"/>
    </w:lvl>
  </w:abstractNum>
  <w:abstractNum w:abstractNumId="101">
    <w:nsid w:val="545EE5D3"/>
    <w:multiLevelType w:val="hybridMultilevel"/>
    <w:lvl w:ilvl="0">
      <w:lvlJc w:val="left"/>
      <w:lvlText w:val="(%1)"/>
      <w:numFmt w:val="lowerRoman"/>
      <w:start w:val="1"/>
    </w:lvl>
  </w:abstractNum>
  <w:abstractNum w:abstractNumId="102">
    <w:nsid w:val="4A66051"/>
    <w:multiLevelType w:val="hybridMultilevel"/>
    <w:lvl w:ilvl="0">
      <w:lvlJc w:val="left"/>
      <w:lvlText w:val="(%1)"/>
      <w:numFmt w:val="lowerLetter"/>
      <w:start w:val="2"/>
    </w:lvl>
  </w:abstractNum>
  <w:abstractNum w:abstractNumId="103">
    <w:nsid w:val="20F4BDAD"/>
    <w:multiLevelType w:val="hybridMultilevel"/>
    <w:lvl w:ilvl="0">
      <w:lvlJc w:val="left"/>
      <w:lvlText w:val="(%1)"/>
      <w:numFmt w:val="lowerLetter"/>
      <w:start w:val="3"/>
    </w:lvl>
  </w:abstractNum>
  <w:abstractNum w:abstractNumId="104">
    <w:nsid w:val="639DEFAC"/>
    <w:multiLevelType w:val="hybridMultilevel"/>
    <w:lvl w:ilvl="0">
      <w:lvlJc w:val="left"/>
      <w:lvlText w:val="(%1)"/>
      <w:numFmt w:val="lowerLetter"/>
      <w:start w:val="4"/>
    </w:lvl>
  </w:abstractNum>
  <w:abstractNum w:abstractNumId="105">
    <w:nsid w:val="501F9786"/>
    <w:multiLevelType w:val="hybridMultilevel"/>
    <w:lvl w:ilvl="0">
      <w:lvlJc w:val="left"/>
      <w:lvlText w:val="(%1)"/>
      <w:numFmt w:val="lowerLetter"/>
      <w:start w:val="5"/>
    </w:lvl>
  </w:abstractNum>
  <w:abstractNum w:abstractNumId="106">
    <w:nsid w:val="6B057295"/>
    <w:multiLevelType w:val="hybridMultilevel"/>
    <w:lvl w:ilvl="0">
      <w:lvlJc w:val="left"/>
      <w:lvlText w:val="(%1)"/>
      <w:numFmt w:val="lowerLetter"/>
      <w:start w:val="6"/>
    </w:lvl>
  </w:abstractNum>
  <w:abstractNum w:abstractNumId="107">
    <w:nsid w:val="2771AC80"/>
    <w:multiLevelType w:val="hybridMultilevel"/>
    <w:lvl w:ilvl="0">
      <w:lvlJc w:val="left"/>
      <w:lvlText w:val="(%1)"/>
      <w:numFmt w:val="lowerRoman"/>
      <w:start w:val="1"/>
    </w:lvl>
  </w:abstractNum>
  <w:abstractNum w:abstractNumId="108">
    <w:nsid w:val="1C4A08EC"/>
    <w:multiLevelType w:val="hybridMultilevel"/>
    <w:lvl w:ilvl="0">
      <w:lvlJc w:val="left"/>
      <w:lvlText w:val="(%1)"/>
      <w:numFmt w:val="lowerLetter"/>
      <w:start w:val="7"/>
    </w:lvl>
  </w:abstractNum>
  <w:abstractNum w:abstractNumId="109">
    <w:nsid w:val="1958BD17"/>
    <w:multiLevelType w:val="hybridMultilevel"/>
    <w:lvl w:ilvl="0">
      <w:lvlJc w:val="left"/>
      <w:lvlText w:val="(%1)"/>
      <w:numFmt w:val="lowerLetter"/>
      <w:start w:val="8"/>
    </w:lvl>
  </w:abstractNum>
  <w:abstractNum w:abstractNumId="110">
    <w:nsid w:val="4E647FE4"/>
    <w:multiLevelType w:val="hybridMultilevel"/>
    <w:lvl w:ilvl="0">
      <w:lvlJc w:val="left"/>
      <w:lvlText w:val="(%1)"/>
      <w:numFmt w:val="lowerRoman"/>
      <w:start w:val="1"/>
    </w:lvl>
  </w:abstractNum>
  <w:abstractNum w:abstractNumId="111">
    <w:nsid w:val="E0BB885"/>
    <w:multiLevelType w:val="hybridMultilevel"/>
    <w:lvl w:ilvl="0">
      <w:lvlJc w:val="left"/>
      <w:lvlText w:val="(%1)"/>
      <w:numFmt w:val="lowerLetter"/>
      <w:start w:val="10"/>
    </w:lvl>
  </w:abstractNum>
  <w:abstractNum w:abstractNumId="112">
    <w:nsid w:val="565976F1"/>
    <w:multiLevelType w:val="hybridMultilevel"/>
    <w:lvl w:ilvl="0">
      <w:lvlJc w:val="left"/>
      <w:lvlText w:val="(%1)"/>
      <w:numFmt w:val="lowerLetter"/>
      <w:start w:val="11"/>
    </w:lvl>
  </w:abstractNum>
  <w:abstractNum w:abstractNumId="113">
    <w:nsid w:val="64212B8C"/>
    <w:multiLevelType w:val="hybridMultilevel"/>
    <w:lvl w:ilvl="0">
      <w:lvlJc w:val="left"/>
      <w:lvlText w:val="(%1)"/>
      <w:numFmt w:val="lowerLetter"/>
      <w:start w:val="1"/>
    </w:lvl>
  </w:abstractNum>
  <w:abstractNum w:abstractNumId="114">
    <w:nsid w:val="5C17530C"/>
    <w:multiLevelType w:val="hybridMultilevel"/>
    <w:lvl w:ilvl="0">
      <w:lvlJc w:val="left"/>
      <w:lvlText w:val="%1"/>
      <w:numFmt w:val="lowerLetter"/>
      <w:start w:val="1"/>
    </w:lvl>
    <w:lvl w:ilvl="1">
      <w:lvlJc w:val="left"/>
      <w:lvlText w:val="(%2)"/>
      <w:numFmt w:val="lowerLetter"/>
      <w:start w:val="3"/>
    </w:lvl>
  </w:abstractNum>
  <w:abstractNum w:abstractNumId="115">
    <w:nsid w:val="19A52566"/>
    <w:multiLevelType w:val="hybridMultilevel"/>
    <w:lvl w:ilvl="0">
      <w:lvlJc w:val="left"/>
      <w:lvlText w:val="(%1)"/>
      <w:numFmt w:val="lowerLetter"/>
      <w:start w:val="35"/>
    </w:lvl>
    <w:lvl w:ilvl="1">
      <w:lvlJc w:val="left"/>
      <w:lvlText w:val="(%2)"/>
      <w:numFmt w:val="lowerLetter"/>
      <w:start w:val="7"/>
    </w:lvl>
  </w:abstractNum>
  <w:abstractNum w:abstractNumId="116">
    <w:nsid w:val="335A1DF1"/>
    <w:multiLevelType w:val="hybridMultilevel"/>
    <w:lvl w:ilvl="0">
      <w:lvlJc w:val="left"/>
      <w:lvlText w:val="(%1)"/>
      <w:numFmt w:val="lowerLetter"/>
      <w:start w:val="8"/>
    </w:lvl>
  </w:abstractNum>
  <w:abstractNum w:abstractNumId="117">
    <w:nsid w:val="28677B7C"/>
    <w:multiLevelType w:val="hybridMultilevel"/>
    <w:lvl w:ilvl="0">
      <w:lvlJc w:val="left"/>
      <w:lvlText w:val="(%1)"/>
      <w:numFmt w:val="lowerLetter"/>
      <w:start w:val="1"/>
    </w:lvl>
    <w:lvl w:ilvl="1">
      <w:lvlJc w:val="left"/>
      <w:lvlText w:val="(%2)"/>
      <w:numFmt w:val="lowerRoman"/>
      <w:start w:val="1"/>
    </w:lvl>
  </w:abstractNum>
  <w:abstractNum w:abstractNumId="118">
    <w:nsid w:val="378D97C0"/>
    <w:multiLevelType w:val="hybridMultilevel"/>
    <w:lvl w:ilvl="0">
      <w:lvlJc w:val="left"/>
      <w:lvlText w:val="(%1)"/>
      <w:numFmt w:val="lowerRoman"/>
      <w:start w:val="1"/>
    </w:lvl>
  </w:abstractNum>
  <w:abstractNum w:abstractNumId="119">
    <w:nsid w:val="1D91467C"/>
    <w:multiLevelType w:val="hybridMultilevel"/>
    <w:lvl w:ilvl="0">
      <w:lvlJc w:val="left"/>
      <w:lvlText w:val="(%1)"/>
      <w:numFmt w:val="lowerLetter"/>
      <w:start w:val="1"/>
    </w:lvl>
  </w:abstractNum>
  <w:abstractNum w:abstractNumId="120">
    <w:nsid w:val="316032BB"/>
    <w:multiLevelType w:val="hybridMultilevel"/>
    <w:lvl w:ilvl="0">
      <w:lvlJc w:val="left"/>
      <w:lvlText w:val="%1"/>
      <w:numFmt w:val="lowerLetter"/>
      <w:start w:val="1"/>
    </w:lvl>
    <w:lvl w:ilvl="1">
      <w:lvlJc w:val="left"/>
      <w:lvlText w:val="(%2)"/>
      <w:numFmt w:val="lowerLetter"/>
      <w:start w:val="1"/>
    </w:lvl>
  </w:abstractNum>
  <w:abstractNum w:abstractNumId="121">
    <w:nsid w:val="44344C22"/>
    <w:multiLevelType w:val="hybridMultilevel"/>
    <w:lvl w:ilvl="0">
      <w:lvlJc w:val="left"/>
      <w:lvlText w:val="(%1)"/>
      <w:numFmt w:val="lowerLetter"/>
      <w:start w:val="35"/>
    </w:lvl>
    <w:lvl w:ilvl="1">
      <w:lvlJc w:val="left"/>
      <w:lvlText w:val="%2"/>
      <w:numFmt w:val="lowerLetter"/>
      <w:start w:val="1"/>
    </w:lvl>
  </w:abstractNum>
  <w:abstractNum w:abstractNumId="122">
    <w:nsid w:val="13CDFCFC"/>
    <w:multiLevelType w:val="hybridMultilevel"/>
    <w:lvl w:ilvl="0">
      <w:lvlJc w:val="left"/>
      <w:lvlText w:val="(%1)"/>
      <w:numFmt w:val="lowerLetter"/>
      <w:start w:val="24"/>
    </w:lvl>
    <w:lvl w:ilvl="1">
      <w:lvlJc w:val="left"/>
      <w:lvlText w:val="(%2)"/>
      <w:numFmt w:val="lowerLetter"/>
      <w:start w:val="8"/>
    </w:lvl>
  </w:abstractNum>
  <w:abstractNum w:abstractNumId="123">
    <w:nsid w:val="471745E4"/>
    <w:multiLevelType w:val="hybridMultilevel"/>
    <w:lvl w:ilvl="0">
      <w:lvlJc w:val="left"/>
      <w:lvlText w:val="(%1)"/>
      <w:numFmt w:val="decimal"/>
      <w:start w:val="1"/>
    </w:lvl>
  </w:abstractNum>
  <w:abstractNum w:abstractNumId="124">
    <w:nsid w:val="1DDBC66"/>
    <w:multiLevelType w:val="hybridMultilevel"/>
    <w:lvl w:ilvl="0">
      <w:lvlJc w:val="left"/>
      <w:lvlText w:val="(%1)"/>
      <w:numFmt w:val="lowerLetter"/>
      <w:start w:val="13"/>
    </w:lvl>
  </w:abstractNum>
  <w:abstractNum w:abstractNumId="125">
    <w:nsid w:val="30AADFDA"/>
    <w:multiLevelType w:val="hybridMultilevel"/>
    <w:lvl w:ilvl="0">
      <w:lvlJc w:val="left"/>
      <w:lvlText w:val="(%1)"/>
      <w:numFmt w:val="lowerLetter"/>
      <w:start w:val="1"/>
    </w:lvl>
  </w:abstractNum>
  <w:abstractNum w:abstractNumId="126">
    <w:nsid w:val="30EADA61"/>
    <w:multiLevelType w:val="hybridMultilevel"/>
    <w:lvl w:ilvl="0">
      <w:lvlJc w:val="left"/>
      <w:lvlText w:val="(%1)"/>
      <w:numFmt w:val="lowerLetter"/>
      <w:start w:val="4"/>
    </w:lvl>
  </w:abstractNum>
  <w:abstractNum w:abstractNumId="127">
    <w:nsid w:val="27179C0B"/>
    <w:multiLevelType w:val="hybridMultilevel"/>
    <w:lvl w:ilvl="0">
      <w:lvlJc w:val="left"/>
      <w:lvlText w:val="(%1)"/>
      <w:numFmt w:val="lowerLetter"/>
      <w:start w:val="1"/>
    </w:lvl>
  </w:abstractNum>
  <w:abstractNum w:abstractNumId="128">
    <w:nsid w:val="5E636063"/>
    <w:multiLevelType w:val="hybridMultilevel"/>
    <w:lvl w:ilvl="0">
      <w:lvlJc w:val="left"/>
      <w:lvlText w:val="(%1)"/>
      <w:numFmt w:val="lowerLetter"/>
      <w:start w:val="1"/>
    </w:lvl>
  </w:abstractNum>
  <w:abstractNum w:abstractNumId="129">
    <w:nsid w:val="215641AF"/>
    <w:multiLevelType w:val="hybridMultilevel"/>
    <w:lvl w:ilvl="0">
      <w:lvlJc w:val="left"/>
      <w:lvlText w:val="(%1)"/>
      <w:numFmt w:val="lowerLetter"/>
      <w:start w:val="2"/>
    </w:lvl>
  </w:abstractNum>
  <w:abstractNum w:abstractNumId="130">
    <w:nsid w:val="53280662"/>
    <w:multiLevelType w:val="hybridMultilevel"/>
    <w:lvl w:ilvl="0">
      <w:lvlJc w:val="left"/>
      <w:lvlText w:val="(%1)"/>
      <w:numFmt w:val="lowerLetter"/>
      <w:start w:val="1"/>
    </w:lvl>
  </w:abstractNum>
  <w:abstractNum w:abstractNumId="131">
    <w:nsid w:val="46B24DBC"/>
    <w:multiLevelType w:val="hybridMultilevel"/>
    <w:lvl w:ilvl="0">
      <w:lvlJc w:val="left"/>
      <w:lvlText w:val="(%1)"/>
      <w:numFmt w:val="lowerLetter"/>
      <w:start w:val="1"/>
    </w:lvl>
  </w:abstractNum>
  <w:abstractNum w:abstractNumId="132">
    <w:nsid w:val="75B52783"/>
    <w:multiLevelType w:val="hybridMultilevel"/>
    <w:lvl w:ilvl="0">
      <w:lvlJc w:val="left"/>
      <w:lvlText w:val="%1."/>
      <w:numFmt w:val="decimal"/>
      <w:start w:val="1"/>
    </w:lvl>
  </w:abstractNum>
  <w:abstractNum w:abstractNumId="133">
    <w:nsid w:val="57CE66B4"/>
    <w:multiLevelType w:val="hybridMultilevel"/>
    <w:lvl w:ilvl="0">
      <w:lvlJc w:val="left"/>
      <w:lvlText w:val="%1"/>
      <w:numFmt w:val="lowerLetter"/>
      <w:start w:val="1"/>
    </w:lvl>
    <w:lvl w:ilvl="1">
      <w:lvlJc w:val="left"/>
      <w:lvlText w:val="%2."/>
      <w:numFmt w:val="decimal"/>
      <w:start w:val="3"/>
    </w:lvl>
  </w:abstractNum>
  <w:abstractNum w:abstractNumId="134">
    <w:nsid w:val="67A70B69"/>
    <w:multiLevelType w:val="hybridMultilevel"/>
    <w:lvl w:ilvl="0">
      <w:lvlJc w:val="left"/>
      <w:lvlText w:val="(%1)"/>
      <w:numFmt w:val="lowerLetter"/>
      <w:start w:val="2"/>
    </w:lvl>
    <w:lvl w:ilvl="1">
      <w:lvlJc w:val="left"/>
      <w:lvlText w:val="%2."/>
      <w:numFmt w:val="decimal"/>
      <w:start w:val="5"/>
    </w:lvl>
  </w:abstractNum>
  <w:abstractNum w:abstractNumId="135">
    <w:nsid w:val="5953172F"/>
    <w:multiLevelType w:val="hybridMultilevel"/>
    <w:lvl w:ilvl="0">
      <w:lvlJc w:val="left"/>
      <w:lvlText w:val="%1."/>
      <w:numFmt w:val="decimal"/>
      <w:start w:val="6"/>
    </w:lvl>
  </w:abstractNum>
  <w:abstractNum w:abstractNumId="136">
    <w:nsid w:val="27EDFE3A"/>
    <w:multiLevelType w:val="hybridMultilevel"/>
    <w:lvl w:ilvl="0">
      <w:lvlJc w:val="left"/>
      <w:lvlText w:val="%1."/>
      <w:numFmt w:val="decimal"/>
      <w:start w:val="7"/>
    </w:lvl>
    <w:lvl w:ilvl="1">
      <w:lvlJc w:val="left"/>
      <w:lvlText w:val="(%2)"/>
      <w:numFmt w:val="lowerLetter"/>
      <w:start w:val="1"/>
    </w:lvl>
  </w:abstractNum>
  <w:abstractNum w:abstractNumId="137">
    <w:nsid w:val="52AC7DFF"/>
    <w:multiLevelType w:val="hybridMultilevel"/>
    <w:lvl w:ilvl="0">
      <w:lvlJc w:val="left"/>
      <w:lvlText w:val="(%1)"/>
      <w:numFmt w:val="lowerLetter"/>
      <w:start w:val="4"/>
    </w:lvl>
  </w:abstractNum>
  <w:abstractNum w:abstractNumId="138">
    <w:nsid w:val="C4C3AF"/>
    <w:multiLevelType w:val="hybridMultilevel"/>
    <w:lvl w:ilvl="0">
      <w:lvlJc w:val="left"/>
      <w:lvlText w:val="%1."/>
      <w:numFmt w:val="decimal"/>
      <w:start w:val="8"/>
    </w:lvl>
  </w:abstractNum>
  <w:abstractNum w:abstractNumId="139">
    <w:nsid w:val="44380727"/>
    <w:multiLevelType w:val="hybridMultilevel"/>
    <w:lvl w:ilvl="0">
      <w:lvlJc w:val="left"/>
      <w:lvlText w:val="%1."/>
      <w:numFmt w:val="decimal"/>
      <w:start w:val="9"/>
    </w:lvl>
  </w:abstractNum>
  <w:abstractNum w:abstractNumId="140">
    <w:nsid w:val="6C053B16"/>
    <w:multiLevelType w:val="hybridMultilevel"/>
    <w:lvl w:ilvl="0">
      <w:lvlJc w:val="left"/>
      <w:lvlText w:val="%1."/>
      <w:numFmt w:val="decimal"/>
      <w:start w:val="14"/>
    </w:lvl>
  </w:abstractNum>
  <w:abstractNum w:abstractNumId="141">
    <w:nsid w:val="4F294393"/>
    <w:multiLevelType w:val="hybridMultilevel"/>
    <w:lvl w:ilvl="0">
      <w:lvlJc w:val="left"/>
      <w:lvlText w:val="%1."/>
      <w:numFmt w:val="decimal"/>
      <w:start w:val="1"/>
    </w:lvl>
  </w:abstractNum>
  <w:abstractNum w:abstractNumId="142">
    <w:nsid w:val="5243BFAC"/>
    <w:multiLevelType w:val="hybridMultilevel"/>
    <w:lvl w:ilvl="0">
      <w:lvlJc w:val="left"/>
      <w:lvlText w:val="%1."/>
      <w:numFmt w:val="decimal"/>
      <w:start w:val="7"/>
    </w:lvl>
  </w:abstractNum>
  <w:abstractNum w:abstractNumId="143">
    <w:nsid w:val="425EB207"/>
    <w:multiLevelType w:val="hybridMultilevel"/>
    <w:lvl w:ilvl="0">
      <w:lvlJc w:val="left"/>
      <w:lvlText w:val="%1."/>
      <w:numFmt w:val="decimal"/>
      <w:start w:val="1"/>
    </w:lvl>
  </w:abstractNum>
  <w:abstractNum w:abstractNumId="144">
    <w:nsid w:val="334A6F1F"/>
    <w:multiLevelType w:val="hybridMultilevel"/>
    <w:lvl w:ilvl="0">
      <w:lvlJc w:val="left"/>
      <w:lvlText w:val="%1."/>
      <w:numFmt w:val="decimal"/>
      <w:start w:val="2"/>
    </w:lvl>
  </w:abstractNum>
  <w:abstractNum w:abstractNumId="145">
    <w:nsid w:val="2E5B12B8"/>
    <w:multiLevelType w:val="hybridMultilevel"/>
    <w:lvl w:ilvl="0">
      <w:lvlJc w:val="left"/>
      <w:lvlText w:val="%1."/>
      <w:numFmt w:val="decimal"/>
      <w:start w:val="4"/>
    </w:lvl>
    <w:lvl w:ilvl="1">
      <w:lvlJc w:val="left"/>
      <w:lvlText w:val="*"/>
      <w:numFmt w:val="bullet"/>
      <w:start w:val="1"/>
    </w:lvl>
  </w:abstractNum>
  <w:abstractNum w:abstractNumId="146">
    <w:nsid w:val="5C03D76D"/>
    <w:multiLevelType w:val="hybridMultilevel"/>
    <w:lvl w:ilvl="0">
      <w:lvlJc w:val="left"/>
      <w:lvlText w:val="%1."/>
      <w:numFmt w:val="decimal"/>
      <w:start w:val="1"/>
    </w:lvl>
  </w:abstractNum>
  <w:abstractNum w:abstractNumId="147">
    <w:nsid w:val="66A48D11"/>
    <w:multiLevelType w:val="hybridMultilevel"/>
    <w:lvl w:ilvl="0">
      <w:lvlJc w:val="left"/>
      <w:lvlText w:val="%1."/>
      <w:numFmt w:val="decimal"/>
      <w:start w:val="2"/>
    </w:lvl>
  </w:abstractNum>
  <w:abstractNum w:abstractNumId="148">
    <w:nsid w:val="56C28E34"/>
    <w:multiLevelType w:val="hybridMultilevel"/>
    <w:lvl w:ilvl="0">
      <w:lvlJc w:val="left"/>
      <w:lvlText w:val="%1."/>
      <w:numFmt w:val="decimal"/>
      <w:start w:val="3"/>
    </w:lvl>
  </w:abstractNum>
  <w:abstractNum w:abstractNumId="149">
    <w:nsid w:val="13916F2D"/>
    <w:multiLevelType w:val="hybridMultilevel"/>
    <w:lvl w:ilvl="0">
      <w:lvlJc w:val="left"/>
      <w:lvlText w:val="%1."/>
      <w:numFmt w:val="decimal"/>
      <w:start w:val="4"/>
    </w:lvl>
  </w:abstractNum>
  <w:abstractNum w:abstractNumId="150">
    <w:nsid w:val="435D38D"/>
    <w:multiLevelType w:val="hybridMultilevel"/>
    <w:lvl w:ilvl="0">
      <w:lvlJc w:val="left"/>
      <w:lvlText w:val="6"/>
      <w:numFmt w:val="bullet"/>
      <w:start w:val="1"/>
    </w:lvl>
  </w:abstractNum>
  <w:abstractNum w:abstractNumId="151">
    <w:nsid w:val="822C0EF"/>
    <w:multiLevelType w:val="hybridMultilevel"/>
    <w:lvl w:ilvl="0">
      <w:lvlJc w:val="left"/>
      <w:lvlText w:val="(%1)"/>
      <w:numFmt w:val="lowerLetter"/>
      <w:start w:val="1"/>
    </w:lvl>
  </w:abstractNum>
  <w:abstractNum w:abstractNumId="152">
    <w:nsid w:val="57C5BB4F"/>
    <w:multiLevelType w:val="hybridMultilevel"/>
    <w:lvl w:ilvl="0">
      <w:lvlJc w:val="left"/>
      <w:lvlText w:val="(%1)"/>
      <w:numFmt w:val="lowerRoman"/>
      <w:start w:val="4"/>
    </w:lvl>
  </w:abstractNum>
  <w:abstractNum w:abstractNumId="153">
    <w:nsid w:val="1803D089"/>
    <w:multiLevelType w:val="hybridMultilevel"/>
    <w:lvl w:ilvl="0">
      <w:lvlJc w:val="left"/>
      <w:lvlText w:val="(%1)"/>
      <w:numFmt w:val="lowerLetter"/>
      <w:start w:val="1"/>
    </w:lvl>
  </w:abstractNum>
  <w:abstractNum w:abstractNumId="154">
    <w:nsid w:val="4F3A06D4"/>
    <w:multiLevelType w:val="hybridMultilevel"/>
    <w:lvl w:ilvl="0">
      <w:lvlJc w:val="left"/>
      <w:lvlText w:val="(%1)"/>
      <w:numFmt w:val="lowerLetter"/>
      <w:start w:val="1"/>
    </w:lvl>
  </w:abstractNum>
  <w:abstractNum w:abstractNumId="155">
    <w:nsid w:val="59A377B6"/>
    <w:multiLevelType w:val="hybridMultilevel"/>
    <w:lvl w:ilvl="0">
      <w:lvlJc w:val="left"/>
      <w:lvlText w:val="(%1)"/>
      <w:numFmt w:val="lowerLetter"/>
      <w:start w:val="5"/>
    </w:lvl>
  </w:abstractNum>
  <w:abstractNum w:abstractNumId="156">
    <w:nsid w:val="48AEB063"/>
    <w:multiLevelType w:val="hybridMultilevel"/>
    <w:lvl w:ilvl="0">
      <w:lvlJc w:val="left"/>
      <w:lvlText w:val="(%1)"/>
      <w:numFmt w:val="lowerLetter"/>
      <w:start w:val="9"/>
    </w:lvl>
  </w:abstractNum>
  <w:abstractNum w:abstractNumId="157">
    <w:nsid w:val="24E135"/>
    <w:multiLevelType w:val="hybridMultilevel"/>
    <w:lvl w:ilvl="0">
      <w:lvlJc w:val="left"/>
      <w:lvlText w:val="(%1)"/>
      <w:numFmt w:val="lowerLetter"/>
      <w:start w:val="1"/>
    </w:lvl>
  </w:abstractNum>
  <w:abstractNum w:abstractNumId="158">
    <w:nsid w:val="BB13C1"/>
    <w:multiLevelType w:val="hybridMultilevel"/>
    <w:lvl w:ilvl="0">
      <w:lvlJc w:val="left"/>
      <w:lvlText w:val="(%1)"/>
      <w:numFmt w:val="lowerLetter"/>
      <w:start w:val="3"/>
    </w:lvl>
  </w:abstractNum>
  <w:abstractNum w:abstractNumId="159">
    <w:nsid w:val="271210C7"/>
    <w:multiLevelType w:val="hybridMultilevel"/>
    <w:lvl w:ilvl="0">
      <w:lvlJc w:val="left"/>
      <w:lvlText w:val="(%1)"/>
      <w:numFmt w:val="lowerLetter"/>
      <w:start w:val="9"/>
    </w:lvl>
  </w:abstractNum>
  <w:abstractNum w:abstractNumId="160">
    <w:nsid w:val="217B22E4"/>
    <w:multiLevelType w:val="hybridMultilevel"/>
    <w:lvl w:ilvl="0">
      <w:lvlJc w:val="left"/>
      <w:lvlText w:val="(%1)"/>
      <w:numFmt w:val="lowerLetter"/>
      <w:start w:val="1"/>
    </w:lvl>
    <w:lvl w:ilvl="1">
      <w:lvlJc w:val="left"/>
      <w:lvlText w:val="(%2)"/>
      <w:numFmt w:val="lowerRoman"/>
      <w:start w:val="1"/>
    </w:lvl>
  </w:abstractNum>
  <w:abstractNum w:abstractNumId="161">
    <w:nsid w:val="53E31A24"/>
    <w:multiLevelType w:val="hybridMultilevel"/>
    <w:lvl w:ilvl="0">
      <w:lvlJc w:val="left"/>
      <w:lvlText w:val="%1"/>
      <w:numFmt w:val="lowerLetter"/>
      <w:start w:val="1"/>
    </w:lvl>
    <w:lvl w:ilvl="1">
      <w:lvlJc w:val="left"/>
      <w:lvlText w:val="(%2)"/>
      <w:numFmt w:val="lowerLetter"/>
      <w:start w:val="61"/>
    </w:lvl>
  </w:abstractNum>
  <w:abstractNum w:abstractNumId="162">
    <w:nsid w:val="6DC45E83"/>
    <w:multiLevelType w:val="hybridMultilevel"/>
    <w:lvl w:ilvl="0">
      <w:lvlJc w:val="left"/>
      <w:lvlText w:val="(%1)"/>
      <w:numFmt w:val="lowerLetter"/>
      <w:start w:val="2"/>
    </w:lvl>
    <w:lvl w:ilvl="1">
      <w:lvlJc w:val="left"/>
      <w:lvlText w:val="(%2)"/>
      <w:numFmt w:val="lowerLetter"/>
      <w:start w:val="9"/>
    </w:lvl>
  </w:abstractNum>
  <w:abstractNum w:abstractNumId="163">
    <w:nsid w:val="17304A67"/>
    <w:multiLevelType w:val="hybridMultilevel"/>
    <w:lvl w:ilvl="0">
      <w:lvlJc w:val="left"/>
      <w:lvlText w:val="%1"/>
      <w:numFmt w:val="lowerLetter"/>
      <w:start w:val="1"/>
    </w:lvl>
    <w:lvl w:ilvl="1">
      <w:lvlJc w:val="left"/>
      <w:lvlText w:val="(%2)"/>
      <w:numFmt w:val="lowerLetter"/>
      <w:start w:val="35"/>
    </w:lvl>
  </w:abstractNum>
  <w:abstractNum w:abstractNumId="164">
    <w:nsid w:val="2BB180D8"/>
    <w:multiLevelType w:val="hybridMultilevel"/>
    <w:lvl w:ilvl="0">
      <w:lvlJc w:val="left"/>
      <w:lvlText w:val="(%1)"/>
      <w:numFmt w:val="lowerLetter"/>
      <w:start w:val="3"/>
    </w:lvl>
    <w:lvl w:ilvl="1">
      <w:lvlJc w:val="left"/>
      <w:lvlText w:val="%2"/>
      <w:numFmt w:val="lowerLetter"/>
      <w:start w:val="1"/>
    </w:lvl>
  </w:abstractNum>
  <w:abstractNum w:abstractNumId="165">
    <w:nsid w:val="556B69ED"/>
    <w:multiLevelType w:val="hybridMultilevel"/>
    <w:lvl w:ilvl="0">
      <w:lvlJc w:val="left"/>
      <w:lvlText w:val="%1"/>
      <w:numFmt w:val="lowerLetter"/>
      <w:start w:val="1"/>
    </w:lvl>
    <w:lvl w:ilvl="1">
      <w:lvlJc w:val="left"/>
      <w:lvlText w:val="(%2)"/>
      <w:numFmt w:val="lowerRoman"/>
      <w:start w:val="1"/>
    </w:lvl>
  </w:abstractNum>
  <w:abstractNum w:abstractNumId="166">
    <w:nsid w:val="70836196"/>
    <w:multiLevelType w:val="hybridMultilevel"/>
    <w:lvl w:ilvl="0">
      <w:lvlJc w:val="left"/>
      <w:lvlText w:val="(%1)"/>
      <w:numFmt w:val="lowerLetter"/>
      <w:start w:val="5"/>
    </w:lvl>
    <w:lvl w:ilvl="1">
      <w:lvlJc w:val="left"/>
      <w:lvlText w:val="%2"/>
      <w:numFmt w:val="lowerRoman"/>
      <w:start w:val="1"/>
    </w:lvl>
  </w:abstractNum>
  <w:abstractNum w:abstractNumId="167">
    <w:nsid w:val="539F7F12"/>
    <w:multiLevelType w:val="hybridMultilevel"/>
    <w:lvl w:ilvl="0">
      <w:lvlJc w:val="left"/>
      <w:lvlText w:val="(%1)"/>
      <w:numFmt w:val="lowerLetter"/>
      <w:start w:val="1"/>
    </w:lvl>
  </w:abstractNum>
  <w:abstractNum w:abstractNumId="168">
    <w:nsid w:val="2817E7EC"/>
    <w:multiLevelType w:val="hybridMultilevel"/>
    <w:lvl w:ilvl="0">
      <w:lvlJc w:val="left"/>
      <w:lvlText w:val="(%1)"/>
      <w:numFmt w:val="lowerLetter"/>
      <w:start w:val="2"/>
    </w:lvl>
  </w:abstractNum>
  <w:abstractNum w:abstractNumId="169">
    <w:nsid w:val="71482545"/>
    <w:multiLevelType w:val="hybridMultilevel"/>
    <w:lvl w:ilvl="0">
      <w:lvlJc w:val="left"/>
      <w:lvlText w:val="(%1)"/>
      <w:numFmt w:val="lowerLetter"/>
      <w:start w:val="4"/>
    </w:lvl>
  </w:abstractNum>
  <w:abstractNum w:abstractNumId="170">
    <w:nsid w:val="17D78639"/>
    <w:multiLevelType w:val="hybridMultilevel"/>
    <w:lvl w:ilvl="0">
      <w:lvlJc w:val="left"/>
      <w:lvlText w:val="(%1)"/>
      <w:numFmt w:val="lowerLetter"/>
      <w:start w:val="1"/>
    </w:lvl>
  </w:abstractNum>
  <w:abstractNum w:abstractNumId="171">
    <w:nsid w:val="141D2302"/>
    <w:multiLevelType w:val="hybridMultilevel"/>
    <w:lvl w:ilvl="0">
      <w:lvlJc w:val="left"/>
      <w:lvlText w:val="(%1)"/>
      <w:numFmt w:val="lowerLetter"/>
      <w:start w:val="3"/>
    </w:lvl>
  </w:abstractNum>
  <w:abstractNum w:abstractNumId="172">
    <w:nsid w:val="407168D8"/>
    <w:multiLevelType w:val="hybridMultilevel"/>
    <w:lvl w:ilvl="0">
      <w:lvlJc w:val="left"/>
      <w:lvlText w:val="%1"/>
      <w:numFmt w:val="lowerLetter"/>
      <w:start w:val="1"/>
    </w:lvl>
    <w:lvl w:ilvl="1">
      <w:lvlJc w:val="left"/>
      <w:lvlText w:val="(%2)"/>
      <w:numFmt w:val="lowerLetter"/>
      <w:start w:val="1"/>
    </w:lvl>
  </w:abstractNum>
  <w:abstractNum w:abstractNumId="173">
    <w:nsid w:val="6A1B45E5"/>
    <w:multiLevelType w:val="hybridMultilevel"/>
    <w:lvl w:ilvl="0">
      <w:lvlJc w:val="left"/>
      <w:lvlText w:val="(%1)"/>
      <w:numFmt w:val="lowerLetter"/>
      <w:start w:val="2"/>
    </w:lvl>
    <w:lvl w:ilvl="1">
      <w:lvlJc w:val="left"/>
      <w:lvlText w:val="(%2)"/>
      <w:numFmt w:val="lowerLetter"/>
      <w:start w:val="2"/>
    </w:lvl>
  </w:abstractNum>
  <w:abstractNum w:abstractNumId="174">
    <w:nsid w:val="567BD50A"/>
    <w:multiLevelType w:val="hybridMultilevel"/>
    <w:lvl w:ilvl="0">
      <w:lvlJc w:val="left"/>
      <w:lvlText w:val="(%1)"/>
      <w:numFmt w:val="lowerLetter"/>
      <w:start w:val="1"/>
    </w:lvl>
  </w:abstractNum>
  <w:abstractNum w:abstractNumId="175">
    <w:nsid w:val="73BBD7F8"/>
    <w:multiLevelType w:val="hybridMultilevel"/>
    <w:lvl w:ilvl="0">
      <w:lvlJc w:val="left"/>
      <w:lvlText w:val="(%1)"/>
      <w:numFmt w:val="lowerLetter"/>
      <w:start w:val="1"/>
    </w:lvl>
  </w:abstractNum>
  <w:abstractNum w:abstractNumId="176">
    <w:nsid w:val="1876589D"/>
    <w:multiLevelType w:val="hybridMultilevel"/>
    <w:lvl w:ilvl="0">
      <w:lvlJc w:val="left"/>
      <w:lvlText w:val="(%1)"/>
      <w:numFmt w:val="lowerLetter"/>
      <w:start w:val="1"/>
    </w:lvl>
  </w:abstractNum>
  <w:abstractNum w:abstractNumId="177">
    <w:nsid w:val="327FAC77"/>
    <w:multiLevelType w:val="hybridMultilevel"/>
    <w:lvl w:ilvl="0">
      <w:lvlJc w:val="left"/>
      <w:lvlText w:val="%1."/>
      <w:numFmt w:val="upperLetter"/>
      <w:start w:val="1"/>
    </w:lvl>
  </w:abstractNum>
  <w:abstractNum w:abstractNumId="178">
    <w:nsid w:val="5A606509"/>
    <w:multiLevelType w:val="hybridMultilevel"/>
    <w:lvl w:ilvl="0">
      <w:lvlJc w:val="left"/>
      <w:lvlText w:val="%1."/>
      <w:numFmt w:val="upperLetter"/>
      <w:start w:val="1"/>
    </w:lvl>
  </w:abstractNum>
  <w:abstractNum w:abstractNumId="179">
    <w:nsid w:val="6F38E6D1"/>
    <w:multiLevelType w:val="hybridMultilevel"/>
    <w:lvl w:ilvl="0">
      <w:lvlJc w:val="left"/>
      <w:lvlText w:val="(%1)"/>
      <w:numFmt w:val="lowerLetter"/>
      <w:start w:val="1"/>
    </w:lvl>
    <w:lvl w:ilvl="1">
      <w:lvlJc w:val="left"/>
      <w:lvlText w:val="(%2)"/>
      <w:numFmt w:val="lowerRoman"/>
      <w:start w:val="1"/>
    </w:lvl>
  </w:abstractNum>
  <w:abstractNum w:abstractNumId="180">
    <w:nsid w:val="46111BA5"/>
    <w:multiLevelType w:val="hybridMultilevel"/>
    <w:lvl w:ilvl="0">
      <w:lvlJc w:val="left"/>
      <w:lvlText w:val="%1"/>
      <w:numFmt w:val="lowerLetter"/>
      <w:start w:val="1"/>
    </w:lvl>
    <w:lvl w:ilvl="1">
      <w:lvlJc w:val="left"/>
      <w:lvlText w:val="(%2)"/>
      <w:numFmt w:val="lowerRoman"/>
      <w:start w:val="10"/>
    </w:lvl>
  </w:abstractNum>
  <w:abstractNum w:abstractNumId="181">
    <w:nsid w:val="5E963896"/>
    <w:multiLevelType w:val="hybridMultilevel"/>
    <w:lvl w:ilvl="0">
      <w:lvlJc w:val="left"/>
      <w:lvlText w:val="(%1)"/>
      <w:numFmt w:val="lowerLetter"/>
      <w:start w:val="2"/>
    </w:lvl>
    <w:lvl w:ilvl="1">
      <w:lvlJc w:val="left"/>
      <w:lvlText w:val="(%2)"/>
      <w:numFmt w:val="lowerRoman"/>
      <w:start w:val="1"/>
    </w:lvl>
  </w:abstractNum>
  <w:abstractNum w:abstractNumId="182">
    <w:nsid w:val="775BA7C1"/>
    <w:multiLevelType w:val="hybridMultilevel"/>
    <w:lvl w:ilvl="0">
      <w:lvlJc w:val="left"/>
      <w:lvlText w:val="(%1)"/>
      <w:numFmt w:val="lowerLetter"/>
      <w:start w:val="1"/>
    </w:lvl>
  </w:abstractNum>
  <w:abstractNum w:abstractNumId="183">
    <w:nsid w:val="1DD6D6F4"/>
    <w:multiLevelType w:val="hybridMultilevel"/>
    <w:lvl w:ilvl="0">
      <w:lvlJc w:val="left"/>
      <w:lvlText w:val="%1"/>
      <w:numFmt w:val="lowerLetter"/>
      <w:start w:val="1"/>
    </w:lvl>
    <w:lvl w:ilvl="1">
      <w:lvlJc w:val="left"/>
      <w:lvlText w:val="(%2)"/>
      <w:numFmt w:val="lowerRoman"/>
      <w:start w:val="1"/>
    </w:lvl>
  </w:abstractNum>
  <w:abstractNum w:abstractNumId="184">
    <w:nsid w:val="769A091F"/>
    <w:multiLevelType w:val="hybridMultilevel"/>
    <w:lvl w:ilvl="0">
      <w:lvlJc w:val="left"/>
      <w:lvlText w:val="(%1)"/>
      <w:numFmt w:val="lowerLetter"/>
      <w:start w:val="2"/>
    </w:lvl>
    <w:lvl w:ilvl="1">
      <w:lvlJc w:val="left"/>
      <w:lvlText w:val="(%2)"/>
      <w:numFmt w:val="lowerRoman"/>
      <w:start w:val="1"/>
    </w:lvl>
  </w:abstractNum>
  <w:abstractNum w:abstractNumId="185">
    <w:nsid w:val="4695AE95"/>
    <w:multiLevelType w:val="hybridMultilevel"/>
    <w:lvl w:ilvl="0">
      <w:lvlJc w:val="left"/>
      <w:lvlText w:val="(%1)"/>
      <w:numFmt w:val="lowerLetter"/>
      <w:start w:val="1"/>
    </w:lvl>
  </w:abstractNum>
  <w:abstractNum w:abstractNumId="186">
    <w:nsid w:val="777A4EAA"/>
    <w:multiLevelType w:val="hybridMultilevel"/>
    <w:lvl w:ilvl="0">
      <w:lvlJc w:val="left"/>
      <w:lvlText w:val="%1"/>
      <w:numFmt w:val="lowerLetter"/>
      <w:start w:val="1"/>
    </w:lvl>
    <w:lvl w:ilvl="1">
      <w:lvlJc w:val="left"/>
      <w:lvlText w:val="(%2)"/>
      <w:numFmt w:val="lowerLetter"/>
      <w:start w:val="3"/>
    </w:lvl>
  </w:abstractNum>
  <w:abstractNum w:abstractNumId="187">
    <w:nsid w:val="3F48B982"/>
    <w:multiLevelType w:val="hybridMultilevel"/>
    <w:lvl w:ilvl="0">
      <w:lvlJc w:val="left"/>
      <w:lvlText w:val="(%1)"/>
      <w:numFmt w:val="lowerLetter"/>
      <w:start w:val="61"/>
    </w:lvl>
    <w:lvl w:ilvl="1">
      <w:lvlJc w:val="left"/>
      <w:lvlText w:val="%2"/>
      <w:numFmt w:val="lowerLetter"/>
      <w:start w:val="1"/>
    </w:lvl>
  </w:abstractNum>
  <w:abstractNum w:abstractNumId="188">
    <w:nsid w:val="46BA8FCA"/>
    <w:multiLevelType w:val="hybridMultilevel"/>
    <w:lvl w:ilvl="0">
      <w:lvlJc w:val="left"/>
      <w:lvlText w:val="(%1)"/>
      <w:numFmt w:val="lowerLetter"/>
      <w:start w:val="6"/>
    </w:lvl>
  </w:abstractNum>
  <w:abstractNum w:abstractNumId="189">
    <w:nsid w:val="7835626C"/>
    <w:multiLevelType w:val="hybridMultilevel"/>
    <w:lvl w:ilvl="0">
      <w:lvlJc w:val="left"/>
      <w:lvlText w:val="(%1)"/>
      <w:numFmt w:val="lowerLetter"/>
      <w:start w:val="8"/>
    </w:lvl>
  </w:abstractNum>
  <w:abstractNum w:abstractNumId="190">
    <w:nsid w:val="665ACA49"/>
    <w:multiLevelType w:val="hybridMultilevel"/>
    <w:lvl w:ilvl="0">
      <w:lvlJc w:val="left"/>
      <w:lvlText w:val="%1"/>
      <w:numFmt w:val="lowerLetter"/>
      <w:start w:val="1"/>
    </w:lvl>
    <w:lvl w:ilvl="1">
      <w:lvlJc w:val="left"/>
      <w:lvlText w:val="(%2)"/>
      <w:numFmt w:val="lowerLetter"/>
      <w:start w:val="10"/>
    </w:lvl>
  </w:abstractNum>
  <w:abstractNum w:abstractNumId="191">
    <w:nsid w:val="6835B2AE"/>
    <w:multiLevelType w:val="hybridMultilevel"/>
    <w:lvl w:ilvl="0">
      <w:lvlJc w:val="left"/>
      <w:lvlText w:val="(%1)"/>
      <w:numFmt w:val="lowerLetter"/>
      <w:start w:val="61"/>
    </w:lvl>
    <w:lvl w:ilvl="1">
      <w:lvlJc w:val="left"/>
      <w:lvlText w:val="(%2)"/>
      <w:numFmt w:val="lowerLetter"/>
      <w:start w:val="13"/>
    </w:lvl>
  </w:abstractNum>
  <w:abstractNum w:abstractNumId="192">
    <w:nsid w:val="4C187C90"/>
    <w:multiLevelType w:val="hybridMultilevel"/>
    <w:lvl w:ilvl="0">
      <w:lvlJc w:val="left"/>
      <w:lvlText w:val="(%1)"/>
      <w:numFmt w:val="lowerLetter"/>
      <w:start w:val="14"/>
    </w:lvl>
    <w:lvl w:ilvl="1">
      <w:lvlJc w:val="left"/>
      <w:lvlText w:val="(%2)"/>
      <w:numFmt w:val="lowerRoman"/>
      <w:start w:val="1"/>
    </w:lvl>
    <w:lvl w:ilvl="2">
      <w:lvlJc w:val="left"/>
      <w:lvlText w:val="%3."/>
      <w:numFmt w:val="decimal"/>
      <w:start w:val="1"/>
    </w:lvl>
  </w:abstractNum>
  <w:abstractNum w:abstractNumId="193">
    <w:nsid w:val="541F28CD"/>
    <w:multiLevelType w:val="hybridMultilevel"/>
    <w:lvl w:ilvl="0">
      <w:lvlJc w:val="left"/>
      <w:lvlText w:val="(%1)"/>
      <w:numFmt w:val="lowerRoman"/>
      <w:start w:val="3"/>
    </w:lvl>
  </w:abstractNum>
  <w:abstractNum w:abstractNumId="194">
    <w:nsid w:val="7F65FD16"/>
    <w:multiLevelType w:val="hybridMultilevel"/>
    <w:lvl w:ilvl="0">
      <w:lvlJc w:val="left"/>
      <w:lvlText w:val="%1"/>
      <w:numFmt w:val="lowerLetter"/>
      <w:start w:val="1"/>
    </w:lvl>
    <w:lvl w:ilvl="1">
      <w:lvlJc w:val="left"/>
      <w:lvlText w:val="(%2)"/>
      <w:numFmt w:val="lowerRoman"/>
      <w:start w:val="6"/>
    </w:lvl>
  </w:abstractNum>
  <w:abstractNum w:abstractNumId="195">
    <w:nsid w:val="77C9FD68"/>
    <w:multiLevelType w:val="hybridMultilevel"/>
    <w:lvl w:ilvl="0">
      <w:lvlJc w:val="left"/>
      <w:lvlText w:val="(%1)"/>
      <w:numFmt w:val="lowerLetter"/>
      <w:start w:val="16"/>
    </w:lvl>
    <w:lvl w:ilvl="1">
      <w:lvlJc w:val="left"/>
      <w:lvlText w:val="%2"/>
      <w:numFmt w:val="lowerRoman"/>
      <w:start w:val="1"/>
    </w:lvl>
  </w:abstractNum>
  <w:abstractNum w:abstractNumId="196">
    <w:nsid w:val="298A92BA"/>
    <w:multiLevelType w:val="hybridMultilevel"/>
    <w:lvl w:ilvl="0">
      <w:lvlJc w:val="left"/>
      <w:lvlText w:val="(%1)"/>
      <w:numFmt w:val="lowerLetter"/>
      <w:start w:val="18"/>
    </w:lvl>
  </w:abstractNum>
  <w:abstractNum w:abstractNumId="197">
    <w:nsid w:val="6FE95EAC"/>
    <w:multiLevelType w:val="hybridMultilevel"/>
    <w:lvl w:ilvl="0">
      <w:lvlJc w:val="left"/>
      <w:lvlText w:val="(%1)"/>
      <w:numFmt w:val="lowerLetter"/>
      <w:start w:val="22"/>
    </w:lvl>
  </w:abstractNum>
  <w:abstractNum w:abstractNumId="198">
    <w:nsid w:val="4B697C7A"/>
    <w:multiLevelType w:val="hybridMultilevel"/>
    <w:lvl w:ilvl="0">
      <w:lvlJc w:val="left"/>
      <w:lvlText w:val="(%1)"/>
      <w:numFmt w:val="lowerLetter"/>
      <w:start w:val="26"/>
    </w:lvl>
  </w:abstractNum>
  <w:abstractNum w:abstractNumId="199">
    <w:nsid w:val="51A27AA6"/>
    <w:multiLevelType w:val="hybridMultilevel"/>
    <w:lvl w:ilvl="0">
      <w:lvlJc w:val="left"/>
      <w:lvlText w:val="(%1)"/>
      <w:numFmt w:val="lowerLetter"/>
      <w:start w:val="27"/>
    </w:lvl>
  </w:abstractNum>
  <w:abstractNum w:abstractNumId="200">
    <w:nsid w:val="613183F2"/>
    <w:multiLevelType w:val="hybridMultilevel"/>
    <w:lvl w:ilvl="0">
      <w:lvlJc w:val="left"/>
      <w:lvlText w:val="(%1)"/>
      <w:numFmt w:val="lowerLetter"/>
      <w:start w:val="29"/>
    </w:lvl>
  </w:abstractNum>
  <w:abstractNum w:abstractNumId="201">
    <w:nsid w:val="634102B4"/>
    <w:multiLevelType w:val="hybridMultilevel"/>
    <w:lvl w:ilvl="0">
      <w:lvlJc w:val="left"/>
      <w:lvlText w:val="(%1)"/>
      <w:numFmt w:val="lowerLetter"/>
      <w:start w:val="33"/>
    </w:lvl>
  </w:abstractNum>
  <w:abstractNum w:abstractNumId="202">
    <w:nsid w:val="65BF9DA8"/>
    <w:multiLevelType w:val="hybridMultilevel"/>
    <w:lvl w:ilvl="0">
      <w:lvlJc w:val="left"/>
      <w:lvlText w:val="(%1)"/>
      <w:numFmt w:val="lowerLetter"/>
      <w:start w:val="40"/>
    </w:lvl>
  </w:abstractNum>
  <w:abstractNum w:abstractNumId="203">
    <w:nsid w:val="21A2ECCA"/>
    <w:multiLevelType w:val="hybridMultilevel"/>
    <w:lvl w:ilvl="0">
      <w:lvlJc w:val="left"/>
      <w:lvlText w:val="(%1)"/>
      <w:numFmt w:val="lowerLetter"/>
      <w:start w:val="1"/>
    </w:lvl>
  </w:abstractNum>
  <w:abstractNum w:abstractNumId="204">
    <w:nsid w:val="4D5C4899"/>
    <w:multiLevelType w:val="hybridMultilevel"/>
    <w:lvl w:ilvl="0">
      <w:lvlJc w:val="left"/>
      <w:lvlText w:val="(%1)"/>
      <w:numFmt w:val="lowerLetter"/>
      <w:start w:val="2"/>
    </w:lvl>
  </w:abstractNum>
  <w:abstractNum w:abstractNumId="205">
    <w:nsid w:val="3C3B72B2"/>
    <w:multiLevelType w:val="hybridMultilevel"/>
    <w:lvl w:ilvl="0">
      <w:lvlJc w:val="left"/>
      <w:lvlText w:val="%1"/>
      <w:numFmt w:val="lowerLetter"/>
      <w:start w:val="1"/>
    </w:lvl>
    <w:lvl w:ilvl="1">
      <w:lvlJc w:val="left"/>
      <w:lvlText w:val="(%2)"/>
      <w:numFmt w:val="lowerLetter"/>
      <w:start w:val="5"/>
    </w:lvl>
  </w:abstractNum>
  <w:abstractNum w:abstractNumId="206">
    <w:nsid w:val="155EC4C2"/>
    <w:multiLevelType w:val="hybridMultilevel"/>
    <w:lvl w:ilvl="0">
      <w:lvlJc w:val="left"/>
      <w:lvlText w:val="(%1)"/>
      <w:numFmt w:val="lowerLetter"/>
      <w:start w:val="61"/>
    </w:lvl>
    <w:lvl w:ilvl="1">
      <w:lvlJc w:val="left"/>
      <w:lvlText w:val="%2"/>
      <w:numFmt w:val="lowerLetter"/>
      <w:start w:val="1"/>
    </w:lvl>
  </w:abstractNum>
  <w:abstractNum w:abstractNumId="207">
    <w:nsid w:val="65D2A137"/>
    <w:multiLevelType w:val="hybridMultilevel"/>
    <w:lvl w:ilvl="0">
      <w:lvlJc w:val="left"/>
      <w:lvlText w:val="(%1)"/>
      <w:numFmt w:val="lowerLetter"/>
      <w:start w:val="10"/>
    </w:lvl>
  </w:abstractNum>
  <w:abstractNum w:abstractNumId="208">
    <w:nsid w:val="6EBB1F2A"/>
    <w:multiLevelType w:val="hybridMultilevel"/>
    <w:lvl w:ilvl="0">
      <w:lvlJc w:val="left"/>
      <w:lvlText w:val="(%1)"/>
      <w:numFmt w:val="lowerLetter"/>
      <w:start w:val="2"/>
    </w:lvl>
  </w:abstractNum>
  <w:abstractNum w:abstractNumId="209">
    <w:nsid w:val="6FBF29CB"/>
    <w:multiLevelType w:val="hybridMultilevel"/>
    <w:lvl w:ilvl="0">
      <w:lvlJc w:val="left"/>
      <w:lvlText w:val="(%1)"/>
      <w:numFmt w:val="lowerLetter"/>
      <w:start w:val="3"/>
    </w:lvl>
  </w:abstractNum>
  <w:abstractNum w:abstractNumId="210">
    <w:nsid w:val="550B8808"/>
    <w:multiLevelType w:val="hybridMultilevel"/>
    <w:lvl w:ilvl="0">
      <w:lvlJc w:val="left"/>
      <w:lvlText w:val="(%1)"/>
      <w:numFmt w:val="lowerLetter"/>
      <w:start w:val="5"/>
    </w:lvl>
  </w:abstractNum>
  <w:abstractNum w:abstractNumId="211">
    <w:nsid w:val="34CC3ACF"/>
    <w:multiLevelType w:val="hybridMultilevel"/>
    <w:lvl w:ilvl="0">
      <w:lvlJc w:val="left"/>
      <w:lvlText w:val="(%1)"/>
      <w:numFmt w:val="lowerLetter"/>
      <w:start w:val="8"/>
    </w:lvl>
  </w:abstractNum>
  <w:abstractNum w:abstractNumId="212">
    <w:nsid w:val="4E556261"/>
    <w:multiLevelType w:val="hybridMultilevel"/>
    <w:lvl w:ilvl="0">
      <w:lvlJc w:val="left"/>
      <w:lvlText w:val="(%1)"/>
      <w:numFmt w:val="lowerLetter"/>
      <w:start w:val="1"/>
    </w:lvl>
  </w:abstractNum>
  <w:abstractNum w:abstractNumId="213">
    <w:nsid w:val="4C672FC9"/>
    <w:multiLevelType w:val="hybridMultilevel"/>
    <w:lvl w:ilvl="0">
      <w:lvlJc w:val="left"/>
      <w:lvlText w:val="(%1)"/>
      <w:numFmt w:val="lowerLetter"/>
      <w:start w:val="2"/>
    </w:lvl>
  </w:abstractNum>
  <w:abstractNum w:abstractNumId="214">
    <w:nsid w:val="52A311C3"/>
    <w:multiLevelType w:val="hybridMultilevel"/>
    <w:lvl w:ilvl="0">
      <w:lvlJc w:val="left"/>
      <w:lvlText w:val="(%1)"/>
      <w:numFmt w:val="lowerLetter"/>
      <w:start w:val="1"/>
    </w:lvl>
  </w:abstractNum>
  <w:abstractNum w:abstractNumId="215">
    <w:nsid w:val="44EF6B80"/>
    <w:multiLevelType w:val="hybridMultilevel"/>
    <w:lvl w:ilvl="0">
      <w:lvlJc w:val="left"/>
      <w:lvlText w:val="(%1)"/>
      <w:numFmt w:val="lowerLetter"/>
      <w:start w:val="2"/>
    </w:lvl>
  </w:abstractNum>
  <w:abstractNum w:abstractNumId="216">
    <w:nsid w:val="12FCDE5E"/>
    <w:multiLevelType w:val="hybridMultilevel"/>
    <w:lvl w:ilvl="0">
      <w:lvlJc w:val="left"/>
      <w:lvlText w:val="(%1)"/>
      <w:numFmt w:val="lowerLetter"/>
      <w:start w:val="1"/>
    </w:lvl>
  </w:abstractNum>
  <w:abstractNum w:abstractNumId="217">
    <w:nsid w:val="4A1D606E"/>
    <w:multiLevelType w:val="hybridMultilevel"/>
    <w:lvl w:ilvl="0">
      <w:lvlJc w:val="left"/>
      <w:lvlText w:val="(%1)"/>
      <w:numFmt w:val="lowerLetter"/>
      <w:start w:val="4"/>
    </w:lvl>
  </w:abstractNum>
  <w:abstractNum w:abstractNumId="218">
    <w:nsid w:val="4382503"/>
    <w:multiLevelType w:val="hybridMultilevel"/>
    <w:lvl w:ilvl="0">
      <w:lvlJc w:val="left"/>
      <w:lvlText w:val="(%1)"/>
      <w:numFmt w:val="lowerLetter"/>
      <w:start w:val="5"/>
    </w:lvl>
  </w:abstractNum>
  <w:abstractNum w:abstractNumId="219">
    <w:nsid w:val="59B76E28"/>
    <w:multiLevelType w:val="hybridMultilevel"/>
    <w:lvl w:ilvl="0">
      <w:lvlJc w:val="left"/>
      <w:lvlText w:val="%1."/>
      <w:numFmt w:val="decimal"/>
      <w:start w:val="1"/>
    </w:lvl>
  </w:abstractNum>
  <w:abstractNum w:abstractNumId="220">
    <w:nsid w:val="4252C2DA"/>
    <w:multiLevelType w:val="hybridMultilevel"/>
    <w:lvl w:ilvl="0">
      <w:lvlJc w:val="left"/>
      <w:lvlText w:val="%1."/>
      <w:numFmt w:val="decimal"/>
      <w:start w:val="2"/>
    </w:lvl>
  </w:abstractNum>
  <w:abstractNum w:abstractNumId="221">
    <w:nsid w:val="6A92EF4C"/>
    <w:multiLevelType w:val="hybridMultilevel"/>
    <w:lvl w:ilvl="0">
      <w:lvlJc w:val="left"/>
      <w:lvlText w:val="%1."/>
      <w:numFmt w:val="decimal"/>
      <w:start w:val="5"/>
    </w:lvl>
  </w:abstractNum>
  <w:abstractNum w:abstractNumId="222">
    <w:nsid w:val="41ED20D7"/>
    <w:multiLevelType w:val="hybridMultilevel"/>
    <w:lvl w:ilvl="0">
      <w:lvlJc w:val="left"/>
      <w:lvlText w:val="%1."/>
      <w:numFmt w:val="decimal"/>
      <w:start w:val="6"/>
    </w:lvl>
  </w:abstractNum>
  <w:abstractNum w:abstractNumId="223">
    <w:nsid w:val="E6B3F6A"/>
    <w:multiLevelType w:val="hybridMultilevel"/>
    <w:lvl w:ilvl="0">
      <w:lvlJc w:val="left"/>
      <w:lvlText w:val="%1."/>
      <w:numFmt w:val="decimal"/>
      <w:start w:val="7"/>
    </w:lvl>
  </w:abstractNum>
  <w:abstractNum w:abstractNumId="224">
    <w:nsid w:val="3EB21819"/>
    <w:multiLevelType w:val="hybridMultilevel"/>
    <w:lvl w:ilvl="0">
      <w:lvlJc w:val="left"/>
      <w:lvlText w:val="(%1)"/>
      <w:numFmt w:val="lowerLetter"/>
      <w:start w:val="1"/>
    </w:lvl>
  </w:abstractNum>
  <w:abstractNum w:abstractNumId="225">
    <w:nsid w:val="41531DED"/>
    <w:multiLevelType w:val="hybridMultilevel"/>
    <w:lvl w:ilvl="0">
      <w:lvlJc w:val="left"/>
      <w:lvlText w:val="**"/>
      <w:numFmt w:val="bullet"/>
      <w:start w:val="1"/>
    </w:lvl>
  </w:abstractNum>
  <w:abstractNum w:abstractNumId="226">
    <w:nsid w:val="6353CD2"/>
    <w:multiLevelType w:val="hybridMultilevel"/>
    <w:lvl w:ilvl="0">
      <w:lvlJc w:val="left"/>
      <w:lvlText w:val="☐"/>
      <w:numFmt w:val="bullet"/>
      <w:start w:val="1"/>
    </w:lvl>
  </w:abstractNum>
  <w:abstractNum w:abstractNumId="227">
    <w:nsid w:val="683CAAD3"/>
    <w:multiLevelType w:val="hybridMultilevel"/>
    <w:lvl w:ilvl="0">
      <w:lvlJc w:val="left"/>
      <w:lvlText w:val="☐"/>
      <w:numFmt w:val="bullet"/>
      <w:start w:val="1"/>
    </w:lvl>
  </w:abstractNum>
  <w:abstractNum w:abstractNumId="228">
    <w:nsid w:val="313C7C99"/>
    <w:multiLevelType w:val="hybridMultilevel"/>
    <w:lvl w:ilvl="0">
      <w:lvlJc w:val="left"/>
      <w:lvlText w:val="%1."/>
      <w:numFmt w:val="decimal"/>
      <w:start w:val="10"/>
    </w:lvl>
  </w:abstractNum>
  <w:abstractNum w:abstractNumId="229">
    <w:nsid w:val="519EB94C"/>
    <w:multiLevelType w:val="hybridMultilevel"/>
    <w:lvl w:ilvl="0">
      <w:lvlJc w:val="left"/>
      <w:lvlText w:val="%1."/>
      <w:numFmt w:val="decimal"/>
      <w:start w:val="11"/>
    </w:lvl>
  </w:abstractNum>
  <w:abstractNum w:abstractNumId="230">
    <w:nsid w:val="39DF2579"/>
    <w:multiLevelType w:val="hybridMultilevel"/>
    <w:lvl w:ilvl="0">
      <w:lvlJc w:val="left"/>
      <w:lvlText w:val="%1."/>
      <w:numFmt w:val="decimal"/>
      <w:start w:val="12"/>
    </w:lvl>
  </w:abstractNum>
  <w:abstractNum w:abstractNumId="231">
    <w:nsid w:val="126E008B"/>
    <w:multiLevelType w:val="hybridMultilevel"/>
    <w:lvl w:ilvl="0">
      <w:lvlJc w:val="left"/>
      <w:lvlText w:val="%1."/>
      <w:numFmt w:val="decimal"/>
      <w:start w:val="13"/>
    </w:lvl>
  </w:abstractNum>
  <w:abstractNum w:abstractNumId="232">
    <w:nsid w:val="34DFBC00"/>
    <w:multiLevelType w:val="hybridMultilevel"/>
    <w:lvl w:ilvl="0">
      <w:lvlJc w:val="left"/>
      <w:lvlText w:val="%1."/>
      <w:numFmt w:val="decimal"/>
      <w:start w:val="14"/>
    </w:lvl>
  </w:abstractNum>
  <w:abstractNum w:abstractNumId="233">
    <w:nsid w:val="1F9EC322"/>
    <w:multiLevelType w:val="hybridMultilevel"/>
    <w:lvl w:ilvl="0">
      <w:lvlJc w:val="left"/>
      <w:lvlText w:val="%1."/>
      <w:numFmt w:val="decimal"/>
      <w:start w:val="15"/>
    </w:lvl>
  </w:abstractNum>
  <w:abstractNum w:abstractNumId="234">
    <w:nsid w:val="3410ED56"/>
    <w:multiLevelType w:val="hybridMultilevel"/>
    <w:lvl w:ilvl="0">
      <w:lvlJc w:val="left"/>
      <w:lvlText w:val="%1."/>
      <w:numFmt w:val="decimal"/>
      <w:start w:val="16"/>
    </w:lvl>
  </w:abstractNum>
  <w:abstractNum w:abstractNumId="235">
    <w:nsid w:val="23C049A"/>
    <w:multiLevelType w:val="hybridMultilevel"/>
    <w:lvl w:ilvl="0">
      <w:lvlJc w:val="left"/>
      <w:lvlText w:val="%1."/>
      <w:numFmt w:val="decimal"/>
      <w:start w:val="17"/>
    </w:lvl>
  </w:abstractNum>
  <w:abstractNum w:abstractNumId="236">
    <w:nsid w:val="5BDA35D4"/>
    <w:multiLevelType w:val="hybridMultilevel"/>
    <w:lvl w:ilvl="0">
      <w:lvlJc w:val="left"/>
      <w:lvlText w:val="%1."/>
      <w:numFmt w:val="decimal"/>
      <w:start w:val="1"/>
    </w:lvl>
  </w:abstractNum>
  <w:abstractNum w:abstractNumId="237">
    <w:nsid w:val="496FB218"/>
    <w:multiLevelType w:val="hybridMultilevel"/>
    <w:lvl w:ilvl="0">
      <w:lvlJc w:val="left"/>
      <w:lvlText w:val="1"/>
      <w:numFmt w:val="bullet"/>
      <w:start w:val="1"/>
    </w:lvl>
  </w:abstractNum>
  <w:abstractNum w:abstractNumId="238">
    <w:nsid w:val="680EA5D1"/>
    <w:multiLevelType w:val="hybridMultilevel"/>
    <w:lvl w:ilvl="0">
      <w:lvlJc w:val="left"/>
      <w:lvlText w:val="%1."/>
      <w:numFmt w:val="upperLetter"/>
      <w:start w:val="1"/>
    </w:lvl>
  </w:abstractNum>
  <w:abstractNum w:abstractNumId="239">
    <w:nsid w:val="4A9554FE"/>
    <w:multiLevelType w:val="hybridMultilevel"/>
    <w:lvl w:ilvl="0">
      <w:lvlJc w:val="left"/>
      <w:lvlText w:val="%1."/>
      <w:numFmt w:val="decimal"/>
      <w:start w:val="1"/>
    </w:lvl>
  </w:abstractNum>
  <w:abstractNum w:abstractNumId="240">
    <w:nsid w:val="392EDBE4"/>
    <w:multiLevelType w:val="hybridMultilevel"/>
    <w:lvl w:ilvl="0">
      <w:lvlJc w:val="left"/>
      <w:lvlText w:val="(%1)"/>
      <w:numFmt w:val="lowerLetter"/>
      <w:start w:val="1"/>
    </w:lvl>
  </w:abstractNum>
  <w:abstractNum w:abstractNumId="241">
    <w:nsid w:val="3D1A2DD9"/>
    <w:multiLevelType w:val="hybridMultilevel"/>
    <w:lvl w:ilvl="0">
      <w:lvlJc w:val="left"/>
      <w:lvlText w:val="(%1)"/>
      <w:numFmt w:val="lowerLetter"/>
      <w:start w:val="3"/>
    </w:lvl>
  </w:abstractNum>
  <w:abstractNum w:abstractNumId="242">
    <w:nsid w:val="7F618FCD"/>
    <w:multiLevelType w:val="hybridMultilevel"/>
    <w:lvl w:ilvl="0">
      <w:lvlJc w:val="left"/>
      <w:lvlText w:val="(%1)"/>
      <w:numFmt w:val="lowerLetter"/>
      <w:start w:val="4"/>
    </w:lvl>
  </w:abstractNum>
  <w:abstractNum w:abstractNumId="243">
    <w:nsid w:val="7843E45"/>
    <w:multiLevelType w:val="hybridMultilevel"/>
    <w:lvl w:ilvl="0">
      <w:lvlJc w:val="left"/>
      <w:lvlText w:val="(%1)"/>
      <w:numFmt w:val="lowerLetter"/>
      <w:start w:val="15"/>
    </w:lvl>
  </w:abstractNum>
  <w:abstractNum w:abstractNumId="244">
    <w:nsid w:val="9815DA3"/>
    <w:multiLevelType w:val="hybridMultilevel"/>
    <w:lvl w:ilvl="0">
      <w:lvlJc w:val="left"/>
      <w:lvlText w:val="(%1)"/>
      <w:numFmt w:val="lowerLetter"/>
      <w:start w:val="17"/>
    </w:lvl>
  </w:abstractNum>
  <w:abstractNum w:abstractNumId="245">
    <w:nsid w:val="5204A191"/>
    <w:multiLevelType w:val="hybridMultilevel"/>
    <w:lvl w:ilvl="0">
      <w:lvlJc w:val="left"/>
      <w:lvlText w:val="(%1)"/>
      <w:numFmt w:val="lowerLetter"/>
      <w:start w:val="26"/>
    </w:lvl>
  </w:abstractNum>
  <w:abstractNum w:abstractNumId="246">
    <w:nsid w:val="4C73A9C6"/>
    <w:multiLevelType w:val="hybridMultilevel"/>
    <w:lvl w:ilvl="0">
      <w:lvlJc w:val="left"/>
      <w:lvlText w:val="%1"/>
      <w:numFmt w:val="decimal"/>
      <w:start w:val="1"/>
    </w:lvl>
    <w:lvl w:ilvl="1">
      <w:lvlJc w:val="left"/>
      <w:lvlText w:val="(%2)"/>
      <w:numFmt w:val="lowerLetter"/>
      <w:start w:val="28"/>
    </w:lvl>
  </w:abstractNum>
  <w:abstractNum w:abstractNumId="247">
    <w:nsid w:val="1C7E3C01"/>
    <w:multiLevelType w:val="hybridMultilevel"/>
    <w:lvl w:ilvl="0">
      <w:lvlJc w:val="left"/>
      <w:lvlText w:val="%1."/>
      <w:numFmt w:val="decimal"/>
      <w:start w:val="2"/>
    </w:lvl>
    <w:lvl w:ilvl="1">
      <w:lvlJc w:val="left"/>
      <w:lvlText w:val="(%2)"/>
      <w:numFmt w:val="lowerLetter"/>
      <w:start w:val="1"/>
    </w:lvl>
  </w:abstractNum>
  <w:abstractNum w:abstractNumId="248">
    <w:nsid w:val="1C2201FF"/>
    <w:multiLevelType w:val="hybridMultilevel"/>
    <w:lvl w:ilvl="0">
      <w:lvlJc w:val="left"/>
      <w:lvlText w:val="(%1)"/>
      <w:numFmt w:val="lowerLetter"/>
      <w:start w:val="2"/>
    </w:lvl>
  </w:abstractNum>
  <w:abstractNum w:abstractNumId="249">
    <w:nsid w:val="50ABCEC9"/>
    <w:multiLevelType w:val="hybridMultilevel"/>
    <w:lvl w:ilvl="0">
      <w:lvlJc w:val="left"/>
      <w:lvlText w:val="(%1)"/>
      <w:numFmt w:val="lowerLetter"/>
      <w:start w:val="6"/>
    </w:lvl>
  </w:abstractNum>
  <w:abstractNum w:abstractNumId="250">
    <w:nsid w:val="7635AA2A"/>
    <w:multiLevelType w:val="hybridMultilevel"/>
    <w:lvl w:ilvl="0">
      <w:lvlJc w:val="left"/>
      <w:lvlText w:val="%1"/>
      <w:numFmt w:val="decimal"/>
      <w:start w:val="1"/>
    </w:lvl>
    <w:lvl w:ilvl="1">
      <w:lvlJc w:val="left"/>
      <w:lvlText w:val="(%2)"/>
      <w:numFmt w:val="lowerLetter"/>
      <w:start w:val="8"/>
    </w:lvl>
  </w:abstractNum>
  <w:abstractNum w:abstractNumId="251">
    <w:nsid w:val="5E74C4D9"/>
    <w:multiLevelType w:val="hybridMultilevel"/>
    <w:lvl w:ilvl="0">
      <w:lvlJc w:val="left"/>
      <w:lvlText w:val="%1."/>
      <w:numFmt w:val="decimal"/>
      <w:start w:val="3"/>
    </w:lvl>
    <w:lvl w:ilvl="1">
      <w:lvlJc w:val="left"/>
      <w:lvlText w:val="%2"/>
      <w:numFmt w:val="lowerLetter"/>
      <w:start w:val="1"/>
    </w:lvl>
  </w:abstractNum>
  <w:abstractNum w:abstractNumId="252">
    <w:nsid w:val="3B3EBE15"/>
    <w:multiLevelType w:val="hybridMultilevel"/>
    <w:lvl w:ilvl="0">
      <w:lvlJc w:val="left"/>
      <w:lvlText w:val="(%1)"/>
      <w:numFmt w:val="lowerLetter"/>
      <w:start w:val="1"/>
    </w:lvl>
  </w:abstractNum>
  <w:abstractNum w:abstractNumId="253">
    <w:nsid w:val="3822CB01"/>
    <w:multiLevelType w:val="hybridMultilevel"/>
    <w:lvl w:ilvl="0">
      <w:lvlJc w:val="left"/>
      <w:lvlText w:val="(%1)"/>
      <w:numFmt w:val="lowerLetter"/>
      <w:start w:val="2"/>
    </w:lvl>
  </w:abstractNum>
  <w:abstractNum w:abstractNumId="254">
    <w:nsid w:val="6CE00443"/>
    <w:multiLevelType w:val="hybridMultilevel"/>
    <w:lvl w:ilvl="0">
      <w:lvlJc w:val="left"/>
      <w:lvlText w:val="(%1)"/>
      <w:numFmt w:val="lowerLetter"/>
      <w:start w:val="5"/>
    </w:lvl>
  </w:abstractNum>
  <w:abstractNum w:abstractNumId="255">
    <w:nsid w:val="79F0D62F"/>
    <w:multiLevelType w:val="hybridMultilevel"/>
    <w:lvl w:ilvl="0">
      <w:lvlJc w:val="left"/>
      <w:lvlText w:val="(%1)"/>
      <w:numFmt w:val="lowerLetter"/>
      <w:start w:val="9"/>
    </w:lvl>
  </w:abstractNum>
  <w:abstractNum w:abstractNumId="256">
    <w:nsid w:val="7975E8EE"/>
    <w:multiLevelType w:val="hybridMultilevel"/>
    <w:lvl w:ilvl="0">
      <w:lvlJc w:val="left"/>
      <w:lvlText w:val="(%1)"/>
      <w:numFmt w:val="lowerLetter"/>
      <w:start w:val="12"/>
    </w:lvl>
  </w:abstractNum>
  <w:abstractNum w:abstractNumId="257">
    <w:nsid w:val="73154115"/>
    <w:multiLevelType w:val="hybridMultilevel"/>
    <w:lvl w:ilvl="0">
      <w:lvlJc w:val="left"/>
      <w:lvlText w:val="%1"/>
      <w:numFmt w:val="decimal"/>
      <w:start w:val="1"/>
    </w:lvl>
    <w:lvl w:ilvl="1">
      <w:lvlJc w:val="left"/>
      <w:lvlText w:val="(%2)"/>
      <w:numFmt w:val="lowerLetter"/>
      <w:start w:val="19"/>
    </w:lvl>
  </w:abstractNum>
  <w:abstractNum w:abstractNumId="258">
    <w:nsid w:val="622D8102"/>
    <w:multiLevelType w:val="hybridMultilevel"/>
    <w:lvl w:ilvl="0">
      <w:lvlJc w:val="left"/>
      <w:lvlText w:val="%1."/>
      <w:numFmt w:val="decimal"/>
      <w:start w:val="4"/>
    </w:lvl>
    <w:lvl w:ilvl="1">
      <w:lvlJc w:val="left"/>
      <w:lvlText w:val="(%2)"/>
      <w:numFmt w:val="lowerLetter"/>
      <w:start w:val="1"/>
    </w:lvl>
  </w:abstractNum>
  <w:abstractNum w:abstractNumId="259">
    <w:nsid w:val="2AB26587"/>
    <w:multiLevelType w:val="hybridMultilevel"/>
    <w:lvl w:ilvl="0">
      <w:lvlJc w:val="left"/>
      <w:lvlText w:val="%1"/>
      <w:numFmt w:val="decimal"/>
      <w:start w:val="1"/>
    </w:lvl>
    <w:lvl w:ilvl="1">
      <w:lvlJc w:val="left"/>
      <w:lvlText w:val="(%2)"/>
      <w:numFmt w:val="lowerLetter"/>
      <w:start w:val="3"/>
    </w:lvl>
  </w:abstractNum>
  <w:abstractNum w:abstractNumId="260">
    <w:nsid w:val="44B3FA61"/>
    <w:multiLevelType w:val="hybridMultilevel"/>
    <w:lvl w:ilvl="0">
      <w:lvlJc w:val="left"/>
      <w:lvlText w:val="%1."/>
      <w:numFmt w:val="decimal"/>
      <w:start w:val="5"/>
    </w:lvl>
    <w:lvl w:ilvl="1">
      <w:lvlJc w:val="left"/>
      <w:lvlText w:val="%2"/>
      <w:numFmt w:val="lowerLetter"/>
      <w:start w:val="1"/>
    </w:lvl>
  </w:abstractNum>
  <w:abstractNum w:abstractNumId="261">
    <w:nsid w:val="1C0CA67C"/>
    <w:multiLevelType w:val="hybridMultilevel"/>
    <w:lvl w:ilvl="0">
      <w:lvlJc w:val="left"/>
      <w:lvlText w:val="%1."/>
      <w:numFmt w:val="decimal"/>
      <w:start w:val="6"/>
    </w:lvl>
  </w:abstractNum>
  <w:abstractNum w:abstractNumId="262">
    <w:nsid w:val="3D206613"/>
    <w:multiLevelType w:val="hybridMultilevel"/>
    <w:lvl w:ilvl="0">
      <w:lvlJc w:val="left"/>
      <w:lvlText w:val="(%1)"/>
      <w:numFmt w:val="lowerLetter"/>
      <w:start w:val="1"/>
    </w:lvl>
  </w:abstractNum>
  <w:abstractNum w:abstractNumId="263">
    <w:nsid w:val="7993B662"/>
    <w:multiLevelType w:val="hybridMultilevel"/>
    <w:lvl w:ilvl="0">
      <w:lvlJc w:val="left"/>
      <w:lvlText w:val="(%1)"/>
      <w:numFmt w:val="lowerLetter"/>
      <w:start w:val="2"/>
    </w:lvl>
  </w:abstractNum>
  <w:abstractNum w:abstractNumId="264">
    <w:nsid w:val="3BAB699E"/>
    <w:multiLevelType w:val="hybridMultilevel"/>
    <w:lvl w:ilvl="0">
      <w:lvlJc w:val="left"/>
      <w:lvlText w:val="%1"/>
      <w:numFmt w:val="decimal"/>
      <w:start w:val="1"/>
    </w:lvl>
    <w:lvl w:ilvl="1">
      <w:lvlJc w:val="left"/>
      <w:lvlText w:val="(%2)"/>
      <w:numFmt w:val="lowerLetter"/>
      <w:start w:val="4"/>
    </w:lvl>
  </w:abstractNum>
  <w:abstractNum w:abstractNumId="265">
    <w:nsid w:val="71315369"/>
    <w:multiLevelType w:val="hybridMultilevel"/>
    <w:lvl w:ilvl="0">
      <w:lvlJc w:val="left"/>
      <w:lvlText w:val="%1."/>
      <w:numFmt w:val="decimal"/>
      <w:start w:val="7"/>
    </w:lvl>
    <w:lvl w:ilvl="1">
      <w:lvlJc w:val="left"/>
      <w:lvlText w:val="%2"/>
      <w:numFmt w:val="lowerLetter"/>
      <w:start w:val="1"/>
    </w:lvl>
  </w:abstractNum>
  <w:abstractNum w:abstractNumId="266">
    <w:nsid w:val="7BCFBAFC"/>
    <w:multiLevelType w:val="hybridMultilevel"/>
    <w:lvl w:ilvl="0">
      <w:lvlJc w:val="left"/>
      <w:lvlText w:val="%1."/>
      <w:numFmt w:val="decimal"/>
      <w:start w:val="8"/>
    </w:lvl>
  </w:abstractNum>
  <w:abstractNum w:abstractNumId="267">
    <w:nsid w:val="17859F72"/>
    <w:multiLevelType w:val="hybridMultilevel"/>
    <w:lvl w:ilvl="0">
      <w:lvlJc w:val="left"/>
      <w:lvlText w:val="(%1)"/>
      <w:numFmt w:val="lowerLetter"/>
      <w:start w:val="1"/>
    </w:lvl>
  </w:abstractNum>
  <w:abstractNum w:abstractNumId="268">
    <w:nsid w:val="3AA10581"/>
    <w:multiLevelType w:val="hybridMultilevel"/>
    <w:lvl w:ilvl="0">
      <w:lvlJc w:val="left"/>
      <w:lvlText w:val="(%1)"/>
      <w:numFmt w:val="lowerLetter"/>
      <w:start w:val="2"/>
    </w:lvl>
  </w:abstractNum>
  <w:abstractNum w:abstractNumId="269">
    <w:nsid w:val="63DE60CD"/>
    <w:multiLevelType w:val="hybridMultilevel"/>
    <w:lvl w:ilvl="0">
      <w:lvlJc w:val="left"/>
      <w:lvlText w:val="%1."/>
      <w:numFmt w:val="decimal"/>
      <w:start w:val="9"/>
    </w:lvl>
  </w:abstractNum>
  <w:abstractNum w:abstractNumId="270">
    <w:nsid w:val="621AF471"/>
    <w:multiLevelType w:val="hybridMultilevel"/>
    <w:lvl w:ilvl="0">
      <w:lvlJc w:val="left"/>
      <w:lvlText w:val="%1."/>
      <w:numFmt w:val="decimal"/>
      <w:start w:val="10"/>
    </w:lvl>
  </w:abstractNum>
  <w:abstractNum w:abstractNumId="271">
    <w:nsid w:val="73CFE165"/>
    <w:multiLevelType w:val="hybridMultilevel"/>
    <w:lvl w:ilvl="0">
      <w:lvlJc w:val="left"/>
      <w:lvlText w:val="%1."/>
      <w:numFmt w:val="decimal"/>
      <w:start w:val="11"/>
    </w:lvl>
    <w:lvl w:ilvl="1">
      <w:lvlJc w:val="left"/>
      <w:lvlText w:val="(%2)"/>
      <w:numFmt w:val="lowerLetter"/>
      <w:start w:val="1"/>
    </w:lvl>
  </w:abstractNum>
  <w:abstractNum w:abstractNumId="272">
    <w:nsid w:val="20F88EA6"/>
    <w:multiLevelType w:val="hybridMultilevel"/>
    <w:lvl w:ilvl="0">
      <w:lvlJc w:val="left"/>
      <w:lvlText w:val="(%1)"/>
      <w:numFmt w:val="lowerLetter"/>
      <w:start w:val="2"/>
    </w:lvl>
  </w:abstractNum>
  <w:abstractNum w:abstractNumId="273">
    <w:nsid w:val="617C843E"/>
    <w:multiLevelType w:val="hybridMultilevel"/>
    <w:lvl w:ilvl="0">
      <w:lvlJc w:val="left"/>
      <w:lvlText w:val="(%1)"/>
      <w:numFmt w:val="lowerLetter"/>
      <w:start w:val="3"/>
    </w:lvl>
  </w:abstractNum>
  <w:abstractNum w:abstractNumId="274">
    <w:nsid w:val="7B541FAB"/>
    <w:multiLevelType w:val="hybridMultilevel"/>
    <w:lvl w:ilvl="0">
      <w:lvlJc w:val="left"/>
      <w:lvlText w:val="(%1)"/>
      <w:numFmt w:val="lowerLetter"/>
      <w:start w:val="7"/>
    </w:lvl>
    <w:lvl w:ilvl="1">
      <w:lvlJc w:val="left"/>
      <w:lvlText w:val="*"/>
      <w:numFmt w:val="bullet"/>
      <w:start w:val="1"/>
    </w:lvl>
  </w:abstractNum>
  <w:abstractNum w:abstractNumId="275">
    <w:nsid w:val="2A79EC49"/>
    <w:multiLevelType w:val="hybridMultilevel"/>
    <w:lvl w:ilvl="0">
      <w:lvlJc w:val="left"/>
      <w:lvlText w:val="·"/>
      <w:numFmt w:val="bullet"/>
      <w:start w:val="1"/>
    </w:lvl>
  </w:abstractNum>
  <w:abstractNum w:abstractNumId="276">
    <w:nsid w:val="338125CF"/>
    <w:multiLevelType w:val="hybridMultilevel"/>
    <w:lvl w:ilvl="0">
      <w:lvlJc w:val="left"/>
      <w:lvlText w:val="%1."/>
      <w:numFmt w:val="decimal"/>
      <w:start w:val="1"/>
    </w:lvl>
  </w:abstractNum>
  <w:abstractNum w:abstractNumId="277">
    <w:nsid w:val="47C7C971"/>
    <w:multiLevelType w:val="hybridMultilevel"/>
    <w:lvl w:ilvl="0">
      <w:lvlJc w:val="left"/>
      <w:lvlText w:val="(%1)"/>
      <w:numFmt w:val="lowerLetter"/>
      <w:start w:val="1"/>
    </w:lvl>
    <w:lvl w:ilvl="1">
      <w:lvlJc w:val="left"/>
      <w:lvlText w:val="(%2)"/>
      <w:numFmt w:val="lowerRoman"/>
      <w:start w:val="1"/>
    </w:lvl>
  </w:abstractNum>
  <w:abstractNum w:abstractNumId="278">
    <w:nsid w:val="46F8284B"/>
    <w:multiLevelType w:val="hybridMultilevel"/>
    <w:lvl w:ilvl="0">
      <w:lvlJc w:val="left"/>
      <w:lvlText w:val="(%1)"/>
      <w:numFmt w:val="lowerRoman"/>
      <w:start w:val="9"/>
    </w:lvl>
  </w:abstractNum>
  <w:abstractNum w:abstractNumId="279">
    <w:nsid w:val="4FA327CE"/>
    <w:multiLevelType w:val="hybridMultilevel"/>
    <w:lvl w:ilvl="0">
      <w:lvlJc w:val="left"/>
      <w:lvlText w:val="(%1)"/>
      <w:numFmt w:val="lowerLetter"/>
      <w:start w:val="2"/>
    </w:lvl>
    <w:lvl w:ilvl="1">
      <w:lvlJc w:val="left"/>
      <w:lvlText w:val="(%2)"/>
      <w:numFmt w:val="lowerLetter"/>
      <w:start w:val="9"/>
    </w:lvl>
  </w:abstractNum>
  <w:abstractNum w:abstractNumId="280">
    <w:nsid w:val="1873983A"/>
    <w:multiLevelType w:val="hybridMultilevel"/>
    <w:lvl w:ilvl="0">
      <w:lvlJc w:val="left"/>
      <w:lvlText w:val="(%1)"/>
      <w:numFmt w:val="lowerRoman"/>
      <w:start w:val="2"/>
    </w:lvl>
  </w:abstractNum>
  <w:abstractNum w:abstractNumId="281">
    <w:nsid w:val="3D2DD275"/>
    <w:multiLevelType w:val="hybridMultilevel"/>
    <w:lvl w:ilvl="0">
      <w:lvlJc w:val="left"/>
      <w:lvlText w:val="(%1)"/>
      <w:numFmt w:val="lowerLetter"/>
      <w:start w:val="3"/>
    </w:lvl>
  </w:abstractNum>
  <w:abstractNum w:abstractNumId="282">
    <w:nsid w:val="2E17ECA7"/>
    <w:multiLevelType w:val="hybridMultilevel"/>
    <w:lvl w:ilvl="0">
      <w:lvlJc w:val="left"/>
      <w:lvlText w:val="%1"/>
      <w:numFmt w:val="decimal"/>
      <w:start w:val="1"/>
    </w:lvl>
    <w:lvl w:ilvl="1">
      <w:lvlJc w:val="left"/>
      <w:lvlText w:val="(%2)"/>
      <w:numFmt w:val="lowerLetter"/>
      <w:start w:val="8"/>
    </w:lvl>
  </w:abstractNum>
  <w:abstractNum w:abstractNumId="283">
    <w:nsid w:val="53B2564F"/>
    <w:multiLevelType w:val="hybridMultilevel"/>
    <w:lvl w:ilvl="0">
      <w:lvlJc w:val="left"/>
      <w:lvlText w:val="%1."/>
      <w:numFmt w:val="decimal"/>
      <w:start w:val="2"/>
    </w:lvl>
    <w:lvl w:ilvl="1">
      <w:lvlJc w:val="left"/>
      <w:lvlText w:val="%2"/>
      <w:numFmt w:val="lowerLetter"/>
      <w:start w:val="1"/>
    </w:lvl>
  </w:abstractNum>
  <w:abstractNum w:abstractNumId="284">
    <w:nsid w:val="75509D76"/>
    <w:multiLevelType w:val="hybridMultilevel"/>
    <w:lvl w:ilvl="0">
      <w:lvlJc w:val="left"/>
      <w:lvlText w:val="%1."/>
      <w:numFmt w:val="decimal"/>
      <w:start w:val="3"/>
    </w:lvl>
    <w:lvl w:ilvl="1">
      <w:lvlJc w:val="left"/>
      <w:lvlText w:val="(%2)"/>
      <w:numFmt w:val="lowerLetter"/>
      <w:start w:val="1"/>
    </w:lvl>
  </w:abstractNum>
  <w:abstractNum w:abstractNumId="285">
    <w:nsid w:val="1AF7F0EA"/>
    <w:multiLevelType w:val="hybridMultilevel"/>
    <w:lvl w:ilvl="0">
      <w:lvlJc w:val="left"/>
      <w:lvlText w:val="(%1)"/>
      <w:numFmt w:val="lowerLetter"/>
      <w:start w:val="3"/>
    </w:lvl>
  </w:abstractNum>
  <w:abstractNum w:abstractNumId="286">
    <w:nsid w:val="4DA32C7E"/>
    <w:multiLevelType w:val="hybridMultilevel"/>
    <w:lvl w:ilvl="0">
      <w:lvlJc w:val="left"/>
      <w:lvlText w:val="(%1)"/>
      <w:numFmt w:val="lowerLetter"/>
      <w:start w:val="7"/>
    </w:lvl>
  </w:abstractNum>
  <w:abstractNum w:abstractNumId="287">
    <w:nsid w:val="6EC68664"/>
    <w:multiLevelType w:val="hybridMultilevel"/>
    <w:lvl w:ilvl="0">
      <w:lvlJc w:val="left"/>
      <w:lvlText w:val="(%1)"/>
      <w:numFmt w:val="lowerLetter"/>
      <w:start w:val="12"/>
    </w:lvl>
  </w:abstractNum>
  <w:abstractNum w:abstractNumId="288">
    <w:nsid w:val="E0D31FF"/>
    <w:multiLevelType w:val="hybridMultilevel"/>
    <w:lvl w:ilvl="0">
      <w:lvlJc w:val="left"/>
      <w:lvlText w:val="(%1)"/>
      <w:numFmt w:val="lowerLetter"/>
      <w:start w:val="15"/>
    </w:lvl>
  </w:abstractNum>
  <w:abstractNum w:abstractNumId="289">
    <w:nsid w:val="2FD0AD81"/>
    <w:multiLevelType w:val="hybridMultilevel"/>
    <w:lvl w:ilvl="0">
      <w:lvlJc w:val="left"/>
      <w:lvlText w:val="(%1)"/>
      <w:numFmt w:val="lowerLetter"/>
      <w:start w:val="22"/>
    </w:lvl>
  </w:abstractNum>
  <w:abstractNum w:abstractNumId="290">
    <w:nsid w:val="1978EBEB"/>
    <w:multiLevelType w:val="hybridMultilevel"/>
    <w:lvl w:ilvl="0">
      <w:lvlJc w:val="left"/>
      <w:lvlText w:val="%1"/>
      <w:numFmt w:val="lowerLetter"/>
      <w:start w:val="1"/>
    </w:lvl>
    <w:lvl w:ilvl="1">
      <w:lvlJc w:val="left"/>
      <w:lvlText w:val="(%2)"/>
      <w:numFmt w:val="lowerRoman"/>
      <w:start w:val="1"/>
    </w:lvl>
  </w:abstractNum>
  <w:abstractNum w:abstractNumId="291">
    <w:nsid w:val="52C12C61"/>
    <w:multiLevelType w:val="hybridMultilevel"/>
    <w:lvl w:ilvl="0">
      <w:lvlJc w:val="left"/>
      <w:lvlText w:val="(%1)"/>
      <w:numFmt w:val="lowerLetter"/>
      <w:start w:val="27"/>
    </w:lvl>
    <w:lvl w:ilvl="1">
      <w:lvlJc w:val="left"/>
      <w:lvlText w:val="%2"/>
      <w:numFmt w:val="lowerRoman"/>
      <w:start w:val="1"/>
    </w:lvl>
  </w:abstractNum>
  <w:abstractNum w:abstractNumId="292">
    <w:nsid w:val="4BDD53FD"/>
    <w:multiLevelType w:val="hybridMultilevel"/>
    <w:lvl w:ilvl="0">
      <w:lvlJc w:val="left"/>
      <w:lvlText w:val="(%1)"/>
      <w:numFmt w:val="lowerLetter"/>
      <w:start w:val="29"/>
    </w:lvl>
  </w:abstractNum>
  <w:abstractNum w:abstractNumId="293">
    <w:nsid w:val="569951FE"/>
    <w:multiLevelType w:val="hybridMultilevel"/>
    <w:lvl w:ilvl="0">
      <w:lvlJc w:val="left"/>
      <w:lvlText w:val="(%1)"/>
      <w:numFmt w:val="lowerLetter"/>
      <w:start w:val="35"/>
    </w:lvl>
  </w:abstractNum>
  <w:abstractNum w:abstractNumId="294">
    <w:nsid w:val="4C54E2C3"/>
    <w:multiLevelType w:val="hybridMultilevel"/>
    <w:lvl w:ilvl="0">
      <w:lvlJc w:val="left"/>
      <w:lvlText w:val="%1"/>
      <w:numFmt w:val="lowerLetter"/>
      <w:start w:val="1"/>
    </w:lvl>
    <w:lvl w:ilvl="1">
      <w:lvlJc w:val="left"/>
      <w:lvlText w:val="(%2)"/>
      <w:numFmt w:val="lowerLetter"/>
      <w:start w:val="39"/>
    </w:lvl>
  </w:abstractNum>
  <w:abstractNum w:abstractNumId="295">
    <w:nsid w:val="788BD9B"/>
    <w:multiLevelType w:val="hybridMultilevel"/>
    <w:lvl w:ilvl="0">
      <w:lvlJc w:val="left"/>
      <w:lvlText w:val="(%1)"/>
      <w:numFmt w:val="lowerLetter"/>
      <w:start w:val="9"/>
    </w:lvl>
    <w:lvl w:ilvl="1">
      <w:lvlJc w:val="left"/>
      <w:lvlText w:val="(%2)"/>
      <w:numFmt w:val="lowerLetter"/>
      <w:start w:val="40"/>
    </w:lvl>
  </w:abstractNum>
  <w:abstractNum w:abstractNumId="296">
    <w:nsid w:val="47CAA567"/>
    <w:multiLevelType w:val="hybridMultilevel"/>
    <w:lvl w:ilvl="0">
      <w:lvlJc w:val="left"/>
      <w:lvlText w:val="%1."/>
      <w:numFmt w:val="decimal"/>
      <w:start w:val="5"/>
    </w:lvl>
  </w:abstractNum>
  <w:abstractNum w:abstractNumId="297">
    <w:nsid w:val="48249DBF"/>
    <w:multiLevelType w:val="hybridMultilevel"/>
    <w:lvl w:ilvl="0">
      <w:lvlJc w:val="left"/>
      <w:lvlText w:val="%1."/>
      <w:numFmt w:val="decimal"/>
      <w:start w:val="6"/>
    </w:lvl>
    <w:lvl w:ilvl="1">
      <w:lvlJc w:val="left"/>
      <w:lvlText w:val="(%2)"/>
      <w:numFmt w:val="lowerLetter"/>
      <w:start w:val="1"/>
    </w:lvl>
  </w:abstractNum>
  <w:abstractNum w:abstractNumId="298">
    <w:nsid w:val="1F0E5D0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9">
    <w:nsid w:val="26BAAE9"/>
    <w:multiLevelType w:val="hybridMultilevel"/>
    <w:lvl w:ilvl="0">
      <w:lvlJc w:val="left"/>
      <w:lvlText w:val="%1"/>
      <w:numFmt w:val="lowerLetter"/>
      <w:start w:val="1"/>
    </w:lvl>
    <w:lvl w:ilvl="1">
      <w:lvlJc w:val="left"/>
      <w:lvlText w:val="(%2)"/>
      <w:numFmt w:val="lowerRoman"/>
      <w:start w:val="4"/>
    </w:lvl>
  </w:abstractNum>
  <w:abstractNum w:abstractNumId="300">
    <w:nsid w:val="2C02FE8C"/>
    <w:multiLevelType w:val="hybridMultilevel"/>
    <w:lvl w:ilvl="0">
      <w:lvlJc w:val="left"/>
      <w:lvlText w:val="(%1)"/>
      <w:numFmt w:val="lowerLetter"/>
      <w:start w:val="2"/>
    </w:lvl>
    <w:lvl w:ilvl="1">
      <w:lvlJc w:val="left"/>
      <w:lvlText w:val="%2"/>
      <w:numFmt w:val="lowerRoman"/>
      <w:start w:val="1"/>
    </w:lvl>
  </w:abstractNum>
  <w:abstractNum w:abstractNumId="301">
    <w:nsid w:val="129517E"/>
    <w:multiLevelType w:val="hybridMultilevel"/>
    <w:lvl w:ilvl="0">
      <w:lvlJc w:val="left"/>
      <w:lvlText w:val="%1."/>
      <w:numFmt w:val="decimal"/>
      <w:start w:val="9"/>
    </w:lvl>
  </w:abstractNum>
  <w:abstractNum w:abstractNumId="302">
    <w:nsid w:val="763B8C4E"/>
    <w:multiLevelType w:val="hybridMultilevel"/>
    <w:lvl w:ilvl="0">
      <w:lvlJc w:val="left"/>
      <w:lvlText w:val="%1."/>
      <w:numFmt w:val="decimal"/>
      <w:start w:val="12"/>
    </w:lvl>
  </w:abstractNum>
  <w:abstractNum w:abstractNumId="303">
    <w:nsid w:val="4CFB8D32"/>
    <w:multiLevelType w:val="hybridMultilevel"/>
    <w:lvl w:ilvl="0">
      <w:lvlJc w:val="left"/>
      <w:lvlText w:val="%1."/>
      <w:numFmt w:val="decimal"/>
      <w:start w:val="14"/>
    </w:lvl>
    <w:lvl w:ilvl="1">
      <w:lvlJc w:val="left"/>
      <w:lvlText w:val="(%2)"/>
      <w:numFmt w:val="lowerLetter"/>
      <w:start w:val="1"/>
    </w:lvl>
  </w:abstractNum>
  <w:abstractNum w:abstractNumId="304">
    <w:nsid w:val="62A5D5BD"/>
    <w:multiLevelType w:val="hybridMultilevel"/>
    <w:lvl w:ilvl="0">
      <w:lvlJc w:val="left"/>
      <w:lvlText w:val="%1"/>
      <w:numFmt w:val="decimal"/>
      <w:start w:val="1"/>
    </w:lvl>
    <w:lvl w:ilvl="1">
      <w:lvlJc w:val="left"/>
      <w:lvlText w:val="(%2)"/>
      <w:numFmt w:val="lowerLetter"/>
      <w:start w:val="2"/>
    </w:lvl>
  </w:abstractNum>
  <w:abstractNum w:abstractNumId="305">
    <w:nsid w:val="718FABF9"/>
    <w:multiLevelType w:val="hybridMultilevel"/>
    <w:lvl w:ilvl="0">
      <w:lvlJc w:val="left"/>
      <w:lvlText w:val="%1."/>
      <w:numFmt w:val="decimal"/>
      <w:start w:val="16"/>
    </w:lvl>
    <w:lvl w:ilvl="1">
      <w:lvlJc w:val="left"/>
      <w:lvlText w:val="%2"/>
      <w:numFmt w:val="lowerLetter"/>
      <w:start w:val="1"/>
    </w:lvl>
  </w:abstractNum>
  <w:abstractNum w:abstractNumId="306">
    <w:nsid w:val="7775797C"/>
    <w:multiLevelType w:val="hybridMultilevel"/>
    <w:lvl w:ilvl="0">
      <w:lvlJc w:val="left"/>
      <w:lvlText w:val="%1."/>
      <w:numFmt w:val="decimal"/>
      <w:start w:val="17"/>
    </w:lvl>
    <w:lvl w:ilvl="1">
      <w:lvlJc w:val="left"/>
      <w:lvlText w:val="(%2)"/>
      <w:numFmt w:val="lowerLetter"/>
      <w:start w:val="1"/>
    </w:lvl>
  </w:abstractNum>
  <w:abstractNum w:abstractNumId="307">
    <w:nsid w:val="1626FB8C"/>
    <w:multiLevelType w:val="hybridMultilevel"/>
    <w:lvl w:ilvl="0">
      <w:lvlJc w:val="left"/>
      <w:lvlText w:val="(%1)"/>
      <w:numFmt w:val="lowerLetter"/>
      <w:start w:val="2"/>
    </w:lvl>
  </w:abstractNum>
  <w:abstractNum w:abstractNumId="308">
    <w:nsid w:val="3957756A"/>
    <w:multiLevelType w:val="hybridMultilevel"/>
    <w:lvl w:ilvl="0">
      <w:lvlJc w:val="left"/>
      <w:lvlText w:val="(%1)"/>
      <w:numFmt w:val="lowerLetter"/>
      <w:start w:val="8"/>
    </w:lvl>
  </w:abstractNum>
  <w:abstractNum w:abstractNumId="309">
    <w:nsid w:val="3E6DA1C7"/>
    <w:multiLevelType w:val="hybridMultilevel"/>
    <w:lvl w:ilvl="0">
      <w:lvlJc w:val="left"/>
      <w:lvlText w:val="%1"/>
      <w:numFmt w:val="decimal"/>
      <w:start w:val="1"/>
    </w:lvl>
    <w:lvl w:ilvl="1">
      <w:lvlJc w:val="left"/>
      <w:lvlText w:val="(%2)"/>
      <w:numFmt w:val="lowerLetter"/>
      <w:start w:val="12"/>
    </w:lvl>
  </w:abstractNum>
  <w:abstractNum w:abstractNumId="310">
    <w:nsid w:val="65CA235B"/>
    <w:multiLevelType w:val="hybridMultilevel"/>
    <w:lvl w:ilvl="0">
      <w:lvlJc w:val="left"/>
      <w:lvlText w:val="%1."/>
      <w:numFmt w:val="decimal"/>
      <w:start w:val="20"/>
    </w:lvl>
    <w:lvl w:ilvl="1">
      <w:lvlJc w:val="left"/>
      <w:lvlText w:val="%2"/>
      <w:numFmt w:val="lowerLetter"/>
      <w:start w:val="1"/>
    </w:lvl>
  </w:abstractNum>
  <w:abstractNum w:abstractNumId="311">
    <w:nsid w:val="51CB0DA4"/>
    <w:multiLevelType w:val="hybridMultilevel"/>
    <w:lvl w:ilvl="0">
      <w:lvlJc w:val="left"/>
      <w:lvlText w:val="%1."/>
      <w:numFmt w:val="decimal"/>
      <w:start w:val="1"/>
    </w:lvl>
  </w:abstractNum>
  <w:abstractNum w:abstractNumId="312">
    <w:nsid w:val="7B9B743C"/>
    <w:multiLevelType w:val="hybridMultilevel"/>
    <w:lvl w:ilvl="0">
      <w:lvlJc w:val="left"/>
      <w:lvlText w:val="%1."/>
      <w:numFmt w:val="decimal"/>
      <w:start w:val="2"/>
    </w:lvl>
  </w:abstractNum>
  <w:abstractNum w:abstractNumId="313">
    <w:nsid w:val="13E21002"/>
    <w:multiLevelType w:val="hybridMultilevel"/>
    <w:lvl w:ilvl="0">
      <w:lvlJc w:val="left"/>
      <w:lvlText w:val="%1."/>
      <w:numFmt w:val="decimal"/>
      <w:start w:val="3"/>
    </w:lvl>
  </w:abstractNum>
  <w:abstractNum w:abstractNumId="314">
    <w:nsid w:val="257D63F4"/>
    <w:multiLevelType w:val="hybridMultilevel"/>
    <w:lvl w:ilvl="0">
      <w:lvlJc w:val="left"/>
      <w:lvlText w:val="(%1)"/>
      <w:numFmt w:val="lowerLetter"/>
      <w:start w:val="1"/>
    </w:lvl>
  </w:abstractNum>
  <w:abstractNum w:abstractNumId="315">
    <w:nsid w:val="70EC11B2"/>
    <w:multiLevelType w:val="hybridMultilevel"/>
    <w:lvl w:ilvl="0">
      <w:lvlJc w:val="left"/>
      <w:lvlText w:val="%1."/>
      <w:numFmt w:val="decimal"/>
      <w:start w:val="4"/>
    </w:lvl>
  </w:abstractNum>
  <w:abstractNum w:abstractNumId="316">
    <w:nsid w:val="2EDA00ED"/>
    <w:multiLevelType w:val="hybridMultilevel"/>
    <w:lvl w:ilvl="0">
      <w:lvlJc w:val="left"/>
      <w:lvlText w:val="%1."/>
      <w:numFmt w:val="decimal"/>
      <w:start w:val="1"/>
    </w:lvl>
  </w:abstractNum>
  <w:abstractNum w:abstractNumId="317">
    <w:nsid w:val="73209072"/>
    <w:multiLevelType w:val="hybridMultilevel"/>
    <w:lvl w:ilvl="0">
      <w:lvlJc w:val="left"/>
      <w:lvlText w:val="%1."/>
      <w:numFmt w:val="decimal"/>
      <w:start w:val="4"/>
    </w:lvl>
  </w:abstractNum>
  <w:abstractNum w:abstractNumId="318">
    <w:nsid w:val="5FB29816"/>
    <w:multiLevelType w:val="hybridMultilevel"/>
    <w:lvl w:ilvl="0">
      <w:lvlJc w:val="left"/>
      <w:lvlText w:val="%1."/>
      <w:numFmt w:val="decimal"/>
      <w:start w:val="6"/>
    </w:lvl>
    <w:lvl w:ilvl="1">
      <w:lvlJc w:val="left"/>
      <w:lvlText w:val="(%2)"/>
      <w:numFmt w:val="lowerLetter"/>
      <w:start w:val="1"/>
    </w:lvl>
  </w:abstractNum>
  <w:abstractNum w:abstractNumId="319">
    <w:nsid w:val="3CE732EC"/>
    <w:multiLevelType w:val="hybridMultilevel"/>
    <w:lvl w:ilvl="0">
      <w:lvlJc w:val="left"/>
      <w:lvlText w:val="%1."/>
      <w:numFmt w:val="decimal"/>
      <w:start w:val="1"/>
    </w:lvl>
  </w:abstractNum>
  <w:abstractNum w:abstractNumId="320">
    <w:nsid w:val="22F13DF3"/>
    <w:multiLevelType w:val="hybridMultilevel"/>
    <w:lvl w:ilvl="0">
      <w:lvlJc w:val="left"/>
      <w:lvlText w:val="%1)"/>
      <w:numFmt w:val="lowerLetter"/>
      <w:start w:val="1"/>
    </w:lvl>
  </w:abstractNum>
  <w:abstractNum w:abstractNumId="321">
    <w:nsid w:val="792B8401"/>
    <w:multiLevelType w:val="hybridMultilevel"/>
    <w:lvl w:ilvl="0">
      <w:lvlJc w:val="left"/>
      <w:lvlText w:val="%1."/>
      <w:numFmt w:val="decimal"/>
      <w:start w:val="5"/>
    </w:lvl>
  </w:abstractNum>
  <w:abstractNum w:abstractNumId="322">
    <w:nsid w:val="FA85F4D"/>
    <w:multiLevelType w:val="hybridMultilevel"/>
    <w:lvl w:ilvl="0">
      <w:lvlJc w:val="left"/>
      <w:lvlText w:val="%1)"/>
      <w:numFmt w:val="lowerLetter"/>
      <w:start w:val="1"/>
    </w:lvl>
  </w:abstractNum>
  <w:abstractNum w:abstractNumId="323">
    <w:nsid w:val="6ECE91F0"/>
    <w:multiLevelType w:val="hybridMultilevel"/>
    <w:lvl w:ilvl="0">
      <w:lvlJc w:val="left"/>
      <w:lvlText w:val="%1."/>
      <w:numFmt w:val="decimal"/>
      <w:start w:val="1"/>
    </w:lvl>
  </w:abstractNum>
  <w:abstractNum w:abstractNumId="324">
    <w:nsid w:val="4FC4D600"/>
    <w:multiLevelType w:val="hybridMultilevel"/>
    <w:lvl w:ilvl="0">
      <w:lvlJc w:val="left"/>
      <w:lvlText w:val="%1)"/>
      <w:numFmt w:val="lowerLetter"/>
      <w:start w:val="1"/>
    </w:lvl>
  </w:abstractNum>
  <w:abstractNum w:abstractNumId="325">
    <w:nsid w:val="5BFD4210"/>
    <w:multiLevelType w:val="hybridMultilevel"/>
    <w:lvl w:ilvl="0">
      <w:lvlJc w:val="left"/>
      <w:lvlText w:val="%1."/>
      <w:numFmt w:val="decimal"/>
      <w:start w:val="5"/>
    </w:lvl>
  </w:abstractNum>
  <w:abstractNum w:abstractNumId="326">
    <w:nsid w:val="76574F8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2019-12-28T21:44:05Z</dcterms:created>
  <dcterms:modified xsi:type="dcterms:W3CDTF">2019-12-28T21:44:05Z</dcterms:modified>
</cp:coreProperties>
</file>