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05/19/2017</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05/19/2017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0000FF"/>
              </w:rPr>
              <w:t>33,000</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1.5412</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261,225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05/19/2017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0000FF"/>
              </w:rPr>
              <w:t>6,670</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1.5412</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267,895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8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held by Iroquois Master Fund Ltd. (the "Fund"). Mr. Abbe is president of Iroquois Capital Management L.L.C, who has the authority and responsibility for the investments made on behalf of the Fund and, as such, may be deemed to be the beneficial owner of all shares of common stock held by the Fund.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1" w:lineRule="exact"/>
        <w:rPr>
          <w:rFonts w:ascii="Arial" w:cs="Arial" w:eastAsia="Arial" w:hAnsi="Arial"/>
          <w:sz w:val="14"/>
          <w:szCs w:val="14"/>
          <w:color w:val="008000"/>
        </w:rPr>
      </w:pPr>
    </w:p>
    <w:p>
      <w:pPr>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held by Iroquois Capital Investment Group ("ICIG"). Mr. Abbe is managing member of ICIG and has the authority and responsibility for the investments made on behalf of ICIG and, as such, may be deemed to be the beneficial owner of all shares of common stock held by ICIG.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8"/>
              </w:rPr>
              <w:t>/s/ Richard Abbe</w:t>
            </w:r>
          </w:p>
        </w:tc>
        <w:tc>
          <w:tcPr>
            <w:tcW w:w="9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05/22/2017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2019-12-04T01:41:29Z</dcterms:created>
  <dcterms:modified xsi:type="dcterms:W3CDTF">2019-12-04T01:41:29Z</dcterms:modified>
</cp:coreProperties>
</file>