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8-K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tbl>
      <w:tblPr>
        <w:tblLayout w:type="fixed"/>
        <w:tblInd w:w="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5"/>
              </w:rPr>
              <w:t>Current Report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Pursuant to Section 13 or 15(d) of the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8"/>
              </w:rPr>
              <w:t>Securities Exchange Act of 1934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Date of Report (Date of earliest event reported): August 15, 2014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VRINGO, INC.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(Exact Name of Registrant as Specified in its Charter)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4"/>
        </w:trPr>
        <w:tc>
          <w:tcPr>
            <w:tcW w:w="2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3"/>
              </w:rPr>
              <w:t>Delaware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001-34785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20-4988129</w:t>
            </w:r>
          </w:p>
        </w:tc>
      </w:tr>
      <w:tr>
        <w:trPr>
          <w:trHeight w:val="216"/>
        </w:trPr>
        <w:tc>
          <w:tcPr>
            <w:tcW w:w="2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1"/>
              </w:rPr>
              <w:t>(State or other jurisdiction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7"/>
              </w:rPr>
              <w:t>(Commission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(I.R.S. Employer</w:t>
            </w: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of incorporation)</w:t>
            </w: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4"/>
              </w:rPr>
              <w:t>File Number)</w:t>
            </w:r>
          </w:p>
        </w:tc>
        <w:tc>
          <w:tcPr>
            <w:tcW w:w="1680" w:type="dxa"/>
            <w:vAlign w:val="bottom"/>
          </w:tcPr>
          <w:p>
            <w:pPr>
              <w:jc w:val="center"/>
              <w:ind w:left="1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2"/>
              </w:rPr>
              <w:t>Identification No.)</w:t>
            </w:r>
          </w:p>
        </w:tc>
      </w:tr>
      <w:tr>
        <w:trPr>
          <w:trHeight w:val="45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780 Third Avenue, 12</w:t>
            </w:r>
            <w:r>
              <w:rPr>
                <w:rFonts w:ascii="Arial" w:cs="Arial" w:eastAsia="Arial" w:hAnsi="Arial"/>
                <w:sz w:val="30"/>
                <w:szCs w:val="30"/>
                <w:b w:val="1"/>
                <w:bCs w:val="1"/>
                <w:color w:val="auto"/>
                <w:w w:val="90"/>
                <w:vertAlign w:val="superscript"/>
              </w:rPr>
              <w:t>th</w:t>
            </w: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 xml:space="preserve"> Floor, New York, New York 10017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0"/>
              </w:rPr>
              <w:t>(Address of Principal Executive Offices and Zip Code)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40" w:type="dxa"/>
            <w:vAlign w:val="bottom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9"/>
              </w:rPr>
              <w:t>Registrant’s telephone number, including area code: (212) 309-7549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Written communications pursuant to Rule 425 under the Securities Act (17 CFR 230.425)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pursuant to Rule 14a-12 under the Exchange Act (17 CFR 240.14a-12)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14d-2(b) under the Exchange Act (17 CFR 240.14d-2(b))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820" w:hanging="812"/>
        <w:spacing w:after="0"/>
        <w:tabs>
          <w:tab w:leader="none" w:pos="8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Pre-commencement communications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426720</wp:posOffset>
            </wp:positionV>
            <wp:extent cx="724662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229" w:right="3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Item 8.01 Other Events.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firstLine="648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On August 15, 2014, Vringo, Inc. (the “Company”) issued a press release announcing that the Court of Appeals for the Federal Circuit reversed the jury's verdict and held that the asserted claims of the patents-in-suit in the Company's wholly-owned subsidiary I/P Engine's litigation against AOL Inc., Google Inc. et al. are invalid for obviousness. The Company is evaluating its options with respect to the case.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388620</wp:posOffset>
            </wp:positionV>
            <wp:extent cx="72466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66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60"/>
          </w:cols>
          <w:pgMar w:left="240" w:top="904" w:right="3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680" w:firstLine="455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4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560" w:type="dxa"/>
            <w:vAlign w:val="bottom"/>
            <w:gridSpan w:val="2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VRINGO,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3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Dated: August 15, 2014</w:t>
            </w:r>
          </w:p>
        </w:tc>
        <w:tc>
          <w:tcPr>
            <w:tcW w:w="2580" w:type="dxa"/>
            <w:vAlign w:val="bottom"/>
          </w:tcPr>
          <w:p>
            <w:pPr>
              <w:ind w:left="2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Andrew D. Perlman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95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 Andrew D. Perlman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30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   Chief Executive Officer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648"/>
        </w:trPr>
        <w:tc>
          <w:tcPr>
            <w:tcW w:w="3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90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2019-12-07T17:12:27Z</dcterms:created>
  <dcterms:modified xsi:type="dcterms:W3CDTF">2019-12-07T17:12:27Z</dcterms:modified>
</cp:coreProperties>
</file>