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Section 15(d) of the Securities Exchange Act of 1934</w:t>
      </w:r>
    </w:p>
    <w:p>
      <w:pPr>
        <w:spacing w:after="0" w:line="200" w:lineRule="exact"/>
        <w:rPr>
          <w:sz w:val="24"/>
          <w:szCs w:val="24"/>
          <w:color w:val="auto"/>
        </w:rPr>
      </w:pP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November 15, 2011 (November 14,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255270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238125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1-34785</w:t>
      </w:r>
    </w:p>
    <w:p>
      <w:pPr>
        <w:spacing w:after="0" w:line="27"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20" w:space="720"/>
            <w:col w:w="2540"/>
          </w:cols>
          <w:pgMar w:left="240" w:top="229" w:right="239" w:bottom="1440" w:gutter="0" w:footer="0" w:header="0"/>
          <w:type w:val="continuous"/>
        </w:sectPr>
      </w:pPr>
    </w:p>
    <w:p>
      <w:pPr>
        <w:spacing w:after="0" w:line="27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44 W. 28</w:t>
      </w:r>
      <w:r>
        <w:rPr>
          <w:rFonts w:ascii="Arial" w:cs="Arial" w:eastAsia="Arial" w:hAnsi="Arial"/>
          <w:sz w:val="12"/>
          <w:szCs w:val="12"/>
          <w:b w:val="1"/>
          <w:bCs w:val="1"/>
          <w:color w:val="auto"/>
        </w:rPr>
        <w:t>th</w:t>
      </w:r>
      <w:r>
        <w:rPr>
          <w:rFonts w:ascii="Arial" w:cs="Arial" w:eastAsia="Arial" w:hAnsi="Arial"/>
          <w:sz w:val="18"/>
          <w:szCs w:val="18"/>
          <w:b w:val="1"/>
          <w:bCs w:val="1"/>
          <w:color w:val="auto"/>
        </w:rPr>
        <w:t xml:space="preserve"> Street</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3" w:lineRule="exact"/>
        <w:rPr>
          <w:sz w:val="24"/>
          <w:szCs w:val="24"/>
          <w:color w:val="auto"/>
        </w:rPr>
      </w:pPr>
    </w:p>
    <w:p>
      <w:pPr>
        <w:jc w:val="center"/>
        <w:ind w:right="2460"/>
        <w:spacing w:after="0"/>
        <w:rPr>
          <w:sz w:val="20"/>
          <w:szCs w:val="20"/>
          <w:color w:val="auto"/>
        </w:rPr>
      </w:pPr>
      <w:r>
        <w:rPr>
          <w:rFonts w:ascii="Arial" w:cs="Arial" w:eastAsia="Arial" w:hAnsi="Arial"/>
          <w:sz w:val="18"/>
          <w:szCs w:val="18"/>
          <w:b w:val="1"/>
          <w:bCs w:val="1"/>
          <w:color w:val="auto"/>
        </w:rPr>
        <w:t>10001</w:t>
      </w:r>
    </w:p>
    <w:p>
      <w:pPr>
        <w:spacing w:after="0" w:line="27" w:lineRule="exact"/>
        <w:rPr>
          <w:sz w:val="24"/>
          <w:szCs w:val="24"/>
          <w:color w:val="auto"/>
        </w:rPr>
      </w:pPr>
    </w:p>
    <w:p>
      <w:pPr>
        <w:jc w:val="center"/>
        <w:ind w:right="24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240"/>
          </w:cols>
          <w:pgMar w:left="240" w:top="229" w:right="239" w:bottom="1440" w:gutter="0" w:footer="0" w:header="0"/>
          <w:type w:val="continuous"/>
        </w:sect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525-4319</w:t>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 East 16th Street, 7th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228600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197"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November 14, 2011, Vringo, Inc. issued a press release announcing its financial results for the quarter ended September 30, 2011. A copy of the press release is attached hereto as Exhibit 99.1 and is incorporated herein by reference.</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information is intended to be furnished under Item 2.02 of Form 8-K, “Results of Operations and Financial Condition”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920" w:hanging="912"/>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5"/>
          <w:szCs w:val="15"/>
          <w:color w:val="auto"/>
        </w:rPr>
        <w:t>Press Release, dated November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November 15, 2011</w:t>
      </w:r>
      <w:r>
        <w:rPr>
          <w:sz w:val="20"/>
          <w:szCs w:val="20"/>
          <w:color w:val="auto"/>
        </w:rPr>
        <w:tab/>
      </w:r>
      <w:r>
        <w:rPr>
          <w:rFonts w:ascii="Arial" w:cs="Arial" w:eastAsia="Arial" w:hAnsi="Arial"/>
          <w:sz w:val="17"/>
          <w:szCs w:val="17"/>
          <w:color w:val="auto"/>
        </w:rPr>
        <w:t>By: /s/ 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Ellen Cohl</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689610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ind w:left="10440"/>
        <w:spacing w:after="0"/>
        <w:rPr>
          <w:sz w:val="20"/>
          <w:szCs w:val="20"/>
          <w:color w:val="auto"/>
        </w:rPr>
      </w:pPr>
      <w:r>
        <w:rPr>
          <w:rFonts w:ascii="Arial" w:cs="Arial" w:eastAsia="Arial" w:hAnsi="Arial"/>
          <w:sz w:val="17"/>
          <w:szCs w:val="17"/>
          <w:b w:val="1"/>
          <w:bCs w:val="1"/>
          <w:color w:val="auto"/>
        </w:rPr>
        <w:t>Exhibit 99.1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LOGO</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Reports 2011 Third Quarter Results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 Scheduled for Today, November 14th, at 4:30 pm EST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NEW YORK </w:t>
      </w:r>
      <w:r>
        <w:rPr>
          <w:rFonts w:ascii="Arial" w:cs="Arial" w:eastAsia="Arial" w:hAnsi="Arial"/>
          <w:sz w:val="18"/>
          <w:szCs w:val="18"/>
          <w:color w:val="181818"/>
        </w:rPr>
        <w:t>—</w:t>
      </w:r>
      <w:r>
        <w:rPr>
          <w:rFonts w:ascii="Arial" w:cs="Arial" w:eastAsia="Arial" w:hAnsi="Arial"/>
          <w:sz w:val="18"/>
          <w:szCs w:val="18"/>
          <w:color w:val="auto"/>
        </w:rPr>
        <w:t xml:space="preserve"> November 14, 2011 </w:t>
      </w:r>
      <w:r>
        <w:rPr>
          <w:rFonts w:ascii="Arial" w:cs="Arial" w:eastAsia="Arial" w:hAnsi="Arial"/>
          <w:sz w:val="18"/>
          <w:szCs w:val="18"/>
          <w:color w:val="181818"/>
        </w:rPr>
        <w:t>— Vringo, Inc. (NYSE Amex: VRNG), a provider of software platforms for mobile social and video applications, today</w:t>
      </w:r>
      <w:r>
        <w:rPr>
          <w:rFonts w:ascii="Arial" w:cs="Arial" w:eastAsia="Arial" w:hAnsi="Arial"/>
          <w:sz w:val="18"/>
          <w:szCs w:val="18"/>
          <w:color w:val="auto"/>
        </w:rPr>
        <w:t xml:space="preserve"> </w:t>
      </w:r>
      <w:r>
        <w:rPr>
          <w:rFonts w:ascii="Arial" w:cs="Arial" w:eastAsia="Arial" w:hAnsi="Arial"/>
          <w:sz w:val="18"/>
          <w:szCs w:val="18"/>
          <w:color w:val="181818"/>
        </w:rPr>
        <w:t>announced financial results for the third quarter ended September 30,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Major Highlights of Q3 2011 and Subsequent Events</w:t>
      </w:r>
    </w:p>
    <w:p>
      <w:pPr>
        <w:spacing w:after="0" w:line="256" w:lineRule="exact"/>
        <w:rPr>
          <w:sz w:val="20"/>
          <w:szCs w:val="20"/>
          <w:color w:val="auto"/>
        </w:rPr>
      </w:pPr>
    </w:p>
    <w:p>
      <w:pPr>
        <w:ind w:left="660" w:hanging="652"/>
        <w:spacing w:after="0" w:line="258" w:lineRule="auto"/>
        <w:tabs>
          <w:tab w:leader="none" w:pos="660" w:val="left"/>
        </w:tabs>
        <w:numPr>
          <w:ilvl w:val="0"/>
          <w:numId w:val="3"/>
        </w:numPr>
        <w:rPr>
          <w:rFonts w:ascii="Arial" w:cs="Arial" w:eastAsia="Arial" w:hAnsi="Arial"/>
          <w:sz w:val="18"/>
          <w:szCs w:val="18"/>
          <w:color w:val="181818"/>
        </w:rPr>
      </w:pPr>
      <w:r>
        <w:rPr>
          <w:rFonts w:ascii="Arial" w:cs="Arial" w:eastAsia="Arial" w:hAnsi="Arial"/>
          <w:sz w:val="18"/>
          <w:szCs w:val="18"/>
          <w:color w:val="181818"/>
        </w:rPr>
        <w:t>Increased Q3 2011 revenue to $182,000, a 237% increase as compared to $54,000 in Q3 2010. For the nine months ended September 30, 2011, revenue increased 334% to $556,000 compared to $128,000 for the same period in 2010.</w:t>
      </w:r>
    </w:p>
    <w:p>
      <w:pPr>
        <w:spacing w:after="0" w:line="1" w:lineRule="exact"/>
        <w:rPr>
          <w:rFonts w:ascii="Arial" w:cs="Arial" w:eastAsia="Arial" w:hAnsi="Arial"/>
          <w:sz w:val="18"/>
          <w:szCs w:val="18"/>
          <w:color w:val="181818"/>
        </w:rPr>
      </w:pPr>
    </w:p>
    <w:p>
      <w:pPr>
        <w:jc w:val="both"/>
        <w:ind w:left="660" w:hanging="652"/>
        <w:spacing w:after="0" w:line="250" w:lineRule="auto"/>
        <w:tabs>
          <w:tab w:leader="none" w:pos="660" w:val="left"/>
        </w:tabs>
        <w:numPr>
          <w:ilvl w:val="0"/>
          <w:numId w:val="3"/>
        </w:numPr>
        <w:rPr>
          <w:rFonts w:ascii="Arial" w:cs="Arial" w:eastAsia="Arial" w:hAnsi="Arial"/>
          <w:sz w:val="18"/>
          <w:szCs w:val="18"/>
          <w:color w:val="181818"/>
        </w:rPr>
      </w:pPr>
      <w:r>
        <w:rPr>
          <w:rFonts w:ascii="Arial" w:cs="Arial" w:eastAsia="Arial" w:hAnsi="Arial"/>
          <w:sz w:val="18"/>
          <w:szCs w:val="18"/>
          <w:color w:val="181818"/>
        </w:rPr>
        <w:t>Decreased net loss to $2.1 million in Q3 2011, as compared to approximately $2.8 million in Q3 2010, an improvement of 25%. The decrease in net loss was related to increased revenues, lower R&amp;D and marketing expenses and partly offset by a concurrent increase of G&amp;A expenses pursuant to merger and acquisition activity and non-cash costs relating to share based compensation.</w:t>
      </w:r>
    </w:p>
    <w:p>
      <w:pPr>
        <w:spacing w:after="0" w:line="1" w:lineRule="exact"/>
        <w:rPr>
          <w:rFonts w:ascii="Arial" w:cs="Arial" w:eastAsia="Arial" w:hAnsi="Arial"/>
          <w:sz w:val="18"/>
          <w:szCs w:val="18"/>
          <w:color w:val="181818"/>
        </w:rPr>
      </w:pPr>
    </w:p>
    <w:p>
      <w:pPr>
        <w:ind w:left="660" w:hanging="652"/>
        <w:spacing w:after="0" w:line="250" w:lineRule="auto"/>
        <w:tabs>
          <w:tab w:leader="none" w:pos="660" w:val="left"/>
        </w:tabs>
        <w:numPr>
          <w:ilvl w:val="0"/>
          <w:numId w:val="3"/>
        </w:numPr>
        <w:rPr>
          <w:rFonts w:ascii="Arial" w:cs="Arial" w:eastAsia="Arial" w:hAnsi="Arial"/>
          <w:sz w:val="18"/>
          <w:szCs w:val="18"/>
          <w:color w:val="181818"/>
        </w:rPr>
      </w:pPr>
      <w:r>
        <w:rPr>
          <w:rFonts w:ascii="Arial" w:cs="Arial" w:eastAsia="Arial" w:hAnsi="Arial"/>
          <w:sz w:val="18"/>
          <w:szCs w:val="18"/>
          <w:color w:val="181818"/>
        </w:rPr>
        <w:t>Signed an agreement with ZTE Corporation, the largest handset maker in China and fourth-largest globally, to preload Facetones™ application on Android handsets.</w:t>
      </w:r>
    </w:p>
    <w:p>
      <w:pPr>
        <w:ind w:left="660" w:hanging="652"/>
        <w:spacing w:after="0"/>
        <w:tabs>
          <w:tab w:leader="none" w:pos="660" w:val="left"/>
        </w:tabs>
        <w:numPr>
          <w:ilvl w:val="0"/>
          <w:numId w:val="3"/>
        </w:numPr>
        <w:rPr>
          <w:rFonts w:ascii="Arial" w:cs="Arial" w:eastAsia="Arial" w:hAnsi="Arial"/>
          <w:sz w:val="18"/>
          <w:szCs w:val="18"/>
          <w:color w:val="181818"/>
        </w:rPr>
      </w:pPr>
      <w:r>
        <w:rPr>
          <w:rFonts w:ascii="Arial" w:cs="Arial" w:eastAsia="Arial" w:hAnsi="Arial"/>
          <w:sz w:val="18"/>
          <w:szCs w:val="18"/>
          <w:color w:val="181818"/>
        </w:rPr>
        <w:t>Completed $2.5 million private placement from Benchmark Capital and DAG Ventures.</w:t>
      </w:r>
    </w:p>
    <w:p>
      <w:pPr>
        <w:spacing w:after="0" w:line="9" w:lineRule="exact"/>
        <w:rPr>
          <w:rFonts w:ascii="Arial" w:cs="Arial" w:eastAsia="Arial" w:hAnsi="Arial"/>
          <w:sz w:val="18"/>
          <w:szCs w:val="18"/>
          <w:color w:val="181818"/>
        </w:rPr>
      </w:pPr>
    </w:p>
    <w:p>
      <w:pPr>
        <w:ind w:left="660" w:hanging="652"/>
        <w:spacing w:after="0"/>
        <w:tabs>
          <w:tab w:leader="none" w:pos="660" w:val="left"/>
        </w:tabs>
        <w:numPr>
          <w:ilvl w:val="0"/>
          <w:numId w:val="3"/>
        </w:numPr>
        <w:rPr>
          <w:rFonts w:ascii="Arial" w:cs="Arial" w:eastAsia="Arial" w:hAnsi="Arial"/>
          <w:sz w:val="18"/>
          <w:szCs w:val="18"/>
          <w:color w:val="181818"/>
        </w:rPr>
      </w:pPr>
      <w:r>
        <w:rPr>
          <w:rFonts w:ascii="Arial" w:cs="Arial" w:eastAsia="Arial" w:hAnsi="Arial"/>
          <w:sz w:val="18"/>
          <w:szCs w:val="18"/>
          <w:color w:val="181818"/>
        </w:rPr>
        <w:t>Launched Facetones™ in the US through Verizon Wireless and its V Cast app store.</w:t>
      </w:r>
    </w:p>
    <w:p>
      <w:pPr>
        <w:spacing w:after="0" w:line="9" w:lineRule="exact"/>
        <w:rPr>
          <w:rFonts w:ascii="Arial" w:cs="Arial" w:eastAsia="Arial" w:hAnsi="Arial"/>
          <w:sz w:val="18"/>
          <w:szCs w:val="18"/>
          <w:color w:val="181818"/>
        </w:rPr>
      </w:pPr>
    </w:p>
    <w:p>
      <w:pPr>
        <w:ind w:left="660" w:hanging="652"/>
        <w:spacing w:after="0"/>
        <w:tabs>
          <w:tab w:leader="none" w:pos="660" w:val="left"/>
        </w:tabs>
        <w:numPr>
          <w:ilvl w:val="0"/>
          <w:numId w:val="3"/>
        </w:numPr>
        <w:rPr>
          <w:rFonts w:ascii="Arial" w:cs="Arial" w:eastAsia="Arial" w:hAnsi="Arial"/>
          <w:sz w:val="18"/>
          <w:szCs w:val="18"/>
          <w:color w:val="181818"/>
        </w:rPr>
      </w:pPr>
      <w:r>
        <w:rPr>
          <w:rFonts w:ascii="Arial" w:cs="Arial" w:eastAsia="Arial" w:hAnsi="Arial"/>
          <w:sz w:val="18"/>
          <w:szCs w:val="18"/>
          <w:color w:val="181818"/>
        </w:rPr>
        <w:t>Exceeded 400,000 downloads of Vringo’s Facetones™ product to date.</w:t>
      </w:r>
    </w:p>
    <w:p>
      <w:pPr>
        <w:spacing w:after="0" w:line="9" w:lineRule="exact"/>
        <w:rPr>
          <w:rFonts w:ascii="Arial" w:cs="Arial" w:eastAsia="Arial" w:hAnsi="Arial"/>
          <w:sz w:val="18"/>
          <w:szCs w:val="18"/>
          <w:color w:val="181818"/>
        </w:rPr>
      </w:pPr>
    </w:p>
    <w:p>
      <w:pPr>
        <w:ind w:left="660" w:hanging="652"/>
        <w:spacing w:after="0"/>
        <w:tabs>
          <w:tab w:leader="none" w:pos="660" w:val="left"/>
        </w:tabs>
        <w:numPr>
          <w:ilvl w:val="0"/>
          <w:numId w:val="3"/>
        </w:numPr>
        <w:rPr>
          <w:rFonts w:ascii="Arial" w:cs="Arial" w:eastAsia="Arial" w:hAnsi="Arial"/>
          <w:sz w:val="18"/>
          <w:szCs w:val="18"/>
          <w:color w:val="181818"/>
        </w:rPr>
      </w:pPr>
      <w:r>
        <w:rPr>
          <w:rFonts w:ascii="Arial" w:cs="Arial" w:eastAsia="Arial" w:hAnsi="Arial"/>
          <w:sz w:val="18"/>
          <w:szCs w:val="18"/>
          <w:color w:val="181818"/>
        </w:rPr>
        <w:t>Launched Video Ringtone Service with Celcom in Malaysia.</w:t>
      </w:r>
    </w:p>
    <w:p>
      <w:pPr>
        <w:spacing w:after="0" w:line="9" w:lineRule="exact"/>
        <w:rPr>
          <w:rFonts w:ascii="Arial" w:cs="Arial" w:eastAsia="Arial" w:hAnsi="Arial"/>
          <w:sz w:val="18"/>
          <w:szCs w:val="18"/>
          <w:color w:val="181818"/>
        </w:rPr>
      </w:pPr>
    </w:p>
    <w:p>
      <w:pPr>
        <w:ind w:left="660" w:hanging="652"/>
        <w:spacing w:after="0"/>
        <w:tabs>
          <w:tab w:leader="none" w:pos="660" w:val="left"/>
        </w:tabs>
        <w:numPr>
          <w:ilvl w:val="0"/>
          <w:numId w:val="3"/>
        </w:numPr>
        <w:rPr>
          <w:rFonts w:ascii="Arial" w:cs="Arial" w:eastAsia="Arial" w:hAnsi="Arial"/>
          <w:sz w:val="18"/>
          <w:szCs w:val="18"/>
          <w:color w:val="181818"/>
        </w:rPr>
      </w:pPr>
      <w:r>
        <w:rPr>
          <w:rFonts w:ascii="Arial" w:cs="Arial" w:eastAsia="Arial" w:hAnsi="Arial"/>
          <w:sz w:val="18"/>
          <w:szCs w:val="18"/>
          <w:color w:val="181818"/>
        </w:rPr>
        <w:t>Vringo’s patent portfolio strengthened with the issuance of third U.S. patent.</w:t>
      </w:r>
    </w:p>
    <w:p>
      <w:pPr>
        <w:spacing w:after="0" w:line="9" w:lineRule="exact"/>
        <w:rPr>
          <w:rFonts w:ascii="Arial" w:cs="Arial" w:eastAsia="Arial" w:hAnsi="Arial"/>
          <w:sz w:val="18"/>
          <w:szCs w:val="18"/>
          <w:color w:val="181818"/>
        </w:rPr>
      </w:pPr>
    </w:p>
    <w:p>
      <w:pPr>
        <w:ind w:left="660" w:hanging="652"/>
        <w:spacing w:after="0"/>
        <w:tabs>
          <w:tab w:leader="none" w:pos="660" w:val="left"/>
        </w:tabs>
        <w:numPr>
          <w:ilvl w:val="0"/>
          <w:numId w:val="3"/>
        </w:numPr>
        <w:rPr>
          <w:rFonts w:ascii="Arial" w:cs="Arial" w:eastAsia="Arial" w:hAnsi="Arial"/>
          <w:sz w:val="18"/>
          <w:szCs w:val="18"/>
          <w:color w:val="181818"/>
        </w:rPr>
      </w:pPr>
      <w:r>
        <w:rPr>
          <w:rFonts w:ascii="Arial" w:cs="Arial" w:eastAsia="Arial" w:hAnsi="Arial"/>
          <w:sz w:val="18"/>
          <w:szCs w:val="18"/>
          <w:color w:val="181818"/>
        </w:rPr>
        <w:t>Facetones™ launched in Japan through NTT DOCOMO, INC.</w:t>
      </w:r>
    </w:p>
    <w:p>
      <w:pPr>
        <w:spacing w:after="0" w:line="9" w:lineRule="exact"/>
        <w:rPr>
          <w:rFonts w:ascii="Arial" w:cs="Arial" w:eastAsia="Arial" w:hAnsi="Arial"/>
          <w:sz w:val="18"/>
          <w:szCs w:val="18"/>
          <w:color w:val="181818"/>
        </w:rPr>
      </w:pPr>
    </w:p>
    <w:p>
      <w:pPr>
        <w:ind w:left="660" w:hanging="652"/>
        <w:spacing w:after="0"/>
        <w:tabs>
          <w:tab w:leader="none" w:pos="660" w:val="left"/>
        </w:tabs>
        <w:numPr>
          <w:ilvl w:val="0"/>
          <w:numId w:val="3"/>
        </w:numPr>
        <w:rPr>
          <w:rFonts w:ascii="Arial" w:cs="Arial" w:eastAsia="Arial" w:hAnsi="Arial"/>
          <w:sz w:val="18"/>
          <w:szCs w:val="18"/>
          <w:color w:val="181818"/>
        </w:rPr>
      </w:pPr>
      <w:r>
        <w:rPr>
          <w:rFonts w:ascii="Arial" w:cs="Arial" w:eastAsia="Arial" w:hAnsi="Arial"/>
          <w:sz w:val="18"/>
          <w:szCs w:val="18"/>
          <w:color w:val="181818"/>
        </w:rPr>
        <w:t>Global launch of Facetones™ on Nokia Devices.</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181818"/>
        </w:rPr>
        <w:t>Jon Medved, Chief Executive Officer of Vringo said, “We are pleased to report our third quarter financial results. Vringo has continued to thrive while expanding its reach and launching services in sizable new markets in Europe, Asia, and the Middle East, as well as domestically in the United States. In addition to our success in the third quarter, we have made substantial progress subsequent to the quarter as well, with the launch of our Video Ringtone service with Celcom in Malaysia, strengthening our patent portfolio with our third US patent, and signing a significant agreement with ZTE Corporation, the largest handset maker in China and fourth-largest globally, to preload Facetones™ application on Android handsets.”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81818"/>
        </w:rPr>
        <w:t>Andrew Perlman, Vringo’s President, said, “Vringo’s business is consistently growing through the development and launch of exciting new products and services in the fast-growing mobile social and video markets. We’ve also enjoyed successful launches with major carriers throughout the world, including Verizon Wireless, Celcom and NTT DOCOMO and we are thrilled to be taking distribution to the next level by working with handset manufactures to preload our services on their devices, which greatly expands our user base. Our goal is to maintain a lower level of expenses while continuing to expand our revenues. We have reduced our R&amp;D expenses by 28% and sales and marketing expenses by 10% from the third quarter of 2010 as part of the cost saving plan implemented over the past several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20"/>
        <w:spacing w:after="0" w:line="277" w:lineRule="auto"/>
        <w:rPr>
          <w:sz w:val="20"/>
          <w:szCs w:val="20"/>
          <w:color w:val="auto"/>
        </w:rPr>
      </w:pPr>
      <w:r>
        <w:rPr>
          <w:rFonts w:ascii="Arial" w:cs="Arial" w:eastAsia="Arial" w:hAnsi="Arial"/>
          <w:sz w:val="18"/>
          <w:szCs w:val="18"/>
          <w:color w:val="181818"/>
        </w:rPr>
        <w:t>Mr. Medved concluded, “We believe, as Facetones becomes more viral in nature and continues to be well-received by mobile users, numerous opportunities for growth are developing in markets around the world.”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Q3 2011 Operational Events</w:t>
      </w:r>
    </w:p>
    <w:p>
      <w:pPr>
        <w:spacing w:after="0" w:line="25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7"/>
          <w:szCs w:val="17"/>
          <w:color w:val="181818"/>
        </w:rPr>
      </w:pPr>
      <w:r>
        <w:rPr>
          <w:rFonts w:ascii="Arial" w:cs="Arial" w:eastAsia="Arial" w:hAnsi="Arial"/>
          <w:sz w:val="17"/>
          <w:szCs w:val="17"/>
          <w:color w:val="181818"/>
        </w:rPr>
        <w:t>Consummated a private placement of $2.5 million led by prominent Silicon Valley venture capital firms Benchmark Capital and DAG Ventures.</w:t>
      </w:r>
    </w:p>
    <w:p>
      <w:pPr>
        <w:spacing w:after="0" w:line="34" w:lineRule="exact"/>
        <w:rPr>
          <w:rFonts w:ascii="Arial" w:cs="Arial" w:eastAsia="Arial" w:hAnsi="Arial"/>
          <w:sz w:val="17"/>
          <w:szCs w:val="17"/>
          <w:color w:val="181818"/>
        </w:rPr>
      </w:pPr>
    </w:p>
    <w:p>
      <w:pPr>
        <w:ind w:left="660" w:hanging="652"/>
        <w:spacing w:after="0"/>
        <w:tabs>
          <w:tab w:leader="none" w:pos="660" w:val="left"/>
        </w:tabs>
        <w:numPr>
          <w:ilvl w:val="0"/>
          <w:numId w:val="4"/>
        </w:numPr>
        <w:rPr>
          <w:rFonts w:ascii="Arial" w:cs="Arial" w:eastAsia="Arial" w:hAnsi="Arial"/>
          <w:sz w:val="18"/>
          <w:szCs w:val="18"/>
          <w:color w:val="181818"/>
        </w:rPr>
      </w:pPr>
      <w:r>
        <w:rPr>
          <w:rFonts w:ascii="Arial" w:cs="Arial" w:eastAsia="Arial" w:hAnsi="Arial"/>
          <w:sz w:val="18"/>
          <w:szCs w:val="18"/>
          <w:color w:val="181818"/>
        </w:rPr>
        <w:t>Restructuring and elimination of venture loan with Silicon Valley Bank.</w:t>
      </w:r>
    </w:p>
    <w:p>
      <w:pPr>
        <w:spacing w:after="0" w:line="9" w:lineRule="exact"/>
        <w:rPr>
          <w:rFonts w:ascii="Arial" w:cs="Arial" w:eastAsia="Arial" w:hAnsi="Arial"/>
          <w:sz w:val="18"/>
          <w:szCs w:val="18"/>
          <w:color w:val="181818"/>
        </w:rPr>
      </w:pPr>
    </w:p>
    <w:p>
      <w:pPr>
        <w:ind w:left="660" w:hanging="652"/>
        <w:spacing w:after="0"/>
        <w:tabs>
          <w:tab w:leader="none" w:pos="660" w:val="left"/>
        </w:tabs>
        <w:numPr>
          <w:ilvl w:val="0"/>
          <w:numId w:val="4"/>
        </w:numPr>
        <w:rPr>
          <w:rFonts w:ascii="Arial" w:cs="Arial" w:eastAsia="Arial" w:hAnsi="Arial"/>
          <w:sz w:val="17"/>
          <w:szCs w:val="17"/>
          <w:color w:val="181818"/>
        </w:rPr>
      </w:pPr>
      <w:r>
        <w:rPr>
          <w:rFonts w:ascii="Arial" w:cs="Arial" w:eastAsia="Arial" w:hAnsi="Arial"/>
          <w:sz w:val="17"/>
          <w:szCs w:val="17"/>
          <w:color w:val="181818"/>
        </w:rPr>
        <w:t>Launch of Facetones™ in Japan with NTT DOCOMO, INC., the largest mobile phone operator in Japan, with over 50 million customers.</w:t>
      </w:r>
    </w:p>
    <w:p>
      <w:pPr>
        <w:spacing w:after="0" w:line="20" w:lineRule="exact"/>
        <w:rPr>
          <w:rFonts w:ascii="Arial" w:cs="Arial" w:eastAsia="Arial" w:hAnsi="Arial"/>
          <w:sz w:val="17"/>
          <w:szCs w:val="17"/>
          <w:color w:val="181818"/>
        </w:rPr>
      </w:pPr>
    </w:p>
    <w:p>
      <w:pPr>
        <w:ind w:left="660" w:right="20" w:hanging="652"/>
        <w:spacing w:after="0" w:line="250" w:lineRule="auto"/>
        <w:tabs>
          <w:tab w:leader="none" w:pos="660" w:val="left"/>
        </w:tabs>
        <w:numPr>
          <w:ilvl w:val="0"/>
          <w:numId w:val="4"/>
        </w:numPr>
        <w:rPr>
          <w:rFonts w:ascii="Arial" w:cs="Arial" w:eastAsia="Arial" w:hAnsi="Arial"/>
          <w:sz w:val="18"/>
          <w:szCs w:val="18"/>
          <w:color w:val="181818"/>
        </w:rPr>
      </w:pPr>
      <w:r>
        <w:rPr>
          <w:rFonts w:ascii="Arial" w:cs="Arial" w:eastAsia="Arial" w:hAnsi="Arial"/>
          <w:sz w:val="18"/>
          <w:szCs w:val="18"/>
          <w:color w:val="181818"/>
        </w:rPr>
        <w:t>Introduced the first application of Vringo’s new Fan Loyalty platform in collaboration with Rotana and Nokia for the popular Reality TV Show Star Academy.</w:t>
      </w:r>
    </w:p>
    <w:p>
      <w:pPr>
        <w:ind w:left="660" w:hanging="652"/>
        <w:spacing w:after="0"/>
        <w:tabs>
          <w:tab w:leader="none" w:pos="660" w:val="left"/>
        </w:tabs>
        <w:numPr>
          <w:ilvl w:val="0"/>
          <w:numId w:val="4"/>
        </w:numPr>
        <w:rPr>
          <w:rFonts w:ascii="Arial" w:cs="Arial" w:eastAsia="Arial" w:hAnsi="Arial"/>
          <w:sz w:val="16"/>
          <w:szCs w:val="16"/>
          <w:color w:val="181818"/>
        </w:rPr>
      </w:pPr>
      <w:r>
        <w:rPr>
          <w:rFonts w:ascii="Arial" w:cs="Arial" w:eastAsia="Arial" w:hAnsi="Arial"/>
          <w:sz w:val="16"/>
          <w:szCs w:val="16"/>
          <w:color w:val="181818"/>
        </w:rPr>
        <w:t>Launched Facetones™ on GetJar, the world’s largest free app store, and Mobango, which has a major presence in India, the US, UK and Indonesia.</w:t>
      </w:r>
    </w:p>
    <w:p>
      <w:pPr>
        <w:spacing w:after="0" w:line="32" w:lineRule="exact"/>
        <w:rPr>
          <w:rFonts w:ascii="Arial" w:cs="Arial" w:eastAsia="Arial" w:hAnsi="Arial"/>
          <w:sz w:val="16"/>
          <w:szCs w:val="16"/>
          <w:color w:val="181818"/>
        </w:rPr>
      </w:pPr>
    </w:p>
    <w:p>
      <w:pPr>
        <w:ind w:left="660" w:hanging="652"/>
        <w:spacing w:after="0"/>
        <w:tabs>
          <w:tab w:leader="none" w:pos="660" w:val="left"/>
        </w:tabs>
        <w:numPr>
          <w:ilvl w:val="0"/>
          <w:numId w:val="4"/>
        </w:numPr>
        <w:rPr>
          <w:rFonts w:ascii="Arial" w:cs="Arial" w:eastAsia="Arial" w:hAnsi="Arial"/>
          <w:sz w:val="18"/>
          <w:szCs w:val="18"/>
          <w:color w:val="181818"/>
        </w:rPr>
      </w:pPr>
      <w:r>
        <w:rPr>
          <w:rFonts w:ascii="Arial" w:cs="Arial" w:eastAsia="Arial" w:hAnsi="Arial"/>
          <w:sz w:val="18"/>
          <w:szCs w:val="18"/>
          <w:color w:val="181818"/>
        </w:rPr>
        <w:t>Announced the global launch of Facetones™ on Nokia Devices.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Post-Quarter Events</w:t>
      </w:r>
    </w:p>
    <w:p>
      <w:pPr>
        <w:spacing w:after="0" w:line="256" w:lineRule="exact"/>
        <w:rPr>
          <w:sz w:val="20"/>
          <w:szCs w:val="20"/>
          <w:color w:val="auto"/>
        </w:rPr>
      </w:pPr>
    </w:p>
    <w:p>
      <w:pPr>
        <w:ind w:left="660" w:hanging="652"/>
        <w:spacing w:after="0" w:line="258" w:lineRule="auto"/>
        <w:tabs>
          <w:tab w:leader="none" w:pos="660" w:val="left"/>
        </w:tabs>
        <w:numPr>
          <w:ilvl w:val="0"/>
          <w:numId w:val="5"/>
        </w:numPr>
        <w:rPr>
          <w:rFonts w:ascii="Arial" w:cs="Arial" w:eastAsia="Arial" w:hAnsi="Arial"/>
          <w:sz w:val="18"/>
          <w:szCs w:val="18"/>
          <w:color w:val="181818"/>
        </w:rPr>
      </w:pPr>
      <w:r>
        <w:rPr>
          <w:rFonts w:ascii="Arial" w:cs="Arial" w:eastAsia="Arial" w:hAnsi="Arial"/>
          <w:sz w:val="18"/>
          <w:szCs w:val="18"/>
          <w:color w:val="181818"/>
        </w:rPr>
        <w:t>Signed an agreement with ZTE Corporation, the largest handset maker in China and fourth-largest globally, to preload Facetones™ application on Android handsets.</w:t>
      </w:r>
    </w:p>
    <w:p>
      <w:pPr>
        <w:spacing w:after="0" w:line="1" w:lineRule="exact"/>
        <w:rPr>
          <w:rFonts w:ascii="Arial" w:cs="Arial" w:eastAsia="Arial" w:hAnsi="Arial"/>
          <w:sz w:val="18"/>
          <w:szCs w:val="18"/>
          <w:color w:val="181818"/>
        </w:rPr>
      </w:pPr>
    </w:p>
    <w:p>
      <w:pPr>
        <w:ind w:left="660" w:hanging="652"/>
        <w:spacing w:after="0" w:line="250" w:lineRule="auto"/>
        <w:tabs>
          <w:tab w:leader="none" w:pos="660" w:val="left"/>
        </w:tabs>
        <w:numPr>
          <w:ilvl w:val="0"/>
          <w:numId w:val="5"/>
        </w:numPr>
        <w:rPr>
          <w:rFonts w:ascii="Arial" w:cs="Arial" w:eastAsia="Arial" w:hAnsi="Arial"/>
          <w:sz w:val="18"/>
          <w:szCs w:val="18"/>
          <w:color w:val="181818"/>
        </w:rPr>
      </w:pPr>
      <w:r>
        <w:rPr>
          <w:rFonts w:ascii="Arial" w:cs="Arial" w:eastAsia="Arial" w:hAnsi="Arial"/>
          <w:sz w:val="18"/>
          <w:szCs w:val="18"/>
          <w:color w:val="181818"/>
        </w:rPr>
        <w:t>Made a joint announcement with Verizon Wireless on the launch of Facetones™ on its V CAST app store in the United States – the world’s largest smartphone market.</w:t>
      </w:r>
    </w:p>
    <w:p>
      <w:pPr>
        <w:ind w:left="660" w:hanging="652"/>
        <w:spacing w:after="0"/>
        <w:tabs>
          <w:tab w:leader="none" w:pos="660" w:val="left"/>
        </w:tabs>
        <w:numPr>
          <w:ilvl w:val="0"/>
          <w:numId w:val="5"/>
        </w:numPr>
        <w:rPr>
          <w:rFonts w:ascii="Arial" w:cs="Arial" w:eastAsia="Arial" w:hAnsi="Arial"/>
          <w:sz w:val="18"/>
          <w:szCs w:val="18"/>
          <w:color w:val="181818"/>
        </w:rPr>
      </w:pPr>
      <w:r>
        <w:rPr>
          <w:rFonts w:ascii="Arial" w:cs="Arial" w:eastAsia="Arial" w:hAnsi="Arial"/>
          <w:sz w:val="18"/>
          <w:szCs w:val="18"/>
          <w:color w:val="181818"/>
        </w:rPr>
        <w:t>Launched the Video Ringtone Service with Celcom in Malaysia.</w:t>
      </w:r>
    </w:p>
    <w:p>
      <w:pPr>
        <w:spacing w:after="0" w:line="9" w:lineRule="exact"/>
        <w:rPr>
          <w:rFonts w:ascii="Arial" w:cs="Arial" w:eastAsia="Arial" w:hAnsi="Arial"/>
          <w:sz w:val="18"/>
          <w:szCs w:val="18"/>
          <w:color w:val="181818"/>
        </w:rPr>
      </w:pPr>
    </w:p>
    <w:p>
      <w:pPr>
        <w:ind w:left="660" w:hanging="652"/>
        <w:spacing w:after="0"/>
        <w:tabs>
          <w:tab w:leader="none" w:pos="660" w:val="left"/>
        </w:tabs>
        <w:numPr>
          <w:ilvl w:val="0"/>
          <w:numId w:val="5"/>
        </w:numPr>
        <w:rPr>
          <w:rFonts w:ascii="Arial" w:cs="Arial" w:eastAsia="Arial" w:hAnsi="Arial"/>
          <w:sz w:val="18"/>
          <w:szCs w:val="18"/>
          <w:color w:val="181818"/>
        </w:rPr>
      </w:pPr>
      <w:r>
        <w:rPr>
          <w:rFonts w:ascii="Arial" w:cs="Arial" w:eastAsia="Arial" w:hAnsi="Arial"/>
          <w:sz w:val="18"/>
          <w:szCs w:val="18"/>
          <w:color w:val="181818"/>
        </w:rPr>
        <w:t>Strengthened the patent portfolio with the issuance of Vringo’s third U.S. patent.</w:t>
      </w:r>
    </w:p>
    <w:p>
      <w:pPr>
        <w:spacing w:after="0" w:line="9" w:lineRule="exact"/>
        <w:rPr>
          <w:rFonts w:ascii="Arial" w:cs="Arial" w:eastAsia="Arial" w:hAnsi="Arial"/>
          <w:sz w:val="18"/>
          <w:szCs w:val="18"/>
          <w:color w:val="181818"/>
        </w:rPr>
      </w:pPr>
    </w:p>
    <w:p>
      <w:pPr>
        <w:ind w:left="660" w:hanging="652"/>
        <w:spacing w:after="0"/>
        <w:tabs>
          <w:tab w:leader="none" w:pos="660" w:val="left"/>
        </w:tabs>
        <w:numPr>
          <w:ilvl w:val="0"/>
          <w:numId w:val="5"/>
        </w:numPr>
        <w:rPr>
          <w:rFonts w:ascii="Arial" w:cs="Arial" w:eastAsia="Arial" w:hAnsi="Arial"/>
          <w:sz w:val="18"/>
          <w:szCs w:val="18"/>
          <w:color w:val="181818"/>
        </w:rPr>
      </w:pPr>
      <w:r>
        <w:rPr>
          <w:rFonts w:ascii="Arial" w:cs="Arial" w:eastAsia="Arial" w:hAnsi="Arial"/>
          <w:sz w:val="18"/>
          <w:szCs w:val="18"/>
          <w:color w:val="181818"/>
        </w:rPr>
        <w:t>Signed an agreement to provide applications to Nokia in South Asia.</w:t>
      </w:r>
    </w:p>
    <w:p>
      <w:pPr>
        <w:spacing w:after="0" w:line="9" w:lineRule="exact"/>
        <w:rPr>
          <w:rFonts w:ascii="Arial" w:cs="Arial" w:eastAsia="Arial" w:hAnsi="Arial"/>
          <w:sz w:val="18"/>
          <w:szCs w:val="18"/>
          <w:color w:val="181818"/>
        </w:rPr>
      </w:pPr>
    </w:p>
    <w:p>
      <w:pPr>
        <w:ind w:left="660" w:hanging="652"/>
        <w:spacing w:after="0" w:line="250" w:lineRule="auto"/>
        <w:tabs>
          <w:tab w:leader="none" w:pos="660" w:val="left"/>
        </w:tabs>
        <w:numPr>
          <w:ilvl w:val="0"/>
          <w:numId w:val="5"/>
        </w:numPr>
        <w:rPr>
          <w:rFonts w:ascii="Arial" w:cs="Arial" w:eastAsia="Arial" w:hAnsi="Arial"/>
          <w:sz w:val="18"/>
          <w:szCs w:val="18"/>
          <w:color w:val="181818"/>
        </w:rPr>
      </w:pPr>
      <w:r>
        <w:rPr>
          <w:rFonts w:ascii="Arial" w:cs="Arial" w:eastAsia="Arial" w:hAnsi="Arial"/>
          <w:sz w:val="18"/>
          <w:szCs w:val="18"/>
          <w:color w:val="181818"/>
        </w:rPr>
        <w:t>Surpassed the 400,000 download mark for Vringo’s Facetones™ product, a significant milestone as the application download behavior becomes more viral.</w:t>
      </w:r>
    </w:p>
    <w:p>
      <w:pPr>
        <w:ind w:left="660" w:hanging="652"/>
        <w:spacing w:after="0"/>
        <w:tabs>
          <w:tab w:leader="none" w:pos="660" w:val="left"/>
        </w:tabs>
        <w:numPr>
          <w:ilvl w:val="0"/>
          <w:numId w:val="5"/>
        </w:numPr>
        <w:rPr>
          <w:rFonts w:ascii="Arial" w:cs="Arial" w:eastAsia="Arial" w:hAnsi="Arial"/>
          <w:sz w:val="18"/>
          <w:szCs w:val="18"/>
          <w:color w:val="181818"/>
        </w:rPr>
      </w:pPr>
      <w:r>
        <w:rPr>
          <w:rFonts w:ascii="Arial" w:cs="Arial" w:eastAsia="Arial" w:hAnsi="Arial"/>
          <w:sz w:val="18"/>
          <w:szCs w:val="18"/>
          <w:color w:val="181818"/>
        </w:rPr>
        <w:t>Reached 340,000 paid subscribers in commercial launches.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Conference Call</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Vringo will host a conference call today, November 14, 2011, at 4:30 pm EST. During the call, management will discuss Vringo’s quarterly operating performance and financial results.</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181818"/>
        </w:rPr>
        <w:t xml:space="preserve">The conference call can be accessed by dialing 877-407-8031 when calling within the United States or 201-689-8031 when calling internationally. Please dial in 10 minutes prior to the beginning of the call. A playback of the conference call will be available until November 21, 2011. To listen to the playback, dial 877-660-6853 when calling within the United States, or 201-612-7415 when calling internationally, and use account number: 286, in conjunction with replay ID number: 382697. The conference call will be simultaneously webcast and available at: </w:t>
      </w:r>
      <w:r>
        <w:rPr>
          <w:rFonts w:ascii="Arial" w:cs="Arial" w:eastAsia="Arial" w:hAnsi="Arial"/>
          <w:sz w:val="16"/>
          <w:szCs w:val="16"/>
          <w:u w:val="single" w:color="auto"/>
          <w:color w:val="0000FF"/>
        </w:rPr>
        <w:t>www.trilogy-capital.com/autoir/vrng_autoir.html</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 xml:space="preserve">Vringo invites participants to submit questions in advance by tweeting them to the official Vringo Twitter account @vringo with the hashtag #vringoQ3 or via posts on the Vringo </w:t>
      </w:r>
      <w:r>
        <w:rPr>
          <w:rFonts w:ascii="Arial" w:cs="Arial" w:eastAsia="Arial" w:hAnsi="Arial"/>
          <w:sz w:val="18"/>
          <w:szCs w:val="18"/>
          <w:color w:val="000000"/>
        </w:rPr>
        <w:t>Facebook page at:</w:t>
      </w:r>
      <w:r>
        <w:rPr>
          <w:rFonts w:ascii="Arial" w:cs="Arial" w:eastAsia="Arial" w:hAnsi="Arial"/>
          <w:sz w:val="18"/>
          <w:szCs w:val="18"/>
          <w:color w:val="181818"/>
        </w:rPr>
        <w:t xml:space="preserve"> </w:t>
      </w:r>
      <w:r>
        <w:rPr>
          <w:rFonts w:ascii="Arial" w:cs="Arial" w:eastAsia="Arial" w:hAnsi="Arial"/>
          <w:sz w:val="18"/>
          <w:szCs w:val="18"/>
          <w:u w:val="single" w:color="auto"/>
          <w:color w:val="0000FF"/>
        </w:rPr>
        <w:t>http://www.facebook.com/VringoInc</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181818"/>
        </w:rPr>
        <w:t>About Vringo</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181818"/>
        </w:rPr>
        <w:t xml:space="preserve">Vringo (NYSE Amex: VRNG) is a provider of software platforms for mobile social and mobile video services. With its award-winning video ringtone application and other mobile software platforms - including Facetones™, Video Remix and Fan Loyalty - Vringo transforms the basic act of making and receiving mobile phone calls into a highly visual, social experience. Vringo’s video ringtone service enables users to create or take video, images and slideshows from virtually anywhere and turn it into their visual call signature. In a first for the mobile industry, Vringo has introduced its patented VringForward technology, which allows users to share video clips with friends with a simple call. Vringo’s Facetones™ product creates an automated video slideshow using friends’ photos from social media web sites, which is played each time a user makes or receives a mobile call. Vringo’s Video ReMix application, in partnership with music artists and brands, allows users to create their own music video by tapping on a Smartphone or tablet. Lastly, Fan Loyalty is a platform that lets users interact, vote and communicate with contestants in reality TV series that it partners with, as well as downloading and setting clips from such shows as video ringtones. Vringo’s video ringtone application has been heralded by The New York Times as "the next big thing in ringtones" and USA Today said it has "to be seen to be believed." For more information, visit: </w:t>
      </w:r>
      <w:r>
        <w:rPr>
          <w:rFonts w:ascii="Arial" w:cs="Arial" w:eastAsia="Arial" w:hAnsi="Arial"/>
          <w:sz w:val="17"/>
          <w:szCs w:val="17"/>
          <w:u w:val="single" w:color="auto"/>
          <w:color w:val="0000FF"/>
        </w:rPr>
        <w:t>www.vringo.com</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 xml:space="preserve">For comprehensive investor relations material, including fact sheets, white papers, conference calls and video regarding Vringo and its applications, please follow the appropriate link: </w:t>
      </w:r>
      <w:r>
        <w:rPr>
          <w:rFonts w:ascii="Arial" w:cs="Arial" w:eastAsia="Arial" w:hAnsi="Arial"/>
          <w:sz w:val="18"/>
          <w:szCs w:val="18"/>
          <w:u w:val="single" w:color="auto"/>
          <w:color w:val="0000FF"/>
        </w:rPr>
        <w:t>Investor Portal</w:t>
      </w:r>
      <w:r>
        <w:rPr>
          <w:rFonts w:ascii="Arial" w:cs="Arial" w:eastAsia="Arial" w:hAnsi="Arial"/>
          <w:sz w:val="18"/>
          <w:szCs w:val="18"/>
          <w:color w:val="181818"/>
        </w:rPr>
        <w:t xml:space="preserve">, </w:t>
      </w:r>
      <w:r>
        <w:rPr>
          <w:rFonts w:ascii="Arial" w:cs="Arial" w:eastAsia="Arial" w:hAnsi="Arial"/>
          <w:sz w:val="18"/>
          <w:szCs w:val="18"/>
          <w:u w:val="single" w:color="auto"/>
          <w:color w:val="0000FF"/>
        </w:rPr>
        <w:t>White Paper</w:t>
      </w:r>
      <w:r>
        <w:rPr>
          <w:rFonts w:ascii="Arial" w:cs="Arial" w:eastAsia="Arial" w:hAnsi="Arial"/>
          <w:sz w:val="18"/>
          <w:szCs w:val="18"/>
          <w:color w:val="181818"/>
        </w:rPr>
        <w:t xml:space="preserve">, </w:t>
      </w:r>
      <w:r>
        <w:rPr>
          <w:rFonts w:ascii="Arial" w:cs="Arial" w:eastAsia="Arial" w:hAnsi="Arial"/>
          <w:sz w:val="18"/>
          <w:szCs w:val="18"/>
          <w:u w:val="single" w:color="auto"/>
          <w:color w:val="0000FF"/>
        </w:rPr>
        <w:t>Overview Video</w:t>
      </w:r>
      <w:r>
        <w:rPr>
          <w:rFonts w:ascii="Arial" w:cs="Arial" w:eastAsia="Arial" w:hAnsi="Arial"/>
          <w:sz w:val="18"/>
          <w:szCs w:val="18"/>
          <w:color w:val="181818"/>
        </w:rPr>
        <w:t xml:space="preserve"> and </w:t>
      </w:r>
      <w:r>
        <w:rPr>
          <w:rFonts w:ascii="Arial" w:cs="Arial" w:eastAsia="Arial" w:hAnsi="Arial"/>
          <w:sz w:val="18"/>
          <w:szCs w:val="18"/>
          <w:u w:val="single" w:color="auto"/>
          <w:color w:val="0000FF"/>
        </w:rPr>
        <w:t>Facetones Video</w:t>
      </w:r>
      <w:r>
        <w:rPr>
          <w:rFonts w:ascii="Arial" w:cs="Arial" w:eastAsia="Arial" w:hAnsi="Arial"/>
          <w:sz w:val="18"/>
          <w:szCs w:val="18"/>
          <w:color w:val="181818"/>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Forward-Looking Statements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181818"/>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ability to raise capital to fund our operations, the continued listing of our securities on the NYSE Amex, market acceptance of our products, our ability to protect our intellectual property rights, competition from other providers and products and other factors discussed from time to time in our filings with the Securities and Exchange Commission. Vringo expressly disclaims any obligation to publicly update any forward-looking statements contained herein, whether as a result of new information, future events or otherwise, except as required by law.</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181818"/>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181818"/>
        </w:rPr>
        <w:t>Company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Aaron Godfrey, Director of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646-525-4319 x 2547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agodfrey@vringo.com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Skype</w:t>
      </w:r>
      <w:r>
        <w:rPr>
          <w:rFonts w:ascii="Arial" w:cs="Arial" w:eastAsia="Arial" w:hAnsi="Arial"/>
          <w:sz w:val="18"/>
          <w:szCs w:val="18"/>
          <w:color w:val="1F497D"/>
        </w:rPr>
        <w:t>:</w:t>
      </w:r>
      <w:r>
        <w:rPr>
          <w:rFonts w:ascii="Arial" w:cs="Arial" w:eastAsia="Arial" w:hAnsi="Arial"/>
          <w:sz w:val="18"/>
          <w:szCs w:val="18"/>
          <w:color w:val="181818"/>
        </w:rPr>
        <w:t xml:space="preserve"> </w:t>
      </w:r>
      <w:r>
        <w:rPr>
          <w:rFonts w:ascii="Arial" w:cs="Arial" w:eastAsia="Arial" w:hAnsi="Arial"/>
          <w:sz w:val="18"/>
          <w:szCs w:val="18"/>
          <w:u w:val="single" w:color="auto"/>
          <w:color w:val="0000FF"/>
        </w:rPr>
        <w:t>agodfrey_vringo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 xml:space="preserve">Twitter: </w:t>
      </w:r>
      <w:r>
        <w:rPr>
          <w:rFonts w:ascii="Arial" w:cs="Arial" w:eastAsia="Arial" w:hAnsi="Arial"/>
          <w:sz w:val="18"/>
          <w:szCs w:val="18"/>
          <w:u w:val="single" w:color="auto"/>
          <w:color w:val="0000FF"/>
        </w:rPr>
        <w:t>@vringo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181818"/>
        </w:rPr>
        <w:t>Financial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81818"/>
        </w:rPr>
        <w:t>Trilogy Capital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Darren Minton,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Toll-free: 800-592-6067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info@trilogy-capital.com</w:t>
      </w:r>
    </w:p>
    <w:p>
      <w:pPr>
        <w:spacing w:after="0" w:line="38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7" w:name="page8"/>
    <w:bookmarkEnd w:id="7"/>
    <w:p>
      <w:pPr>
        <w:ind w:left="4780"/>
        <w:spacing w:after="0"/>
        <w:rPr>
          <w:sz w:val="20"/>
          <w:szCs w:val="20"/>
          <w:color w:val="auto"/>
        </w:rPr>
      </w:pPr>
      <w:r>
        <w:rPr>
          <w:rFonts w:ascii="Arial" w:cs="Arial" w:eastAsia="Arial" w:hAnsi="Arial"/>
          <w:sz w:val="16"/>
          <w:szCs w:val="16"/>
          <w:b w:val="1"/>
          <w:bCs w:val="1"/>
          <w:color w:val="auto"/>
        </w:rPr>
        <w:t>Vringo, Inc. and Subsidiary</w:t>
      </w:r>
    </w:p>
    <w:p>
      <w:pPr>
        <w:spacing w:after="0" w:line="26"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(a Development Stage Company)</w:t>
      </w:r>
    </w:p>
    <w:p>
      <w:pPr>
        <w:spacing w:after="0" w:line="19"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from 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ind w:left="1060"/>
              <w:spacing w:after="0"/>
              <w:rPr>
                <w:sz w:val="20"/>
                <w:szCs w:val="20"/>
                <w:color w:val="auto"/>
              </w:rPr>
            </w:pPr>
            <w:r>
              <w:rPr>
                <w:rFonts w:ascii="Arial" w:cs="Arial" w:eastAsia="Arial" w:hAnsi="Arial"/>
                <w:sz w:val="18"/>
                <w:szCs w:val="18"/>
                <w:b w:val="1"/>
                <w:bCs w:val="1"/>
                <w:color w:val="auto"/>
              </w:rPr>
              <w:t>Nine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92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88"/>
              </w:rPr>
              <w:t>Three months ended September 30,</w:t>
            </w:r>
          </w:p>
        </w:tc>
        <w:tc>
          <w:tcPr>
            <w:tcW w:w="270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2"/>
              </w:rPr>
              <w:t>months ended September 30,</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U.S.$</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Revenue</w:t>
            </w:r>
          </w:p>
        </w:tc>
        <w:tc>
          <w:tcPr>
            <w:tcW w:w="14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182</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556</w:t>
            </w:r>
          </w:p>
        </w:tc>
        <w:tc>
          <w:tcPr>
            <w:tcW w:w="22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540" w:type="dxa"/>
            <w:vAlign w:val="bottom"/>
            <w:tcBorders>
              <w:top w:val="single" w:sz="8" w:color="CCFFCC"/>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Costs and Expenses*</w:t>
            </w:r>
          </w:p>
        </w:tc>
        <w:tc>
          <w:tcPr>
            <w:tcW w:w="12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Cost of revenue</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105</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14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480</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668</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1,459</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1,848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Marketing</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463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517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1,769</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General and administrative</w:t>
            </w:r>
          </w:p>
        </w:tc>
        <w:tc>
          <w:tcPr>
            <w:tcW w:w="14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721</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478</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2,076</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1,192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shd w:val="clear" w:color="auto" w:fill="CCFFC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1,699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1, 727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5,409</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31,484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loss</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(1,517)</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(1, 673)</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(4,853)</w:t>
            </w:r>
          </w:p>
        </w:tc>
        <w:tc>
          <w:tcPr>
            <w:tcW w:w="22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(4,667)</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(30,697)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540" w:type="dxa"/>
            <w:vAlign w:val="bottom"/>
            <w:tcBorders>
              <w:top w:val="single" w:sz="8" w:color="CCFFCC"/>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Non-operating income</w:t>
            </w:r>
          </w:p>
        </w:tc>
        <w:tc>
          <w:tcPr>
            <w:tcW w:w="14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4</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Non-operating expenses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Interest and amortization of debt discount expense</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(40)</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(155)</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(267)</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(4,164)</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Gain (loss) on revaluation of warrants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(431)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(966)</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(386)</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(518)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Gain on restructuring of venture loan</w:t>
            </w:r>
          </w:p>
        </w:tc>
        <w:tc>
          <w:tcPr>
            <w:tcW w:w="14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963</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540" w:type="dxa"/>
            <w:vAlign w:val="bottom"/>
            <w:shd w:val="clear" w:color="auto" w:fill="CCFFCC"/>
          </w:tcPr>
          <w:p>
            <w:pPr>
              <w:spacing w:after="0"/>
              <w:rPr>
                <w:sz w:val="12"/>
                <w:szCs w:val="12"/>
                <w:color w:val="auto"/>
              </w:rPr>
            </w:pPr>
          </w:p>
        </w:tc>
        <w:tc>
          <w:tcPr>
            <w:tcW w:w="122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20" w:type="dxa"/>
            <w:vAlign w:val="bottom"/>
            <w:tcBorders>
              <w:top w:val="single" w:sz="8" w:color="auto"/>
            </w:tcBorders>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Loss before taxes on income</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(2,818)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(4,579)</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(9,389)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(34,617)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color w:val="auto"/>
              </w:rPr>
              <w:t>Income tax expense</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(40)</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(84)</w:t>
            </w:r>
          </w:p>
        </w:tc>
        <w:tc>
          <w:tcPr>
            <w:tcW w:w="22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540" w:type="dxa"/>
            <w:vAlign w:val="bottom"/>
            <w:tcBorders>
              <w:top w:val="single" w:sz="8" w:color="CCFFCC"/>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loss</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(2,050)</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(2,832)</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(4,663)</w:t>
            </w:r>
          </w:p>
        </w:tc>
        <w:tc>
          <w:tcPr>
            <w:tcW w:w="22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(9,441)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(34,730)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(0.32)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(0.51)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(0.78)</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4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40" w:type="dxa"/>
            <w:vAlign w:val="bottom"/>
          </w:tcPr>
          <w:p>
            <w:pPr>
              <w:spacing w:after="0" w:line="201" w:lineRule="exact"/>
              <w:rPr>
                <w:sz w:val="20"/>
                <w:szCs w:val="20"/>
                <w:color w:val="auto"/>
              </w:rPr>
            </w:pPr>
            <w:r>
              <w:rPr>
                <w:rFonts w:ascii="Arial" w:cs="Arial" w:eastAsia="Arial" w:hAnsi="Arial"/>
                <w:sz w:val="18"/>
                <w:szCs w:val="18"/>
                <w:color w:val="auto"/>
                <w:w w:val="92"/>
              </w:rPr>
              <w:t>Weighted average number of shares used in computing basic</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and dilutive net loss per common share</w:t>
            </w:r>
          </w:p>
        </w:tc>
        <w:tc>
          <w:tcPr>
            <w:tcW w:w="1220" w:type="dxa"/>
            <w:vAlign w:val="bottom"/>
          </w:tcPr>
          <w:p>
            <w:pPr>
              <w:jc w:val="right"/>
              <w:spacing w:after="0"/>
              <w:rPr>
                <w:sz w:val="20"/>
                <w:szCs w:val="20"/>
                <w:color w:val="auto"/>
              </w:rPr>
            </w:pPr>
            <w:r>
              <w:rPr>
                <w:rFonts w:ascii="Arial" w:cs="Arial" w:eastAsia="Arial" w:hAnsi="Arial"/>
                <w:sz w:val="18"/>
                <w:szCs w:val="18"/>
                <w:color w:val="auto"/>
              </w:rPr>
              <w:t>6,362,046</w:t>
            </w: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5,574,992</w:t>
            </w:r>
          </w:p>
        </w:tc>
        <w:tc>
          <w:tcPr>
            <w:tcW w:w="1140" w:type="dxa"/>
            <w:vAlign w:val="bottom"/>
          </w:tcPr>
          <w:p>
            <w:pPr>
              <w:jc w:val="right"/>
              <w:spacing w:after="0"/>
              <w:rPr>
                <w:sz w:val="20"/>
                <w:szCs w:val="20"/>
                <w:color w:val="auto"/>
              </w:rPr>
            </w:pPr>
            <w:r>
              <w:rPr>
                <w:rFonts w:ascii="Arial" w:cs="Arial" w:eastAsia="Arial" w:hAnsi="Arial"/>
                <w:sz w:val="18"/>
                <w:szCs w:val="18"/>
                <w:color w:val="auto"/>
              </w:rPr>
              <w:t>5,969,225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2,276,447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1,374,461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60" w:right="260" w:hanging="352"/>
        <w:spacing w:after="0" w:line="293" w:lineRule="auto"/>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amount recorded for the three and nine months ending September 30, 2011 and 2010 and the cumulative period from inception include $49, $211, $154, $325 and $1,262, respectively, to related parties.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Vringo, Inc. and Subsidiary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Development Stage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1160" w:type="dxa"/>
            <w:vAlign w:val="bottom"/>
            <w:tcBorders>
              <w:right w:val="single" w:sz="8" w:color="CCFFCC"/>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1,713</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color w:val="auto"/>
              </w:rPr>
              <w:t>Short-term deposit (restricted)</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Accounts receivable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279</w:t>
            </w: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Prepaid expenses and other current assets</w:t>
            </w:r>
          </w:p>
        </w:tc>
        <w:tc>
          <w:tcPr>
            <w:tcW w:w="116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92</w:t>
            </w:r>
          </w:p>
        </w:tc>
        <w:tc>
          <w:tcPr>
            <w:tcW w:w="20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current assets</w:t>
            </w:r>
          </w:p>
        </w:tc>
        <w:tc>
          <w:tcPr>
            <w:tcW w:w="116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2,084</w:t>
            </w:r>
          </w:p>
        </w:tc>
        <w:tc>
          <w:tcPr>
            <w:tcW w:w="20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5,675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Long-term deposit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FFCC"/>
          </w:tcPr>
          <w:p>
            <w:pPr>
              <w:spacing w:after="0"/>
              <w:rPr>
                <w:sz w:val="2"/>
                <w:szCs w:val="2"/>
                <w:color w:val="auto"/>
              </w:rPr>
            </w:pPr>
          </w:p>
        </w:tc>
        <w:tc>
          <w:tcPr>
            <w:tcW w:w="1160" w:type="dxa"/>
            <w:vAlign w:val="bottom"/>
            <w:tcBorders>
              <w:right w:val="single" w:sz="8" w:color="CCFFCC"/>
            </w:tcBorders>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0" w:type="dxa"/>
            <w:vAlign w:val="bottom"/>
          </w:tcPr>
          <w:p>
            <w:pPr>
              <w:spacing w:after="0" w:line="201" w:lineRule="exact"/>
              <w:rPr>
                <w:sz w:val="20"/>
                <w:szCs w:val="20"/>
                <w:color w:val="auto"/>
              </w:rPr>
            </w:pPr>
            <w:r>
              <w:rPr>
                <w:rFonts w:ascii="Arial" w:cs="Arial" w:eastAsia="Arial" w:hAnsi="Arial"/>
                <w:sz w:val="18"/>
                <w:szCs w:val="18"/>
                <w:b w:val="1"/>
                <w:bCs w:val="1"/>
                <w:color w:val="auto"/>
                <w:w w:val="93"/>
              </w:rPr>
              <w:t>Property and equipment</w:t>
            </w:r>
            <w:r>
              <w:rPr>
                <w:rFonts w:ascii="Arial" w:cs="Arial" w:eastAsia="Arial" w:hAnsi="Arial"/>
                <w:sz w:val="18"/>
                <w:szCs w:val="18"/>
                <w:color w:val="auto"/>
                <w:w w:val="93"/>
              </w:rPr>
              <w:t>, at cost, net of $449 and $393 accumulated depreciation and amortization, as of September</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154</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color w:val="auto"/>
              </w:rPr>
              <w:t>30, 2011 and December 31, 2010, respectively</w:t>
            </w:r>
          </w:p>
        </w:tc>
        <w:tc>
          <w:tcPr>
            <w:tcW w:w="1360" w:type="dxa"/>
            <w:vAlign w:val="bottom"/>
            <w:gridSpan w:val="2"/>
            <w:vMerge w:val="continue"/>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Deferred tax assets—long-term</w:t>
            </w:r>
          </w:p>
        </w:tc>
        <w:tc>
          <w:tcPr>
            <w:tcW w:w="1160" w:type="dxa"/>
            <w:vAlign w:val="bottom"/>
            <w:tcBorders>
              <w:top w:val="single" w:sz="8" w:color="auto"/>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26</w:t>
            </w:r>
          </w:p>
        </w:tc>
        <w:tc>
          <w:tcPr>
            <w:tcW w:w="20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2,272</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8820" w:type="dxa"/>
            <w:vAlign w:val="bottom"/>
            <w:gridSpan w:val="2"/>
          </w:tcPr>
          <w:p>
            <w:pPr>
              <w:jc w:val="right"/>
              <w:ind w:right="2970"/>
              <w:spacing w:after="0"/>
              <w:rPr>
                <w:sz w:val="20"/>
                <w:szCs w:val="20"/>
                <w:color w:val="auto"/>
              </w:rPr>
            </w:pPr>
            <w:r>
              <w:rPr>
                <w:rFonts w:ascii="Arial" w:cs="Arial" w:eastAsia="Arial" w:hAnsi="Arial"/>
                <w:sz w:val="18"/>
                <w:szCs w:val="18"/>
                <w:color w:val="auto"/>
              </w:rPr>
              <w:t>6</w:t>
            </w:r>
          </w:p>
        </w:tc>
        <w:tc>
          <w:tcPr>
            <w:tcW w:w="1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Vringo, Inc. and Subsidiary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Development Stage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Note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U.S.$</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5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Deferred short-term tax liabilities, net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and accrued expenses*</w:t>
            </w:r>
          </w:p>
        </w:tc>
        <w:tc>
          <w:tcPr>
            <w:tcW w:w="5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567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Accrued employee compensation</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Convertible notes</w:t>
            </w:r>
          </w:p>
        </w:tc>
        <w:tc>
          <w:tcPr>
            <w:tcW w:w="5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2,447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Accrued short-term severance pay</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Current maturities of venture loan</w:t>
            </w:r>
          </w:p>
        </w:tc>
        <w:tc>
          <w:tcPr>
            <w:tcW w:w="5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shd w:val="clear" w:color="auto" w:fill="CCFFCC"/>
          </w:tcPr>
          <w:p>
            <w:pPr>
              <w:spacing w:after="0"/>
              <w:rPr>
                <w:sz w:val="2"/>
                <w:szCs w:val="2"/>
                <w:color w:val="auto"/>
              </w:rPr>
            </w:pPr>
          </w:p>
        </w:tc>
        <w:tc>
          <w:tcPr>
            <w:tcW w:w="5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Long-term liabilities</w:t>
            </w:r>
          </w:p>
        </w:tc>
        <w:tc>
          <w:tcPr>
            <w:tcW w:w="5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Accrued severance pay</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Venture loan</w:t>
            </w:r>
          </w:p>
        </w:tc>
        <w:tc>
          <w:tcPr>
            <w:tcW w:w="5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Derivative liabilities on account of warrants</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long-term liabilities</w:t>
            </w:r>
          </w:p>
        </w:tc>
        <w:tc>
          <w:tcPr>
            <w:tcW w:w="5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2,326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Commitments and contingencies</w:t>
            </w:r>
          </w:p>
        </w:tc>
        <w:tc>
          <w:tcPr>
            <w:tcW w:w="580" w:type="dxa"/>
            <w:vAlign w:val="bottom"/>
            <w:tcBorders>
              <w:top w:val="single" w:sz="8" w:color="CCFFCC"/>
            </w:tcBorders>
          </w:tcPr>
          <w:p>
            <w:pPr>
              <w:jc w:val="center"/>
              <w:spacing w:after="0"/>
              <w:rPr>
                <w:sz w:val="20"/>
                <w:szCs w:val="20"/>
                <w:color w:val="auto"/>
              </w:rPr>
            </w:pPr>
            <w:r>
              <w:rPr>
                <w:rFonts w:ascii="Arial" w:cs="Arial" w:eastAsia="Arial" w:hAnsi="Arial"/>
                <w:sz w:val="18"/>
                <w:szCs w:val="18"/>
                <w:color w:val="auto"/>
                <w:w w:val="99"/>
              </w:rPr>
              <w:t>7</w:t>
            </w: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Deficit in stockholders' equity</w:t>
            </w:r>
          </w:p>
        </w:tc>
        <w:tc>
          <w:tcPr>
            <w:tcW w:w="5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6</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tcPr>
          <w:p>
            <w:pPr>
              <w:spacing w:after="0" w:line="201" w:lineRule="exact"/>
              <w:rPr>
                <w:sz w:val="20"/>
                <w:szCs w:val="20"/>
                <w:color w:val="auto"/>
              </w:rPr>
            </w:pPr>
            <w:r>
              <w:rPr>
                <w:rFonts w:ascii="Arial" w:cs="Arial" w:eastAsia="Arial" w:hAnsi="Arial"/>
                <w:sz w:val="18"/>
                <w:szCs w:val="18"/>
                <w:color w:val="auto"/>
                <w:w w:val="99"/>
              </w:rPr>
              <w:t>Preferred stock, $0.01 par value per share; 5,000,000 authorized; none issued and outstanding as of</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September 30, 2011 and December 31, 2010</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7"/>
              </w:rPr>
              <w:t>Common stock, $0.01 par value per share 28,000,000 authorized; 6,163,196 and 5,405,080 issued and</w:t>
            </w:r>
          </w:p>
        </w:tc>
        <w:tc>
          <w:tcPr>
            <w:tcW w:w="5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62</w:t>
            </w: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outstanding as of September 30, 2011 and December 31, 2010 respectively</w:t>
            </w:r>
          </w:p>
        </w:tc>
        <w:tc>
          <w:tcPr>
            <w:tcW w:w="5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gridSpan w:val="2"/>
            <w:vMerge w:val="continue"/>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31,275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color w:val="auto"/>
              </w:rPr>
              <w:t>Deficit accumulated during the development stage</w:t>
            </w:r>
          </w:p>
        </w:tc>
        <w:tc>
          <w:tcPr>
            <w:tcW w:w="5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(34,730)</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(30,067)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shd w:val="clear" w:color="auto" w:fill="CCFFCC"/>
          </w:tcPr>
          <w:p>
            <w:pPr>
              <w:spacing w:after="0"/>
              <w:rPr>
                <w:sz w:val="2"/>
                <w:szCs w:val="2"/>
                <w:color w:val="auto"/>
              </w:rPr>
            </w:pPr>
          </w:p>
        </w:tc>
        <w:tc>
          <w:tcPr>
            <w:tcW w:w="5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b w:val="1"/>
                <w:bCs w:val="1"/>
                <w:color w:val="auto"/>
              </w:rPr>
              <w:t>Total deficit in stockholders' equity</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(3,393)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 and deficit in stockholders' equity</w:t>
            </w:r>
          </w:p>
        </w:tc>
        <w:tc>
          <w:tcPr>
            <w:tcW w:w="5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2,272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Amounts recorded as of September 30, 2011 and December 31, 2010, include $2 and $20 to a related party, respectively.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8"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4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2019-12-11T06:35:10Z</dcterms:created>
  <dcterms:modified xsi:type="dcterms:W3CDTF">2019-12-11T06:35:10Z</dcterms:modified>
</cp:coreProperties>
</file>