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7, 2025</w:t>
      </w:r>
    </w:p>
    <w:p>
      <w:pPr>
        <w:spacing w:after="0" w:line="2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1374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XWELL,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99" w:lineRule="exact"/>
        <w:rPr>
          <w:sz w:val="24"/>
          <w:szCs w:val="24"/>
          <w:color w:val="auto"/>
        </w:rPr>
      </w:pPr>
    </w:p>
    <w:tbl>
      <w:tblPr>
        <w:tblLayout w:type="fixed"/>
        <w:tblInd w:w="1620" w:type="dxa"/>
        <w:tblCellMar>
          <w:top w:w="0" w:type="dxa"/>
          <w:left w:w="0" w:type="dxa"/>
          <w:bottom w:w="0" w:type="dxa"/>
          <w:right w:w="0" w:type="dxa"/>
        </w:tblCellMar>
      </w:tblPr>
      <w:tr>
        <w:trPr>
          <w:trHeight w:val="208"/>
        </w:trPr>
        <w:tc>
          <w:tcPr>
            <w:tcW w:w="4220" w:type="dxa"/>
            <w:vAlign w:val="bottom"/>
          </w:tcPr>
          <w:p>
            <w:pPr>
              <w:jc w:val="center"/>
              <w:ind w:right="187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320" w:type="dxa"/>
            <w:vAlign w:val="bottom"/>
          </w:tcPr>
          <w:p>
            <w:pPr>
              <w:jc w:val="center"/>
              <w:ind w:left="1873"/>
              <w:spacing w:after="0"/>
              <w:rPr>
                <w:sz w:val="20"/>
                <w:szCs w:val="20"/>
                <w:color w:val="auto"/>
              </w:rPr>
            </w:pPr>
            <w:r>
              <w:rPr>
                <w:rFonts w:ascii="Times New Roman" w:cs="Times New Roman" w:eastAsia="Times New Roman" w:hAnsi="Times New Roman"/>
                <w:sz w:val="17"/>
                <w:szCs w:val="17"/>
                <w:b w:val="1"/>
                <w:bCs w:val="1"/>
                <w:color w:val="auto"/>
              </w:rPr>
              <w:t>20-4988129</w:t>
            </w:r>
          </w:p>
        </w:tc>
      </w:tr>
      <w:tr>
        <w:trPr>
          <w:trHeight w:val="208"/>
        </w:trPr>
        <w:tc>
          <w:tcPr>
            <w:tcW w:w="4220" w:type="dxa"/>
            <w:vAlign w:val="bottom"/>
          </w:tcPr>
          <w:p>
            <w:pPr>
              <w:jc w:val="center"/>
              <w:ind w:right="1853"/>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320" w:type="dxa"/>
            <w:vAlign w:val="bottom"/>
          </w:tcPr>
          <w:p>
            <w:pPr>
              <w:jc w:val="center"/>
              <w:ind w:left="1893"/>
              <w:spacing w:after="0"/>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9"/>
        </w:trPr>
        <w:tc>
          <w:tcPr>
            <w:tcW w:w="4220" w:type="dxa"/>
            <w:vAlign w:val="bottom"/>
          </w:tcPr>
          <w:p>
            <w:pPr>
              <w:jc w:val="center"/>
              <w:ind w:right="1873"/>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320" w:type="dxa"/>
            <w:vAlign w:val="bottom"/>
          </w:tcPr>
          <w:p>
            <w:pPr>
              <w:jc w:val="center"/>
              <w:ind w:left="1873"/>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254 West 31st Street, 11th Floor</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750-9595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Ezra T. Ernst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XWELL, Inc.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254 West 31st Street, 11th Floor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750-9595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Rick A. Werner, Esq.</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Alla Digilova, Esq.</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Haynes and Boone, LLP</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 Rockefeller Plaza, 26th Floor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10112</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659-7300</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 Registration Statement.</w:t>
      </w:r>
    </w:p>
    <w:p>
      <w:pPr>
        <w:spacing w:after="0" w:line="18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5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6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1740"/>
              <w:spacing w:after="0" w:line="171" w:lineRule="exact"/>
              <w:rPr>
                <w:sz w:val="20"/>
                <w:szCs w:val="20"/>
                <w:color w:val="auto"/>
              </w:rPr>
            </w:pPr>
            <w:r>
              <w:rPr>
                <w:rFonts w:ascii="MS PGothic" w:cs="MS PGothic" w:eastAsia="MS PGothic" w:hAnsi="MS PGothic"/>
                <w:sz w:val="17"/>
                <w:szCs w:val="17"/>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Accelerated filer</w:t>
            </w:r>
          </w:p>
        </w:tc>
        <w:tc>
          <w:tcPr>
            <w:tcW w:w="19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8"/>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1740"/>
              <w:spacing w:after="0" w:line="171" w:lineRule="exact"/>
              <w:rPr>
                <w:sz w:val="20"/>
                <w:szCs w:val="20"/>
                <w:color w:val="auto"/>
              </w:rPr>
            </w:pPr>
            <w:r>
              <w:rPr>
                <w:rFonts w:ascii="MS PGothic" w:cs="MS PGothic" w:eastAsia="MS PGothic" w:hAnsi="MS PGothic"/>
                <w:sz w:val="17"/>
                <w:szCs w:val="17"/>
                <w:color w:val="auto"/>
              </w:rPr>
              <w:t>☒</w:t>
            </w:r>
          </w:p>
        </w:tc>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9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3"/>
        </w:trPr>
        <w:tc>
          <w:tcPr>
            <w:tcW w:w="3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19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w:t>
      </w:r>
    </w:p>
    <w:p>
      <w:pPr>
        <w:sectPr>
          <w:pgSz w:w="11900" w:h="16838" w:orient="portrait"/>
          <w:cols w:equalWidth="0" w:num="1">
            <w:col w:w="11240"/>
          </w:cols>
          <w:pgMar w:left="320" w:top="457" w:right="339" w:bottom="0" w:gutter="0" w:footer="0" w:header="0"/>
        </w:sectPr>
      </w:pPr>
    </w:p>
    <w:bookmarkStart w:id="1" w:name="page2"/>
    <w:bookmarkEnd w:id="1"/>
    <w:p>
      <w:pPr>
        <w:spacing w:after="0" w:line="296" w:lineRule="auto"/>
        <w:rPr>
          <w:sz w:val="20"/>
          <w:szCs w:val="20"/>
          <w:color w:val="auto"/>
        </w:rPr>
      </w:pPr>
      <w:r>
        <w:rPr>
          <w:rFonts w:ascii="Times New Roman" w:cs="Times New Roman" w:eastAsia="Times New Roman" w:hAnsi="Times New Roman"/>
          <w:sz w:val="17"/>
          <w:szCs w:val="17"/>
          <w:b w:val="1"/>
          <w:bCs w:val="1"/>
          <w:color w:val="auto"/>
        </w:rPr>
        <w:t>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161290</wp:posOffset>
            </wp:positionV>
            <wp:extent cx="713740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713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both"/>
        <w:spacing w:after="0" w:line="275" w:lineRule="auto"/>
        <w:rPr>
          <w:sz w:val="20"/>
          <w:szCs w:val="20"/>
          <w:color w:val="auto"/>
        </w:rPr>
      </w:pPr>
      <w:r>
        <w:rPr>
          <w:rFonts w:ascii="Times New Roman" w:cs="Times New Roman" w:eastAsia="Times New Roman" w:hAnsi="Times New Roman"/>
          <w:sz w:val="17"/>
          <w:szCs w:val="17"/>
          <w:b w:val="1"/>
          <w:bCs w:val="1"/>
          <w:color w:val="FF4338"/>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4338"/>
        </w:rPr>
        <w:t>Subject to Completion, dated February 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XWELL,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1,051,677 Shares of Common Stock</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prospectus relates to the resale by the selling stockholders named in this prospectus from time to time of up to an aggregate of 1,051,677 shares of our common stock, par value $0.01 per share (the “Common Stock”), issuable upon (i) the conversion of shares of our newly designated Series G convertible preferred stock (the “Preferred Shares”), and (ii) exercise of certain warrants (the “Warrants”). The Preferred Shares were acquired by the applicable selling stockholders under the Securities Purchase Agreement (the “Purchase Agreement”), dated January 14, 2025, by and among the Company and the investors party thereto (the “Investors”). The Warrants were acquired by the selling stockholders under the Purchase Agreement. The shares of Common Stock issuable upon the conversion of the Preferred Shares are herein referred to as “Conversion Shares,” and the shares of Common Stock issuable upon the exercise of the Warrants are herein referred to as “Warrant Shares.”</w:t>
      </w:r>
    </w:p>
    <w:p>
      <w:pPr>
        <w:spacing w:after="0" w:line="1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Conversion Shares and the Warrant Shares were issued in reliance upon the exemption from the registration requirements in Section 4(a)(2) of the Securities Act of 1933, as amended (the “Securities Act”) and Regulation D promulgated thereunder.</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are registering the resale of the Conversion Shares and Warrant Shares covered by this prospectus as required by (i) the Registration Rights Agreement, dated January 14, 2025, by and among the Company and the Investors (the “Registration Rights Agreement”). The selling stockholders will receive all of the proceeds from any sales of the shares offered hereby. We will not receive any of the proceeds, but we will incur expenses in connection with the offering. To the extent the Warrants are exercised for cash, if at all, we will receive the exercise price of the Warrants. We intend to use those proceeds, if any,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535305</wp:posOffset>
            </wp:positionV>
            <wp:extent cx="713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 w:name="page4"/>
    <w:bookmarkEnd w:id="3"/>
    <w:p>
      <w:pPr>
        <w:jc w:val="both"/>
        <w:spacing w:after="0" w:line="265" w:lineRule="auto"/>
        <w:rPr>
          <w:sz w:val="20"/>
          <w:szCs w:val="20"/>
          <w:color w:val="auto"/>
        </w:rPr>
      </w:pPr>
      <w:r>
        <w:rPr>
          <w:rFonts w:ascii="Times New Roman" w:cs="Times New Roman" w:eastAsia="Times New Roman" w:hAnsi="Times New Roman"/>
          <w:sz w:val="17"/>
          <w:szCs w:val="17"/>
          <w:color w:val="auto"/>
        </w:rPr>
        <w:t>Our registration of the shares of Common Stock covered by this prospectus does not mean that the selling stockholders will offer or sell any of such shares of Common Stock. The selling stockholders named in this prospectus, or their donees, pledgees, transferees or other successors-in-interest, may resell the shares of Common Stock covered by this prospectus through public or private transactions at prevailing market prices, at prices related to prevailing market prices or at privately negotiated prices. For additional information on the possible methods of sale that may be used by the selling stockholders, you should refer to the section of this prospectus entitled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Any shares of Common Stock subject to resale hereunder will have been issued by us and acquired by the selling stockholders prior to any resale of such shares pursuant to this prospectus.</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 underwriter or other person has been engaged to facilitate the sale of the Common Stock in this offering. We will bear all costs, expenses and fees in connection with the registration of the Common Stock. The selling stockholders will bear all commissions and discounts, if any, attributable to their respective sales of the Common Stock.</w:t>
      </w:r>
    </w:p>
    <w:p>
      <w:pPr>
        <w:spacing w:after="0" w:line="16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“XWEL.” On February 6, 2025, the last reported sales price for our Common Stock was $ 1.23 per share.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color w:val="auto"/>
        </w:rPr>
        <w:t>Investment in our Common Stock involves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contained in this prospectus, in our periodic reports filed from time to time with the Securities and Exchange Commission, which are incorporated by reference in this prospectus and in any applicable prospectus supplement. You should carefully read this prospectus and the accompanying prospectus supplement, together with the documents we incorporate by reference, before you invest in our Common Stock.</w:t>
      </w:r>
    </w:p>
    <w:p>
      <w:pPr>
        <w:spacing w:after="0" w:line="1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433070</wp:posOffset>
            </wp:positionV>
            <wp:extent cx="7137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00" w:type="dxa"/>
            <w:vAlign w:val="bottom"/>
            <w:gridSpan w:val="3"/>
          </w:tcPr>
          <w:p>
            <w:pPr>
              <w:ind w:left="10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140" w:type="dxa"/>
            <w:vAlign w:val="bottom"/>
            <w:tcBorders>
              <w:right w:val="single" w:sz="8" w:color="CCEEFF"/>
            </w:tcBorders>
            <w:gridSpan w:val="6"/>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w w:val="99"/>
              </w:rPr>
              <w:t>ABOUT THIS PROSPECTUS</w:t>
            </w:r>
          </w:p>
        </w:tc>
        <w:tc>
          <w:tcPr>
            <w:tcW w:w="8920" w:type="dxa"/>
            <w:vAlign w:val="bottom"/>
            <w:gridSpan w:val="4"/>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0000EE"/>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00" w:type="dxa"/>
            <w:vAlign w:val="bottom"/>
            <w:tcBorders>
              <w:right w:val="single" w:sz="8" w:color="0000EE"/>
            </w:tcBorders>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5"/>
          </w:tcPr>
          <w:p>
            <w:pPr>
              <w:spacing w:after="0" w:line="169" w:lineRule="exact"/>
              <w:rPr>
                <w:sz w:val="20"/>
                <w:szCs w:val="20"/>
                <w:color w:val="auto"/>
              </w:rPr>
            </w:pPr>
            <w:r>
              <w:rPr>
                <w:rFonts w:ascii="Times New Roman" w:cs="Times New Roman" w:eastAsia="Times New Roman" w:hAnsi="Times New Roman"/>
                <w:sz w:val="17"/>
                <w:szCs w:val="17"/>
                <w:color w:val="0000EE"/>
                <w:w w:val="99"/>
              </w:rPr>
              <w:t>PROSPECTUS SUMMARY</w:t>
            </w:r>
          </w:p>
        </w:tc>
        <w:tc>
          <w:tcPr>
            <w:tcW w:w="140" w:type="dxa"/>
            <w:vAlign w:val="bottom"/>
          </w:tcPr>
          <w:p>
            <w:pPr>
              <w:spacing w:after="0"/>
              <w:rPr>
                <w:sz w:val="14"/>
                <w:szCs w:val="14"/>
                <w:color w:val="auto"/>
              </w:rPr>
            </w:pPr>
          </w:p>
        </w:tc>
        <w:tc>
          <w:tcPr>
            <w:tcW w:w="8920" w:type="dxa"/>
            <w:vAlign w:val="bottom"/>
            <w:gridSpan w:val="4"/>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7"/>
                <w:szCs w:val="17"/>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w w:val="94"/>
              </w:rPr>
              <w:t>THE OFFERING</w:t>
            </w:r>
          </w:p>
        </w:tc>
        <w:tc>
          <w:tcPr>
            <w:tcW w:w="820" w:type="dxa"/>
            <w:vAlign w:val="bottom"/>
            <w:tcBorders>
              <w:left w:val="single" w:sz="8" w:color="CCEEFF"/>
              <w:right w:val="single" w:sz="8" w:color="CCEEFF"/>
            </w:tcBorders>
            <w:gridSpan w:val="3"/>
            <w:shd w:val="clear" w:color="auto" w:fill="CCEEFF"/>
          </w:tcPr>
          <w:p>
            <w:pPr>
              <w:spacing w:after="0"/>
              <w:rPr>
                <w:sz w:val="16"/>
                <w:szCs w:val="16"/>
                <w:color w:val="auto"/>
              </w:rPr>
            </w:pPr>
          </w:p>
        </w:tc>
        <w:tc>
          <w:tcPr>
            <w:tcW w:w="9060" w:type="dxa"/>
            <w:vAlign w:val="bottom"/>
            <w:gridSpan w:val="5"/>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00" w:type="dxa"/>
            <w:vAlign w:val="bottom"/>
            <w:tcBorders>
              <w:left w:val="single" w:sz="8" w:color="0000EE"/>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gridSpan w:val="2"/>
          </w:tcPr>
          <w:p>
            <w:pPr>
              <w:spacing w:after="0" w:line="169" w:lineRule="exact"/>
              <w:rPr>
                <w:sz w:val="20"/>
                <w:szCs w:val="20"/>
                <w:color w:val="auto"/>
              </w:rPr>
            </w:pPr>
            <w:r>
              <w:rPr>
                <w:rFonts w:ascii="Times New Roman" w:cs="Times New Roman" w:eastAsia="Times New Roman" w:hAnsi="Times New Roman"/>
                <w:sz w:val="17"/>
                <w:szCs w:val="17"/>
                <w:color w:val="0000EE"/>
                <w:w w:val="95"/>
              </w:rPr>
              <w:t>RISK FACTORS</w:t>
            </w:r>
          </w:p>
        </w:tc>
        <w:tc>
          <w:tcPr>
            <w:tcW w:w="9880" w:type="dxa"/>
            <w:vAlign w:val="bottom"/>
            <w:gridSpan w:val="8"/>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7"/>
                <w:szCs w:val="17"/>
                <w:color w:val="0000EE"/>
                <w:w w:val="82"/>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1060" w:type="dxa"/>
            <w:vAlign w:val="bottom"/>
            <w:gridSpan w:val="10"/>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16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0000EE"/>
                <w:w w:val="82"/>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20" w:type="dxa"/>
            <w:vAlign w:val="bottom"/>
            <w:tcBorders>
              <w:top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7"/>
                <w:szCs w:val="17"/>
                <w:color w:val="0000EE"/>
              </w:rPr>
              <w:t>USE OF PROCEEDS</w:t>
            </w:r>
          </w:p>
        </w:tc>
        <w:tc>
          <w:tcPr>
            <w:tcW w:w="5940" w:type="dxa"/>
            <w:vAlign w:val="bottom"/>
            <w:tcBorders>
              <w:top w:val="single" w:sz="8" w:color="CCEEFF"/>
            </w:tcBorders>
          </w:tcPr>
          <w:p>
            <w:pPr>
              <w:spacing w:after="0"/>
              <w:rPr>
                <w:sz w:val="14"/>
                <w:szCs w:val="14"/>
                <w:color w:val="auto"/>
              </w:rPr>
            </w:pPr>
          </w:p>
        </w:tc>
        <w:tc>
          <w:tcPr>
            <w:tcW w:w="160" w:type="dxa"/>
            <w:vAlign w:val="bottom"/>
            <w:tcBorders>
              <w:top w:val="single" w:sz="8" w:color="0000EE"/>
            </w:tcBorders>
            <w:gridSpan w:val="2"/>
          </w:tcPr>
          <w:p>
            <w:pPr>
              <w:jc w:val="right"/>
              <w:spacing w:after="0" w:line="169" w:lineRule="exact"/>
              <w:rPr>
                <w:sz w:val="20"/>
                <w:szCs w:val="20"/>
                <w:color w:val="auto"/>
              </w:rPr>
            </w:pPr>
            <w:r>
              <w:rPr>
                <w:rFonts w:ascii="Times New Roman" w:cs="Times New Roman" w:eastAsia="Times New Roman" w:hAnsi="Times New Roman"/>
                <w:sz w:val="17"/>
                <w:szCs w:val="17"/>
                <w:color w:val="0000EE"/>
                <w:w w:val="82"/>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140" w:type="dxa"/>
            <w:vAlign w:val="bottom"/>
            <w:tcBorders>
              <w:bottom w:val="single" w:sz="8" w:color="0000EE"/>
              <w:right w:val="single" w:sz="8" w:color="CCEEFF"/>
            </w:tcBorders>
            <w:gridSpan w:val="6"/>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SELLING STOCKHOLDERS</w:t>
            </w:r>
          </w:p>
        </w:tc>
        <w:tc>
          <w:tcPr>
            <w:tcW w:w="8920" w:type="dxa"/>
            <w:vAlign w:val="bottom"/>
            <w:tcBorders>
              <w:bottom w:val="single" w:sz="8" w:color="CCEEFF"/>
            </w:tcBorders>
            <w:gridSpan w:val="4"/>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0000EE"/>
                <w:w w:val="82"/>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tcBorders>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7"/>
                <w:szCs w:val="17"/>
                <w:color w:val="0000EE"/>
              </w:rPr>
              <w:t>PLAN OF DISTRIBUTION</w:t>
            </w:r>
          </w:p>
        </w:tc>
        <w:tc>
          <w:tcPr>
            <w:tcW w:w="9060" w:type="dxa"/>
            <w:vAlign w:val="bottom"/>
            <w:gridSpan w:val="5"/>
          </w:tcPr>
          <w:p>
            <w:pPr>
              <w:spacing w:after="0"/>
              <w:rPr>
                <w:sz w:val="14"/>
                <w:szCs w:val="14"/>
                <w:color w:val="auto"/>
              </w:rPr>
            </w:pPr>
          </w:p>
        </w:tc>
        <w:tc>
          <w:tcPr>
            <w:tcW w:w="160" w:type="dxa"/>
            <w:vAlign w:val="bottom"/>
            <w:tcBorders>
              <w:bottom w:val="single" w:sz="8" w:color="0000EE"/>
            </w:tcBorders>
            <w:gridSpan w:val="2"/>
          </w:tcPr>
          <w:p>
            <w:pPr>
              <w:jc w:val="right"/>
              <w:spacing w:after="0" w:line="169" w:lineRule="exact"/>
              <w:rPr>
                <w:sz w:val="20"/>
                <w:szCs w:val="20"/>
                <w:color w:val="auto"/>
              </w:rPr>
            </w:pPr>
            <w:r>
              <w:rPr>
                <w:rFonts w:ascii="Times New Roman" w:cs="Times New Roman" w:eastAsia="Times New Roman" w:hAnsi="Times New Roman"/>
                <w:sz w:val="17"/>
                <w:szCs w:val="17"/>
                <w:color w:val="0000EE"/>
                <w:w w:val="82"/>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1060" w:type="dxa"/>
            <w:vAlign w:val="bottom"/>
            <w:gridSpan w:val="10"/>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LEGAL MATTERS</w:t>
            </w:r>
          </w:p>
        </w:tc>
        <w:tc>
          <w:tcPr>
            <w:tcW w:w="160" w:type="dxa"/>
            <w:vAlign w:val="bottom"/>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0000EE"/>
                <w:w w:val="82"/>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80" w:type="dxa"/>
            <w:vAlign w:val="bottom"/>
            <w:tcBorders>
              <w:top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7"/>
                <w:szCs w:val="17"/>
                <w:color w:val="0000EE"/>
              </w:rPr>
              <w:t>EXPERTS</w:t>
            </w:r>
          </w:p>
        </w:tc>
        <w:tc>
          <w:tcPr>
            <w:tcW w:w="9680" w:type="dxa"/>
            <w:vAlign w:val="bottom"/>
            <w:tcBorders>
              <w:top w:val="single" w:sz="8" w:color="CCEEFF"/>
            </w:tcBorders>
            <w:gridSpan w:val="7"/>
          </w:tcPr>
          <w:p>
            <w:pPr>
              <w:spacing w:after="0"/>
              <w:rPr>
                <w:sz w:val="14"/>
                <w:szCs w:val="14"/>
                <w:color w:val="auto"/>
              </w:rPr>
            </w:pPr>
          </w:p>
        </w:tc>
        <w:tc>
          <w:tcPr>
            <w:tcW w:w="160" w:type="dxa"/>
            <w:vAlign w:val="bottom"/>
            <w:tcBorders>
              <w:top w:val="single" w:sz="8" w:color="0000EE"/>
            </w:tcBorders>
            <w:gridSpan w:val="2"/>
          </w:tcPr>
          <w:p>
            <w:pPr>
              <w:jc w:val="right"/>
              <w:spacing w:after="0" w:line="169" w:lineRule="exact"/>
              <w:rPr>
                <w:sz w:val="20"/>
                <w:szCs w:val="20"/>
                <w:color w:val="auto"/>
              </w:rPr>
            </w:pPr>
            <w:r>
              <w:rPr>
                <w:rFonts w:ascii="Times New Roman" w:cs="Times New Roman" w:eastAsia="Times New Roman" w:hAnsi="Times New Roman"/>
                <w:sz w:val="17"/>
                <w:szCs w:val="17"/>
                <w:color w:val="0000EE"/>
                <w:w w:val="82"/>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tcBorders>
              <w:bottom w:val="single" w:sz="8" w:color="0000EE"/>
            </w:tcBorders>
            <w:gridSpan w:val="7"/>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740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0000EE"/>
            </w:tcBorders>
            <w:gridSpan w:val="2"/>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0000EE"/>
                <w:w w:val="82"/>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60" w:type="dxa"/>
            <w:vAlign w:val="bottom"/>
            <w:gridSpan w:val="10"/>
          </w:tcPr>
          <w:p>
            <w:pPr>
              <w:spacing w:after="0" w:line="169" w:lineRule="exact"/>
              <w:rPr>
                <w:sz w:val="20"/>
                <w:szCs w:val="20"/>
                <w:color w:val="auto"/>
              </w:rPr>
            </w:pPr>
            <w:r>
              <w:rPr>
                <w:rFonts w:ascii="Times New Roman" w:cs="Times New Roman" w:eastAsia="Times New Roman" w:hAnsi="Times New Roman"/>
                <w:sz w:val="17"/>
                <w:szCs w:val="17"/>
                <w:color w:val="0000EE"/>
              </w:rPr>
              <w:t>INCORPORATION OF CERTAIN INFORMATION BY REFERENCE</w:t>
            </w:r>
          </w:p>
        </w:tc>
        <w:tc>
          <w:tcPr>
            <w:tcW w:w="1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7"/>
                <w:szCs w:val="17"/>
                <w:color w:val="0000EE"/>
                <w:w w:val="82"/>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9"/>
        </w:trPr>
        <w:tc>
          <w:tcPr>
            <w:tcW w:w="20" w:type="dxa"/>
            <w:vAlign w:val="bottom"/>
            <w:tcBorders>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520" w:type="dxa"/>
            <w:vAlign w:val="bottom"/>
            <w:tcBorders>
              <w:top w:val="single" w:sz="8" w:color="0000EE"/>
              <w:bottom w:val="single" w:sz="8" w:color="auto"/>
            </w:tcBorders>
          </w:tcPr>
          <w:p>
            <w:pPr>
              <w:spacing w:after="0"/>
              <w:rPr>
                <w:sz w:val="24"/>
                <w:szCs w:val="24"/>
                <w:color w:val="auto"/>
              </w:rPr>
            </w:pPr>
          </w:p>
        </w:tc>
        <w:tc>
          <w:tcPr>
            <w:tcW w:w="13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prospectus is part of the registration statement that we filed with the Securities and Exchange Commission (the “SEC”) pursuant to which the selling stockholders named herein may, from time to time, offer and sell or otherwise dispose of the shares of our Common Stock covered by this prospectus. As permitted by the rules and regulations of the SEC, the registration statement filed by us includes additional information not contained in this prospectus.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into this prospectus include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“Where You Can Find More Information” and “Incorporation of Certain Information by Reference” in this prospectus.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You should rely only on this prospectus and the information incorporated or deemed to be incorporated by reference in this prospectus. We have not, and the selling stockholders have not, authorized anyone to give any information or to make any representation to you other than those contained or incorporated by reference in this prospectus. If anyone provides you with different or inconsistent information, you should not rely on it. This prospectus does not constitute an offer to sell or the solicitation of an offer to buy securities in any jurisdiction to any person to whom it is unlawful to make such offer or solicitation in such jurisdiction.</w:t>
      </w:r>
    </w:p>
    <w:p>
      <w:pPr>
        <w:spacing w:after="0" w:line="3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Unless otherwise indicated, information contained or incorporated by reference in this prospectus concerning our industry, including our general expectations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In addition, assumptions and estimates of our and our industry’s future performance are necessarily uncertain due to a variety of factors, including those described in “Risk Factors” beginning on page 10 of this prospectus. These and other factors could cause our future performance to differ materially from our assumptions and estimates.</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related notes that are incorporated by reference in this prospectus. In this prospectus, unless the context indicates otherwise, “XWEL,” the “Company,” the “registrant,” “we,” “us,” “our,” or “ours” refer to XWELL, Inc. and its consolidated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October 25, 2022, we changed our name to XWELL, Inc. (“XWELL” or the “Company”) from XpresSpa Group, Inc. Our Common Stock which had previously been listed under the trading symbol “XSPA” on the Nasdaq Capital Market, now trades under the trading symbol “XWEL”. We filed an amended and restated certificate of incorporation with the Delaware Secretary of State on October 24, 2022 (the “Amended and Restated Certificate”) reflecting the name change. Rebranding to XWELL aligned our corporate strategy to build a pure-play wellness services company, in both the airport and off airport marketplaces.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Although we recognize four segments of business, we believe there is opportunity to leverage a segment of our products and services across the Company’s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We are also continuing to add new service offerings to our in and out of airport locations.</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will be looking to further expand internationally. With international travel returning to pre-pandemic levels, we continue to be opportunistic in our approach, by taking advantage of the current market to growth. We believe a strategy for international expansion further advances our ability to expand our other brands including bio surveillance outside of the United States.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XpresSpa</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XWELL’s subsidiary, XpresSpa Holdings, LLC (“XpresSpa”) has been a global airport retailer of spa services through our XpresSpa spa locations, offering travelers premium spa services, including massage, nail and skin care, as well as spa and travel products.</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of September 30, 2024, there were 19 domestic XpresSpa locations in total, 17 Company-owned locations and two franchises. We also had 10 international locations operating as of September 30, 2024, including two XpresSpa locations in Dubai International Airport in the United Arab Emirates, one XpresSpa location in Zayad International Airport in Abu Dhabi, UAE, three XpresSpa locations in Schiphol Amsterdam Airport in the Netherlands and four XpresSpa locations in the Istanbul Airport in Turkey.</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color w:val="auto"/>
        </w:rPr>
        <w:t>XpresTest</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in partnership with certain COVID-19 testing partners, successfully launched its XpresCheck Wellness Centers, in June of 2020, through our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Wellness locations, the Company started to close XpresCheck Wellness Centers. As of December 31, 2023, we have closed all XpresCheck Wellness locations.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XpresTest began conducting bio surveillance monitoring with the Centers for Disease Control and Prevention (CDC) in collaboration with Concentric by Ginkgo BioWorks in 2021 and on January 31, 2022, we announced the extension of our initial program, bringing the total contract to $5.5 million. In August 2022, the program was renewed in partnership with Ginkgo BioWorks. A new two-year contract was initiated which represents approximately $7.3 million in revenue (for the first year) for the XpresTest segment.</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program was further renewed in August 2023 through a new one-year contract. The revenue to XpresTest from such one-year extension totaled approximately $7 million. In March 2024, the program funding and scope were expanded, a revenue increase of $4 million, to an estimated $11 million in revenue for XpresTest with a new collection station located in Miami International Airport (MIA) and the roll out of multi-pathogen testing across the program. The program was further renewed in August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HyperPointe</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our health-focused brands as well as providing the majority of services to the external community.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reporting purposes, HyperPointe has been consolidated into the XpresTest segment.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Treat</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Treat, which is operating through our subsidiary Treat, Inc. (“Treat”) is a wellness brand that provides access to wellness services for travelers at on-site centers (currently located in JFK International Airport). In April 2024, the decision was made to close the location in the Salt Lake City International Airport.</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Treat offers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Naples Wax Center</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September 12, 2023, we acquired our subsidiary Naples Wax, LLC d/b/a Naples Wax Centers (“Naples Wax Centers” or “Naples Wax”), a group of upscale hair removal boutiques in Florida, for a purchase price of approximately $1.6 million. Aiming to provide a memorable customer experience, Naples Wax Center operates three high-performing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color w:val="auto"/>
        </w:rPr>
        <w:t>XWELL Studios</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Q4 of 2023, we began plans to open our first XWELL Studios location in Jacksonville, Florida in 2025. XWELL Studios is an out-of-airport concept providing leased space to established wellness service providers. Revenue will be derived from both lease payments received from the wellness practitioners and the sale of retail at the wellness center.</w:t>
      </w:r>
    </w:p>
    <w:p>
      <w:pPr>
        <w:spacing w:after="0" w:line="16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believe that these strategic imperatives will be accomplished through development of an infrastructure specifically focused on enabling scalable and efficient growth.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 of Preferred Shares and Warrants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January 14, 2025, we entered into the Purchase Agreement with the Investors, pursuant to which we issued and sold on January 14, 2025 (the “Closing Date”), in a private placement (the “Private Placement”), (i) an aggregate of 4,000 shares of the Company’s newly-designated Series G Convertible Preferred Stock initially convertible into up to 2,673,797 Conversion Shares at a conversion price of $1.496 per share, (ii) Series A warrants (the “Series A Warrants”) to acquire up to an aggregate of 2,673,797 shares of Common Stock at an exercise price of $1.496 per share, and (iii) Series B warrants to acquire up to an aggregate of 2,673,797 shares of Common Stock (the “Series B Warrants,” and collectively with the Series A Warrants, the “Warrants”) at an exercise price of $1.7952 per share. Each Preferred Share and accompanying Warrants were sold together at a combined offering price of $1,000.</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 w:name="page10"/>
    <w:bookmarkEnd w:id="9"/>
    <w:p>
      <w:pPr>
        <w:jc w:val="both"/>
        <w:spacing w:after="0" w:line="274" w:lineRule="auto"/>
        <w:rPr>
          <w:sz w:val="20"/>
          <w:szCs w:val="20"/>
          <w:color w:val="auto"/>
        </w:rPr>
      </w:pPr>
      <w:r>
        <w:rPr>
          <w:rFonts w:ascii="Times New Roman" w:cs="Times New Roman" w:eastAsia="Times New Roman" w:hAnsi="Times New Roman"/>
          <w:sz w:val="17"/>
          <w:szCs w:val="17"/>
          <w:color w:val="auto"/>
        </w:rPr>
        <w:t>The terms of the Preferred Shares are as set forth in the Certificate of Designations of the Series G Convertible Preferred Stock of XWELL, Inc. (the “Certificate of Designations”), which was filed and became effective with the Secretary of State of the State of Delaware on January 14, 2025. The Warrants are immediately exercisable and expire five years from the date of issuance.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Each of the investors in the Private Placement has represented to us that it is an accredited investor within the meaning of Rule 501(a) of Regulation D and that it is acquiring the securities for investment only and not with a view towards, or for resale in connection with, the public sale or distribution thereof. The Preferred Shares and Warrants were offered without any general solicitation by us or our representatives.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Rights Agreements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connection with the Private Placement, we entered into the Registration Rights Agreement, pursuant to which we are obligated, among other things, to (i) file a resale registration statement (the “Registration Statement”) with the SEC to register for resale 200% of the Conversion Shares and the Warrant Shares promptly following the Closing Date, but in no event later than 30 calendar days after the Closing Date, (ii) have such Registration Statement declared effective by the Effectiveness Deadline (as defined in the Registration Rights Agreement), and (iii) maintain the registration until the earlier of (x) the date on which the selling stockholders may sell their Conversion Shares or Warrant Shares without restriction pursuant to Rule 144 under the Securities Act, (y) the date on which the selling stockholders no longer hold any Conversion Shares or Warrant Shares and (z) the five year anniversary of the Closing Date. The Company will be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Shares</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All shares of capital stock of the Company rank junior to the Preferred Shares, with respect to the preferences as to dividends, distributions and payments upon the liquidation, dissolution and winding up of the Company.</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Preferred Shares are convertible into Common Stock at the election of the holder at any time at an initial conversion price of $1.496 (the “Conversion Price”). The Conversion Price is subject to customary adjustments for stock dividends, stock splits, reclassifications, stock combinations and the like. The Conversion Price may also be voluntarily reduced by the Company to any amount and for any period of time deemed appropriate by the Board at any time with the prior written consent of the holders of at least a majority of the outstanding Preferred Shares, subject to the rules and regulations of Nasdaq.</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required to redeem the Preferred Shares in six (6) equal quarterly installments, commencing on February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w:t>
      </w:r>
    </w:p>
    <w:p>
      <w:pPr>
        <w:jc w:val="both"/>
        <w:ind w:firstLine="4"/>
        <w:spacing w:after="0" w:line="259" w:lineRule="auto"/>
        <w:tabs>
          <w:tab w:leader="none" w:pos="28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of the average of the three lowest closing prices of the Company’s Common Stock during the thirty consecutive trading day period ending and including the trading day immediately prior to the date the amortization payment is due or (B) the lower of (x) $0.272 and (y) 20% of the “Minimum Price” (as defined in Nasdaq Stock Market Rule 5635) on the date in which the Stockholder Approval (as defined herein) is obtained or, in any case, such lower amount as permitted, from time to time, by the Nasdaq Capital Market, and, in each case, subject to adjustment for stock splits, stock dividends, stock combinations, recapitalizations or other similar events, which amortization amounts are subject to certain adjustments as set forth in the Certificate of Designations (the “Floor Price”).</w:t>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0" w:name="page11"/>
    <w:bookmarkEnd w:id="10"/>
    <w:p>
      <w:pPr>
        <w:spacing w:after="0" w:line="260" w:lineRule="auto"/>
        <w:rPr>
          <w:sz w:val="20"/>
          <w:szCs w:val="20"/>
          <w:color w:val="auto"/>
        </w:rPr>
      </w:pPr>
      <w:r>
        <w:rPr>
          <w:rFonts w:ascii="Times New Roman" w:cs="Times New Roman" w:eastAsia="Times New Roman" w:hAnsi="Times New Roman"/>
          <w:sz w:val="17"/>
          <w:szCs w:val="17"/>
          <w:color w:val="auto"/>
        </w:rPr>
        <w:t>The holders of the Preferred Shares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including, among other things, our failure to pay any amounts due to the holders of the Preferred Shares when due, the Preferred Shares accrue dividends at the rate of 15% per annum. Upon conversion or redemption, the holders of the Preferred Shares are also entitled to receive a dividend make-whole payment, assuming, for calculation purposes, that the stated value of such Preferred Shares remained outstanding through and including the one-year anniversary of the applicable date of conversion. The holders of the Preferred Shares are entitled to vote with holders of the Common Stock on as as-converted basis, with the number of votes to which each holder of Preferred Shares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 w:name="page12"/>
    <w:bookmarkEnd w:id="11"/>
    <w:p>
      <w:pPr>
        <w:ind w:right="20"/>
        <w:spacing w:after="0" w:line="263" w:lineRule="auto"/>
        <w:rPr>
          <w:sz w:val="20"/>
          <w:szCs w:val="20"/>
          <w:color w:val="auto"/>
        </w:rPr>
      </w:pPr>
      <w:r>
        <w:rPr>
          <w:rFonts w:ascii="Times New Roman" w:cs="Times New Roman" w:eastAsia="Times New Roman" w:hAnsi="Times New Roman"/>
          <w:sz w:val="17"/>
          <w:szCs w:val="17"/>
          <w:color w:val="auto"/>
        </w:rPr>
        <w:t>Notwithstanding the foregoing, our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our stockholders have approved the issuance of more than 19.99% of our issued and outstanding shares of Common Stock in accordance with Nasdaq listing standards (the “Stockholder Approval”). We have agreed to seek stockholder approval of these matters at a meeting to be held no later than June 1, 2025. Further, the Certificate of Designations contains a certain beneficial ownership limitation after giving effect to the issuance of shares of Common Stock issuable upon conversion of the Preferred Shares or as part of any amortization payment or dividend make-whole payment under the Certificate of Designations.</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Notwithstanding the foregoing, our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our stockholders have approved the issuance of more than 19.99% of our outstanding shares of Common Stock in accordance with Nasdaq listing standards (the “Stockholder Approval”). We have agreed to seek stockholder approval of these matters at a meeting to be held no later than June 1, 2025.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Warrant is subject to customary adjustments for stock dividends, stock splits, reclassifications, stock combinations and the like. Upon any such price-based adjustment to the exercise price, the number of Warrant Shares issuable upon exercise of the Warrants will be increased proportionately. The exercise price may also be voluntarily reduced by the Company to any amount and for any period of time with the prior written consent of the holders of at least a majority of the outstanding Warrants, subject to the rules and regulations of Nasdaq. The Warrants may be exercised for cash, provided that, if there is no effective registration statement available registering the exercise of the Warrants, the Warrants may be exercised on a cashless basis.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Notwithstanding the foregoing, until such time as we have received the Stockholder Approval, we cannot issue any Warrant Shares if the issuance of such Warrant Shares (taken together with the issuance of any Conversion Shares or other shares of Common Stock issuable pursuant to the terms of the Certificate of Designations) would exceed 19.99% of our issued and outstanding shares of Common Stock prior to the Private Placement, which amount is the aggregate number of shares of Common Stock which we may issue under the rules or regulations of Nasdaq.</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Reverse Stock Split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September 28, 2023, we effected a 1-for-20 reverse stock split (the “Reverse Stock Split”), whereby every twenty shares of our Common Stock were reduced to one share of our Common Stock and the price per share of our Common Stock was multiplied by 20. All references to shares and per share amounts, including shares of Common Stock underlying stock options, warrants, and applicable exercise prices, have been retroactively adjusted for all periods presented herein to give effect to the Reverse Stock Split as required in accordance with US GAAP.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are a “smaller reporting company” and accordingly may provide less public disclosure than larger public companies. As a result, the information that we provide to our stockholders may be different than you might receive from other public reporting companies in which you hold equity interests.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were incorporated in Delaware as a corporation on January 9, 2006 and completed an initial public offering in June 2010. Our Common Stock which was previously listed since January 8, 2018 under the trading symbol “XSPA” on The Nasdaq Capital Market, has been listed under the trading symbol “XWEL” since October 25, 2022. Our principal executive offices are located at 254 West 31st Street, 11th Floor, New York, New York 10001. Our telephone number is</w:t>
      </w:r>
    </w:p>
    <w:p>
      <w:pPr>
        <w:jc w:val="both"/>
        <w:ind w:firstLine="4"/>
        <w:spacing w:after="0" w:line="260" w:lineRule="auto"/>
        <w:tabs>
          <w:tab w:leader="none" w:pos="56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750-9595 and our website address is www.xwell.com. We also operate the websites www.xpresspa.com, www.treat.com and www.xprescheck.com.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Securities and Exchange Commission, or SEC. Information contained on, or that can be accessed through, our website is not and shall not be deemed to be a part of this prospectus.</w:t>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3" w:name="page14"/>
    <w:bookmarkEnd w:id="13"/>
    <w:p>
      <w:pPr>
        <w:spacing w:after="0" w:line="200" w:lineRule="exact"/>
        <w:rPr>
          <w:sz w:val="20"/>
          <w:szCs w:val="20"/>
          <w:color w:val="auto"/>
        </w:rPr>
      </w:pPr>
    </w:p>
    <w:p>
      <w:pPr>
        <w:spacing w:after="0" w:line="218"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7"/>
          <w:szCs w:val="17"/>
          <w:color w:val="auto"/>
        </w:rPr>
        <w:t>Common Stock to be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Nasdaq Capital Market Symbol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left="3060"/>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Up to an aggregate of 1,051,677 shares of Common Stock, which are issuable to such selling stockholders pursuant to the terms of the Preferred Shares and Warrants. This amount is approximately equal to 19.99% of our issued and outstanding shares of Common Stock immediately prior to the Private Placement, which amount is the aggregate number of shares of Common Stock which we may currently issue upon conversion of the Preferred Shares and exercise of Warrants under the rules or regulations of Nasdaq prior to obtaining the Stockholder Approval.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terms of the Registration Rights Agreement require us to register the number of shares of Common Stock equal to the sum of</w:t>
      </w:r>
    </w:p>
    <w:p>
      <w:pPr>
        <w:spacing w:after="0" w:line="31" w:lineRule="exact"/>
        <w:rPr>
          <w:sz w:val="20"/>
          <w:szCs w:val="20"/>
          <w:color w:val="auto"/>
        </w:rPr>
      </w:pPr>
    </w:p>
    <w:p>
      <w:pPr>
        <w:jc w:val="both"/>
        <w:ind w:firstLine="3"/>
        <w:spacing w:after="0" w:line="259" w:lineRule="auto"/>
        <w:tabs>
          <w:tab w:leader="none" w:pos="2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maximum number of Conversion Shares issuable upon conversion of the Preferred Shares (assuming for purposes hereof that (x) the Preferred Shares are convertible at the Floor Price, and (y) any such conversion shall not take into account any limitations on the conversion of the Preferred Shares set forth in the Certificate of Designations, and (ii) 200% of the maximum number of Warrant Shares issuable upon exercise of the Warrants issued to the Investors (without taking into account any limitations on the exercise of such Warrants set forth therein), in each case subject to the adjustments set forth in the Certificate of Designations and Warrants.</w:t>
      </w:r>
    </w:p>
    <w:p>
      <w:pPr>
        <w:spacing w:after="0" w:line="3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we obtain the Stockholder Approval, we intend to amend the registration statement of which this prospectus is a part to increase the number of shares of Common Stock registered hereunder to the extent necessary to comply with the terms of the Registration Rights Agreements.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will not receive any proceeds from the sale of the Conversion Shares and Warrant Shares by the selling stockholders. However, we will receive proceeds from the exercise of the Warrants if such warrants are exercised for cash. We currently intend to use such proceeds for general corporate purposes.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selling stockholders named in this prospectus, or their pledgees, donees, transferees, distributees, beneficiaries or other successors-in-interest, may offer or sell the shares of Common Stock from time to time through public or private transactions at prevailing market prices, at prices related to prevailing market prices or at privately negotiated prices. The selling stockholders may also resell the shares of Common Stock to or through underwriters, broker-dealers or agents, who may receive compensation in the form of discounts, concessions or commissions.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See “Plan of Distribution” beginning on page 17 of this prospectus for additional information on the methods of sale that may be used by the selling stockholders.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“XWEL.”</w:t>
      </w:r>
    </w:p>
    <w:p>
      <w:pPr>
        <w:spacing w:after="0" w:line="200" w:lineRule="exact"/>
        <w:rPr>
          <w:sz w:val="20"/>
          <w:szCs w:val="20"/>
          <w:color w:val="auto"/>
        </w:rPr>
      </w:pPr>
    </w:p>
    <w:p>
      <w:pPr>
        <w:spacing w:after="0" w:line="22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Investing in our Common Stock involves significant risks. See “Risk Factors” beginning on page 10 of this prospectus and the documents incorporated by reference in this prospectus.</w:t>
      </w:r>
    </w:p>
    <w:p>
      <w:pPr>
        <w:spacing w:after="0" w:line="35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19685</wp:posOffset>
            </wp:positionV>
            <wp:extent cx="7137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2">
            <w:col w:w="1620" w:space="280"/>
            <w:col w:w="9340"/>
          </w:cols>
          <w:pgMar w:left="320" w:top="87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In addition to the other information contained in this prospectus and in the documents we incorporate by reference, you should carefully consider the risks discussed below and under the heading “Risk Factors” in our Annual Report on Form 10-K for the fiscal year ended December 31, 2023, as well as any amendment or update to our risk factors reflected in subsequent filings with the SEC, before making a decision about investing in our securities. The risks and uncertainties discussed below and in the documents incorporated by reference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Our Common Stock</w:t>
      </w:r>
    </w:p>
    <w:p>
      <w:pPr>
        <w:spacing w:after="0" w:line="21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issuance of the shares of Common Stock covered by this prospectus could significantly increase the total number of shares of Common Stock issued and outstanding and thereby cause our existing stockholders to experience substantial dilution.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shares of Common Stock being offered pursuant to this prospectus represent Conversion Shares issuable upon the conversion of our Preferred Shares and Warrant Shares issuable upon the exercise of the Warrants. As of February 7, 2025 there were 5,261,024 shares of Common Stock issued and outstanding (prior to any deemed issuance of any Conversion Shares or Warrant Shares). If we are required to issue the maximum number of Conversion Shares and Warrant Shares that are being registered hereunder, the number of shares of Common Stock issued and outstanding after such issuance would represent approximately 120% of the number of shares of Common Stock issued and outstanding as of the date of this prospectus. As a result, an existing stockholder’s proportionate interest in us will be substantially diluted. The actual number of shares of Common Stock that we issue to the selling stockholders may be less than the aggregate number of shares covered by this prospectus.</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The Certificate of Designations provides for amortization payments to be issued in the form of shares of Common Stock at a conversion price that varies with the trading price of our Common Stock. This feature may result in a greater number of shares of Common Stock being issued upon conversions than if the conversions were effected at the conversion price in effect as of the date of this prospectus. Sales of these shares will dilute the interests of other security holders and may depress the price of our Common Stock and make it difficult for us to raise additional capital.</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Certificate of Designations for our Preferred Shares provides for the payment of amortization payments to the holder of our Preferred Shares in cash or shares of Common Stock, or a combination thereof, at the Company’s option. If the Company elects to pay any dividends in shares of Common Stock, the conversion price used to calculate the number of shares issuable will equal to the greater of (A) 80% of the average of the three lowest closing prices of our Common Stock during the thirty consecutive trading day period ending and including the trading day immediately prior to the date the amortization payment is due or (B) the lower of (x) $0.272 and (y) 20% of the Minimum Price on the Stockholder Approval Date or, in any case, such lower amount as permitted, from time to time, by the Nasdaq Capital Market. The potential for such additional issuances below the Conversion Price as of the date of this prospectus may depress the price of our Common Stock regardless of our business performance. We may find it more difficult to raise additional equity capital while any of our Preferred Shares is outstanding.</w:t>
      </w:r>
    </w:p>
    <w:p>
      <w:pPr>
        <w:spacing w:after="0" w:line="3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Certificate of Designations provides for the payment of dividends in cash or in shares of our Common Stock, or a combination thereof, and we may not be permitted to pay such dividends in cash, which will require us to have shares of Common Stock available to pay the dividends.</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Each share of the Preferred Shares is entitled to receive cumulative dividends at the rate per share of 8% per annum of the stated value per share, compounded each calendar quarter. The dividends are payable in cash, out of any funds legally available for such purpose, or shares of Common Stock in the case of an Installment Conversion (as defined in the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or other issuances of our Common Stock could depress the market for our 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and any future sales of a substantial number of shares of Common Stock in the public market, including the issuance of shares or any shares issuable upon conversion of the Preferred Shares or exercise of the Warrants,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experience future dilution as a result of future equity offerings and other issuances of our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spacing w:after="0" w:line="1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Any additional capital raised through the sale of equity or equity-backed securities may dilute our stockholders’ ownership percentages and could also result in a decrease in the market value of our equity securities.</w:t>
      </w:r>
    </w:p>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prospectus and the information incorporated by reference in this prospectus contain “forward-looking statements,” which include information relating to future events, future financial performance, strategies, expectations, competitive environment and regulation.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Forward-looking statements should not be read as a guarantee of future performance or results and will probably not be accurate indications of when such performance or results will be achieved.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3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“Special Note Regarding Forward-Looking Statements” and elsewhere in those documents.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Consequently, all of the forward-looking statements made in this prospectus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All shares of our Common Stock offered by this prospectus are being registered for the accounts of the selling stockholders and we will not receive any proceeds from the sale of these shares. However, we will receive proceeds from the exercise of the Warrants if the Warrants are exercised for cash. We intend to use those proceeds, if any, for general corporate purposes. The holders of the Warrants are not obligated to exercise their Warrants for cash, and we cannot predict whether holders of the Warrants will choose to exercise all or any of their Warrants for cash.</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SELLING STOCKHOLDERS</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Unless the context otherwise requires, as used in this prospectus, “selling stockholders” includes the selling stockholders listed below and donees, pledgees, transferees or other successors-in-interest selling shares received after the date of this prospectus from the selling stockholders as a gift, pledge or other non-sale related transfer.</w:t>
      </w:r>
    </w:p>
    <w:p>
      <w:pPr>
        <w:spacing w:after="0" w:line="16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have prepared this prospectus to allow the selling stockholders or their successors, assignees or other permitted transferees to sell or otherwise dispose of, from time to time, up to 1,051,677 shares of our Common Stock.</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Common Stock being offered by the selling stockholders are those issuable to the selling stockholders upon conversion of the Preferred Shares and exercise of the Warrants. For additional information regarding the issuance of the Preferred Shares and the Warrants, see “Private Placement of Preferred Shares and Warrants” above. We are registering the Conversion Shares and Warrant Shares in order to permit the selling stockholders to offer the shares for resale from time to time. The selling stockholders may also sell, transfer or otherwise dispose of all or a portion of their shares in transactions exempt from the registration requirements of the Securities Act, or pursuant to another effective registration statement covering those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Relationships with the Selling Stockholders</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Except for the ownership of the Preferred Shares and the Warrants issued pursuant to the Purchase Agreement and, except as disclosed in our periodic reports and current reports filed with the SEC from time to time, the selling stockholders have not had any material relationship with us within the past three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Selling Stockholders Offering</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table below lists the selling stockholders and other information regarding the beneficial ownership (as determined under Section 13(d) of the Exchange Act and the rules and regulations thereunder) of the shares of Common Stock held by each of the selling stockholders. The second column (titled “Number of Shares of Common Stock Owned Prior to Offering”) lists the number of shares of Common Stock beneficially owned by the selling stockholders, based on their respective ownership of shares of Common Stock, Preferred Shares and Warrants as of February 7, 2025, assuming conversion of the Preferred Shares and exercise of the Warrants and any other warrants held by each such selling stockholder on that date, but taking account of any limitations on conversion and exercise set forth therein.</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third column (titled “Maximum Number of Shares of Common Stock to be Sold Pursuant to this Prospectus”) lists the shares of Common Stock being offered by this prospectus by the selling stockholders and does not take in account any limitations on (i) conversion of the Preferred Shares set forth therein or (ii) exercise of the Warrants set forth therein.</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third, fourth and fifth columns (titled “Number of Shares of Common Stock Owned After Offering” and “Percentage of Common Stock Owned After Offering”) assume the conversion of the Preferred Shares at the Conversion Price and exercise of the Warrants at the exercise price and the sale of all of the shares offered by the selling stockholders pursuant to this prospectus. Because the Conversion Price of the Preferred Shares and the exercise price of the Warrants may be adjusted, the number of shares that will actually be issued may be more or less than the number of shares being offered by this prospectus.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prospectus covers the resale of approximately 19.99% of our issued and outstanding shares of Common Stock immediately prior to the Private Placement, which amount is the aggregate number of shares of Common Stock which we may currently issue upon conversion of the Preferred Shares and exercise of Warrants under the rules or regulations of Nasdaq prior to obtaining the Stockholder Approval.</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7"/>
          <w:szCs w:val="17"/>
          <w:color w:val="auto"/>
        </w:rPr>
        <w:t>The terms of the Registration Rights Agreement require us to register the number of shares of Common Stock equal to the sum of (i) 200% of the maximum number of Conversion Shares issuable upon conversion of the Preferred Shares (assuming for purposes hereof that (x) the Preferred Shares are convertible at the Floor Price, and (y) any such conversion shall not take into account any limitations on the conversion of the Preferred Shares set forth in the Certificate of Designations, and (ii) 200% of the maximum number of Warrant Shares issuable upon exercise of the Warrants issued to the Investors (without taking into account any limitations on the exercise of such Warrants set forth therein), in each case subject to the adjustments set forth in the Certificate of Designations and Warrants.</w:t>
      </w:r>
    </w:p>
    <w:p>
      <w:pPr>
        <w:spacing w:after="0" w:line="38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If we obtain the Stockholder Approval, we intend to amend the registration statement of which this prospectus is a part to increase the number of shares of Common Stock registered hereunder to the extent necessary to comply with the terms of the Registration Rights Agreements.</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terms of the Certificate of Designations and the Warrants, a selling stockholder, may not convert the Preferred Shares or exercise the Warrants to the extent (but only to the extent) such selling stockholder or any of its affiliates would beneficially own a number of shares of our shares of Common Stock which would exceed 4.99%, of the outstanding shares of the Company. The number of shares in the second column reflects these limitations. The selling stockholders may sell all, some or none of their shares in this offering. See “Plan of Distribution.”</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680" w:type="dxa"/>
            <w:vAlign w:val="bottom"/>
          </w:tcPr>
          <w:p>
            <w:pPr>
              <w:spacing w:after="0"/>
              <w:rPr>
                <w:sz w:val="18"/>
                <w:szCs w:val="18"/>
                <w:color w:val="auto"/>
              </w:rPr>
            </w:pPr>
          </w:p>
        </w:tc>
      </w:t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Percentage of</w:t>
            </w:r>
          </w:p>
        </w:tc>
      </w:t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Stock to be</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Common</w:t>
            </w:r>
          </w:p>
        </w:tc>
      </w:t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Stock Owned</w:t>
            </w: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Sold</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Stock Owned</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Stock Owned</w:t>
            </w:r>
          </w:p>
        </w:tc>
      </w:t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Prior to</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Pursuant to</w:t>
            </w: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After</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After</w:t>
            </w:r>
          </w:p>
        </w:tc>
      </w:tr>
      <w:tr>
        <w:trPr>
          <w:trHeight w:val="229"/>
        </w:trPr>
        <w:tc>
          <w:tcPr>
            <w:tcW w:w="3500" w:type="dxa"/>
            <w:vAlign w:val="bottom"/>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Name of Selling Stockholder</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Offering (1)</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this Prospectus</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r>
      <w:tr>
        <w:trPr>
          <w:trHeight w:val="201"/>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Iroquois Capital Investment Group, LLC (2)</w:t>
            </w: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758,392</w:t>
            </w:r>
          </w:p>
        </w:tc>
        <w:tc>
          <w:tcPr>
            <w:tcW w:w="2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729,601</w:t>
            </w:r>
          </w:p>
        </w:tc>
        <w:tc>
          <w:tcPr>
            <w:tcW w:w="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28,791</w:t>
            </w:r>
          </w:p>
        </w:tc>
        <w:tc>
          <w:tcPr>
            <w:tcW w:w="2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Iroquois Master Fund Ltd. (3)</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322,076</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322,076</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71" w:lineRule="exact"/>
        <w:rPr>
          <w:sz w:val="20"/>
          <w:szCs w:val="20"/>
          <w:color w:val="auto"/>
        </w:rPr>
      </w:pPr>
    </w:p>
    <w:p>
      <w:pPr>
        <w:ind w:left="140" w:hanging="136"/>
        <w:spacing w:after="0"/>
        <w:tabs>
          <w:tab w:leader="none" w:pos="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20" w:lineRule="exact"/>
        <w:rPr>
          <w:rFonts w:ascii="Times New Roman" w:cs="Times New Roman" w:eastAsia="Times New Roman" w:hAnsi="Times New Roman"/>
          <w:sz w:val="17"/>
          <w:szCs w:val="17"/>
          <w:color w:val="auto"/>
        </w:rPr>
      </w:pPr>
    </w:p>
    <w:p>
      <w:pPr>
        <w:jc w:val="both"/>
        <w:ind w:left="620" w:hanging="304"/>
        <w:spacing w:after="0" w:line="265" w:lineRule="auto"/>
        <w:tabs>
          <w:tab w:leader="none" w:pos="6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and the information in the notes below are based upon information available to the Company and upon 5,261,024 shares of Common Stock issued and outstanding as of February 7, 2025 (prior to any deemed issuance of any Conversion Shares or Warrant Shares). Except as expressly noted in the footnotes below, beneficial ownership has been determined in accordance with Rule 13d-3 under the Exchange Act. The amounts set forth in this column reflect the application of various limitations on the issuance of Conversion Shares and Warrant Shares in the Certificate of Designations and the Warrants, respectively, including beneficial ownership limitations and limitations under the rules or regulations of Nasdaq.</w:t>
      </w:r>
    </w:p>
    <w:p>
      <w:pPr>
        <w:spacing w:after="0" w:line="169" w:lineRule="exact"/>
        <w:rPr>
          <w:rFonts w:ascii="Times New Roman" w:cs="Times New Roman" w:eastAsia="Times New Roman" w:hAnsi="Times New Roman"/>
          <w:sz w:val="17"/>
          <w:szCs w:val="17"/>
          <w:color w:val="auto"/>
        </w:rPr>
      </w:pPr>
    </w:p>
    <w:p>
      <w:pPr>
        <w:ind w:left="620" w:hanging="304"/>
        <w:spacing w:after="0" w:line="293" w:lineRule="auto"/>
        <w:tabs>
          <w:tab w:leader="none" w:pos="6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w:t>
      </w:r>
    </w:p>
    <w:p>
      <w:pPr>
        <w:spacing w:after="0" w:line="147" w:lineRule="exact"/>
        <w:rPr>
          <w:rFonts w:ascii="Times New Roman" w:cs="Times New Roman" w:eastAsia="Times New Roman" w:hAnsi="Times New Roman"/>
          <w:sz w:val="17"/>
          <w:szCs w:val="17"/>
          <w:color w:val="auto"/>
        </w:rPr>
      </w:pPr>
    </w:p>
    <w:p>
      <w:pPr>
        <w:jc w:val="both"/>
        <w:ind w:left="62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are held directly by Iroquois Capital Investment Group, LLC, a limited liability company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p>
      <w:pPr>
        <w:spacing w:after="0" w:line="167"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to be sold pursuant to this prospectus represent the number of shares of Common Stock that may be issued, in the aggregate, upon conversion or exercise (as the case may be) of any Preferred Shares or any Warrants beneficially owned by the selling stockholder. Other shares of Common Stock beneficially owned prior to this offering consist of 28,791 shares of common stock</w:t>
      </w:r>
    </w:p>
    <w:p>
      <w:pPr>
        <w:spacing w:after="0" w:line="163" w:lineRule="exact"/>
        <w:rPr>
          <w:rFonts w:ascii="Times New Roman" w:cs="Times New Roman" w:eastAsia="Times New Roman" w:hAnsi="Times New Roman"/>
          <w:sz w:val="17"/>
          <w:szCs w:val="17"/>
          <w:color w:val="auto"/>
        </w:rPr>
      </w:pPr>
    </w:p>
    <w:p>
      <w:pPr>
        <w:jc w:val="both"/>
        <w:ind w:left="6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are held directly by Iroquois Master Fund Ltd.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are registering the shares of Common Stock issuable upon conversion of the Preferred Shares and exercise of the Warrants to permit the resale of these shares of Common Stock by the holders of the Preferred Shares and Warrants from time to time after the date of this prospectus. We will not receive any of the proceeds from the sale by the selling stockholders of the shares of Common Stock, although we will receive the exercise price of any Warrants not exercised by the selling stockholders on a cashless exercise basis. We will bear all fees and expenses incident to our obligation to register the shares of Common Stock.</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Each selling stockholder of the securities and any of their pledgees, assignees and successors-in-interest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72" w:lineRule="exact"/>
        <w:rPr>
          <w:sz w:val="20"/>
          <w:szCs w:val="20"/>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national securities exchange or quotation service on which the securities may be listed or quoted at the time of sale;</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otherwise than on these exchanges or systems or in the over-the-counter market;</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whether such options are listed on an options exchange or otherwise;</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220"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securities as agent but may position and resell a portion of the block as principal to facilitate the transaction;</w:t>
      </w:r>
    </w:p>
    <w:p>
      <w:pPr>
        <w:spacing w:after="0" w:line="147"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made after the date the Registration Statement is declared effective by the SEC;</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a selling security holder to sell a specified number of such shares at a stipulated price per share;</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22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selling stockholders may also sell securities under Rule 144 or any other exemption from registration under the Securities Act, if available, rather than under this prospectus.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2" w:name="page23"/>
    <w:bookmarkEnd w:id="22"/>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selling stockholders may transfer the securities by other means not described in this prospectus. If the selling stockholders effect such transactions by selling securities to or through underwriters, broker-dealers or agents, such underwriters, broker-dealers or agents may receive commissions in the form of discounts, concessions or commissions from the selling stockholders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stockholders may enter into hedging transactions with broker-dealers, which may in turn engage in short sales of the securities in the course of hedging in positions they assume. The selling stockholders may also sell securities short and deliver securities covered by this prospectus to close out short positions and to return borrowed shares in connection with such short sales. The selling stockholders may also loan or pledge securities to broker-dealers that in turn may sell such securities.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selling stockholders may pledge or grant a security interest in some or all of the securities owned by them and, if they default in the performance of their secured obligations, the pledgees or secured parties may offer and sell the securities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securities in other circumstances in which case the transferees, donees, pledgees or other successors in interest will be the selling beneficial owners for purposes of this prospectus.</w:t>
      </w:r>
    </w:p>
    <w:p>
      <w:pPr>
        <w:spacing w:after="0" w:line="3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the extent required by the Securities Act and the rules and regulations thereunder, the selling stockholders and any broker-dealer participating in the distribution of the securities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securities is made, a prospectus supplement, if required, will be distributed, which will set forth the aggregate amount of securities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the securities laws of some states, the securities may be sold in such states only through registered or licensed brokers or dealers. In addition, in some states the securities may not be sold unless such shares have been registered or qualified for sale in such state or an exemption from registration or qualification is available and is complied with.</w:t>
      </w:r>
    </w:p>
    <w:p>
      <w:pPr>
        <w:spacing w:after="0" w:line="16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There can be no assurance that any selling stockholder will sell any or all of the securities registered pursuant to the registration statement of which this prospectus forms a part.</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securities by the selling stockholders and any other participating person. To the extent applicable, Regulation M may also restrict the ability of any person engaged in the distribution of the securities to engage in market-making activities with respect to such securities. All of the foregoing may affect the marketability of the securities and the ability of any person or entity to engage in market-making activities with respect to the securities.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will pay all expenses of the registration of the securities pursuant to the Registration Rights Agreements, estimated to be $ 42,193 in total, including, without limitation, SEC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7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Once sold under the registration statement, of which this prospectus forms a part, the securities will be freely tradable in the hands of persons other than our affiliates.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validity of the securities offered by this prospectus will be passed upon for us by Haynes and Boone, LLP, New York, New York.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consolidated balance sheets of XWELL, Inc. and subsidiaries as of December 31, 2023 and 2022, and the related consolidated statements of operations and comprehensive loss, equity and cash flows for each of the two years in the period ended December 31, 2023, and the related notes have been audited by Marcum LLP, independent registered public accounting firm, as stated in their report which is incorporated herein by reference. Such consolidated financial statements have been incorporated herein by reference in reliance on the report of such firm given upon their authority as experts in accounting and auditing.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S-3 under the Securities Act with respect to the securities offered by this prospectus.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file annual, quarterly and current reports and other information with the SEC. The SEC maintains an internet website at www.sec.gov that contains periodic and current reports, proxy and information statements, and other information regarding registrants that are filed electronically with the SEC.</w:t>
      </w:r>
    </w:p>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These documents are also available, free of charge, through the Investors section of our website, which is located at www.xwell.com. Information contained on our website is not incorporated by reference into this prospectus and you should not consider information on our website to be part of this prospectus.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Securities Exchange Act of 1934, as amended, subsequent to the date of this prospectus and prior to the termination of the offering:</w:t>
      </w:r>
    </w:p>
    <w:p>
      <w:pPr>
        <w:spacing w:after="0" w:line="170" w:lineRule="exact"/>
        <w:rPr>
          <w:sz w:val="20"/>
          <w:szCs w:val="20"/>
          <w:color w:val="auto"/>
        </w:rPr>
      </w:pPr>
    </w:p>
    <w:p>
      <w:pPr>
        <w:ind w:left="320" w:hanging="316"/>
        <w:spacing w:after="0" w:line="293"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34">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2023, filed with the SEC on April 16, 2024, as amended by our report on </w:t>
      </w:r>
      <w:hyperlink r:id="rId35">
        <w:r>
          <w:rPr>
            <w:rFonts w:ascii="Times New Roman" w:cs="Times New Roman" w:eastAsia="Times New Roman" w:hAnsi="Times New Roman"/>
            <w:sz w:val="17"/>
            <w:szCs w:val="17"/>
            <w:u w:val="single" w:color="auto"/>
            <w:color w:val="0000EE"/>
          </w:rPr>
          <w:t>Form 10-K/A</w:t>
        </w:r>
      </w:hyperlink>
      <w:r>
        <w:rPr>
          <w:rFonts w:ascii="Times New Roman" w:cs="Times New Roman" w:eastAsia="Times New Roman" w:hAnsi="Times New Roman"/>
          <w:sz w:val="17"/>
          <w:szCs w:val="17"/>
          <w:color w:val="auto"/>
        </w:rPr>
        <w:t xml:space="preserve">, filed with the SEC on April 17, 2024, and as amended by our report on </w:t>
      </w:r>
      <w:hyperlink r:id="rId36">
        <w:r>
          <w:rPr>
            <w:rFonts w:ascii="Times New Roman" w:cs="Times New Roman" w:eastAsia="Times New Roman" w:hAnsi="Times New Roman"/>
            <w:sz w:val="17"/>
            <w:szCs w:val="17"/>
            <w:u w:val="single" w:color="auto"/>
            <w:color w:val="0000EE"/>
          </w:rPr>
          <w:t>Form 10-K/A</w:t>
        </w:r>
      </w:hyperlink>
      <w:r>
        <w:rPr>
          <w:rFonts w:ascii="Times New Roman" w:cs="Times New Roman" w:eastAsia="Times New Roman" w:hAnsi="Times New Roman"/>
          <w:sz w:val="17"/>
          <w:szCs w:val="17"/>
          <w:color w:val="auto"/>
        </w:rPr>
        <w:t>, filed with the SEC on April 29, 2024;</w:t>
      </w:r>
    </w:p>
    <w:p>
      <w:pPr>
        <w:spacing w:after="0" w:line="147" w:lineRule="exact"/>
        <w:rPr>
          <w:rFonts w:ascii="Times New Roman" w:cs="Times New Roman" w:eastAsia="Times New Roman" w:hAnsi="Times New Roman"/>
          <w:sz w:val="17"/>
          <w:szCs w:val="17"/>
          <w:color w:val="auto"/>
        </w:rPr>
      </w:pPr>
    </w:p>
    <w:p>
      <w:pPr>
        <w:jc w:val="both"/>
        <w:ind w:left="320" w:hanging="316"/>
        <w:spacing w:after="0" w:line="274"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w:t>
      </w:r>
      <w:hyperlink r:id="rId37">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quarter ended March 31, 2024, filed with the SEC on May 15, 2024, our Quarterly Report on </w:t>
      </w:r>
      <w:hyperlink r:id="rId38">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quarter ended June 30, 2024, filed with the SEC on August 14, 2024 and our Quarterly Report on </w:t>
      </w:r>
      <w:hyperlink r:id="rId39">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quarter ended September 30, 2024, filed with the SEC on November 14, 2024;</w:t>
      </w:r>
    </w:p>
    <w:p>
      <w:pPr>
        <w:spacing w:after="0" w:line="163" w:lineRule="exact"/>
        <w:rPr>
          <w:rFonts w:ascii="Times New Roman" w:cs="Times New Roman" w:eastAsia="Times New Roman" w:hAnsi="Times New Roman"/>
          <w:sz w:val="17"/>
          <w:szCs w:val="17"/>
          <w:color w:val="auto"/>
        </w:rPr>
      </w:pPr>
    </w:p>
    <w:p>
      <w:pPr>
        <w:ind w:left="320" w:hanging="316"/>
        <w:spacing w:after="0" w:line="293" w:lineRule="auto"/>
        <w:tabs>
          <w:tab w:leader="none" w:pos="320" w:val="left"/>
        </w:tabs>
        <w:numPr>
          <w:ilvl w:val="0"/>
          <w:numId w:val="6"/>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and Form 8-K/A filed with the SEC on </w:t>
      </w:r>
      <w:hyperlink r:id="rId40">
        <w:r>
          <w:rPr>
            <w:rFonts w:ascii="Times New Roman" w:cs="Times New Roman" w:eastAsia="Times New Roman" w:hAnsi="Times New Roman"/>
            <w:sz w:val="17"/>
            <w:szCs w:val="17"/>
            <w:u w:val="single" w:color="auto"/>
            <w:color w:val="0000EE"/>
          </w:rPr>
          <w:t>February 2, 2024</w:t>
        </w:r>
      </w:hyperlink>
      <w:r>
        <w:rPr>
          <w:rFonts w:ascii="Times New Roman" w:cs="Times New Roman" w:eastAsia="Times New Roman" w:hAnsi="Times New Roman"/>
          <w:sz w:val="17"/>
          <w:szCs w:val="17"/>
          <w:color w:val="auto"/>
        </w:rPr>
        <w:t xml:space="preserve">, </w:t>
      </w:r>
      <w:hyperlink r:id="rId41">
        <w:r>
          <w:rPr>
            <w:rFonts w:ascii="Times New Roman" w:cs="Times New Roman" w:eastAsia="Times New Roman" w:hAnsi="Times New Roman"/>
            <w:sz w:val="17"/>
            <w:szCs w:val="17"/>
            <w:u w:val="single" w:color="auto"/>
            <w:color w:val="0000EE"/>
          </w:rPr>
          <w:t>March 12, 2024</w:t>
        </w:r>
      </w:hyperlink>
      <w:r>
        <w:rPr>
          <w:rFonts w:ascii="Times New Roman" w:cs="Times New Roman" w:eastAsia="Times New Roman" w:hAnsi="Times New Roman"/>
          <w:sz w:val="17"/>
          <w:szCs w:val="17"/>
          <w:color w:val="auto"/>
        </w:rPr>
        <w:t xml:space="preserve">, </w:t>
      </w:r>
      <w:hyperlink r:id="rId42">
        <w:r>
          <w:rPr>
            <w:rFonts w:ascii="Times New Roman" w:cs="Times New Roman" w:eastAsia="Times New Roman" w:hAnsi="Times New Roman"/>
            <w:sz w:val="17"/>
            <w:szCs w:val="17"/>
            <w:u w:val="single" w:color="auto"/>
            <w:color w:val="0000EE"/>
          </w:rPr>
          <w:t>April 12, 2024</w:t>
        </w:r>
      </w:hyperlink>
      <w:r>
        <w:rPr>
          <w:rFonts w:ascii="Times New Roman" w:cs="Times New Roman" w:eastAsia="Times New Roman" w:hAnsi="Times New Roman"/>
          <w:sz w:val="17"/>
          <w:szCs w:val="17"/>
          <w:color w:val="auto"/>
        </w:rPr>
        <w:t xml:space="preserve">, </w:t>
      </w:r>
      <w:hyperlink r:id="rId43">
        <w:r>
          <w:rPr>
            <w:rFonts w:ascii="Times New Roman" w:cs="Times New Roman" w:eastAsia="Times New Roman" w:hAnsi="Times New Roman"/>
            <w:sz w:val="17"/>
            <w:szCs w:val="17"/>
            <w:u w:val="single" w:color="auto"/>
            <w:color w:val="0000EE"/>
          </w:rPr>
          <w:t>May 21, 2024</w:t>
        </w:r>
      </w:hyperlink>
      <w:r>
        <w:rPr>
          <w:rFonts w:ascii="Times New Roman" w:cs="Times New Roman" w:eastAsia="Times New Roman" w:hAnsi="Times New Roman"/>
          <w:sz w:val="17"/>
          <w:szCs w:val="17"/>
          <w:color w:val="auto"/>
        </w:rPr>
        <w:t xml:space="preserve">, </w:t>
      </w:r>
      <w:hyperlink r:id="rId44">
        <w:r>
          <w:rPr>
            <w:rFonts w:ascii="Times New Roman" w:cs="Times New Roman" w:eastAsia="Times New Roman" w:hAnsi="Times New Roman"/>
            <w:sz w:val="17"/>
            <w:szCs w:val="17"/>
            <w:u w:val="single" w:color="auto"/>
            <w:color w:val="0000EE"/>
          </w:rPr>
          <w:t>July 22, 2024</w:t>
        </w:r>
      </w:hyperlink>
      <w:r>
        <w:rPr>
          <w:rFonts w:ascii="Times New Roman" w:cs="Times New Roman" w:eastAsia="Times New Roman" w:hAnsi="Times New Roman"/>
          <w:sz w:val="17"/>
          <w:szCs w:val="17"/>
          <w:color w:val="auto"/>
        </w:rPr>
        <w:t xml:space="preserve">, </w:t>
      </w:r>
      <w:hyperlink r:id="rId45">
        <w:r>
          <w:rPr>
            <w:rFonts w:ascii="Times New Roman" w:cs="Times New Roman" w:eastAsia="Times New Roman" w:hAnsi="Times New Roman"/>
            <w:sz w:val="17"/>
            <w:szCs w:val="17"/>
            <w:u w:val="single" w:color="auto"/>
            <w:color w:val="0000EE"/>
          </w:rPr>
          <w:t>August 7,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46">
        <w:r>
          <w:rPr>
            <w:rFonts w:ascii="Times New Roman" w:cs="Times New Roman" w:eastAsia="Times New Roman" w:hAnsi="Times New Roman"/>
            <w:sz w:val="17"/>
            <w:szCs w:val="17"/>
            <w:u w:val="single" w:color="auto"/>
            <w:color w:val="0000EE"/>
          </w:rPr>
          <w:t>August 16,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47">
        <w:r>
          <w:rPr>
            <w:rFonts w:ascii="Times New Roman" w:cs="Times New Roman" w:eastAsia="Times New Roman" w:hAnsi="Times New Roman"/>
            <w:sz w:val="17"/>
            <w:szCs w:val="17"/>
            <w:u w:val="single" w:color="auto"/>
            <w:color w:val="0000EE"/>
          </w:rPr>
          <w:t>September 5,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48">
        <w:r>
          <w:rPr>
            <w:rFonts w:ascii="Times New Roman" w:cs="Times New Roman" w:eastAsia="Times New Roman" w:hAnsi="Times New Roman"/>
            <w:sz w:val="17"/>
            <w:szCs w:val="17"/>
            <w:u w:val="single" w:color="auto"/>
            <w:color w:val="0000EE"/>
          </w:rPr>
          <w:t>September 23,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49">
        <w:r>
          <w:rPr>
            <w:rFonts w:ascii="Times New Roman" w:cs="Times New Roman" w:eastAsia="Times New Roman" w:hAnsi="Times New Roman"/>
            <w:sz w:val="17"/>
            <w:szCs w:val="17"/>
            <w:u w:val="single" w:color="auto"/>
            <w:color w:val="0000EE"/>
          </w:rPr>
          <w:t xml:space="preserve">January 7, 2025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50">
        <w:r>
          <w:rPr>
            <w:rFonts w:ascii="Times New Roman" w:cs="Times New Roman" w:eastAsia="Times New Roman" w:hAnsi="Times New Roman"/>
            <w:sz w:val="17"/>
            <w:szCs w:val="17"/>
            <w:u w:val="single" w:color="auto"/>
            <w:color w:val="0000EE"/>
          </w:rPr>
          <w:t>January 15,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147" w:lineRule="exact"/>
        <w:rPr>
          <w:rFonts w:ascii="Times New Roman" w:cs="Times New Roman" w:eastAsia="Times New Roman" w:hAnsi="Times New Roman"/>
          <w:sz w:val="17"/>
          <w:szCs w:val="17"/>
          <w:color w:val="0000EE"/>
        </w:rPr>
      </w:pPr>
    </w:p>
    <w:p>
      <w:pPr>
        <w:jc w:val="both"/>
        <w:ind w:left="320" w:hanging="316"/>
        <w:spacing w:after="0" w:line="274" w:lineRule="auto"/>
        <w:tabs>
          <w:tab w:leader="none" w:pos="3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our </w:t>
      </w:r>
      <w:hyperlink r:id="rId51">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with the SEC on June 16, 2010, as amended by </w:t>
      </w:r>
      <w:hyperlink r:id="rId52">
        <w:r>
          <w:rPr>
            <w:rFonts w:ascii="Times New Roman" w:cs="Times New Roman" w:eastAsia="Times New Roman" w:hAnsi="Times New Roman"/>
            <w:sz w:val="17"/>
            <w:szCs w:val="17"/>
            <w:u w:val="single" w:color="auto"/>
            <w:color w:val="0000EE"/>
          </w:rPr>
          <w:t>Exhibit 4.15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as amended, for the fiscal year ended December 31, 2023, as amended, including any amendments thereto or reports filed for the purposes of updating this description.</w:t>
      </w:r>
    </w:p>
    <w:p>
      <w:pPr>
        <w:spacing w:after="0" w:line="163" w:lineRule="exact"/>
        <w:rPr>
          <w:rFonts w:ascii="Times New Roman" w:cs="Times New Roman" w:eastAsia="Times New Roman" w:hAnsi="Times New Roman"/>
          <w:sz w:val="17"/>
          <w:szCs w:val="17"/>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filings filed by us pursuant to the Securities Exchange Act of 1934, as amended, after the date of the initial filing of this registration statement and prior to the effectiveness of such registration statement (excluding information furnished pursuant to Items 2.02 and 7.01 of Form 8-K) shall also be deemed to be incorporated by reference into the prospectus.</w:t>
      </w:r>
    </w:p>
    <w:p>
      <w:pPr>
        <w:spacing w:after="0" w:line="371" w:lineRule="exact"/>
        <w:rPr>
          <w:rFonts w:ascii="Times New Roman" w:cs="Times New Roman" w:eastAsia="Times New Roman" w:hAnsi="Times New Roman"/>
          <w:sz w:val="17"/>
          <w:szCs w:val="17"/>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5" w:name="page26"/>
    <w:bookmarkEnd w:id="25"/>
    <w:p>
      <w:pPr>
        <w:jc w:val="both"/>
        <w:spacing w:after="0" w:line="263" w:lineRule="auto"/>
        <w:rPr>
          <w:sz w:val="20"/>
          <w:szCs w:val="20"/>
          <w:color w:val="auto"/>
        </w:rPr>
      </w:pPr>
      <w:r>
        <w:rPr>
          <w:rFonts w:ascii="Times New Roman" w:cs="Times New Roman" w:eastAsia="Times New Roman" w:hAnsi="Times New Roman"/>
          <w:sz w:val="17"/>
          <w:szCs w:val="17"/>
          <w:color w:val="auto"/>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XWELL,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254 West 31st Street, 11th Floor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(212) 750-9595</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You may also access the documents incorporated by reference in this prospectus through our website at www.xwell.com. Except for the specific incorporated documents listed above, no information available on or through our website shall be deemed to be incorporated in this prospectus or the registration statement of which it forms a part.</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1,051,677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XWELL,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421005</wp:posOffset>
            </wp:positionV>
            <wp:extent cx="7137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Other Expenses of Issuance and Distribution</w:t>
      </w:r>
    </w:p>
    <w:p>
      <w:pPr>
        <w:spacing w:after="0" w:line="22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following table sets forth the various costs and expenses payable by us in connection with the sale of the securities being registered. All such costs and expenses shall be borne by us. Except for the Securities and Exchange Commission registration fee, all the amounts shown are estimates.</w:t>
      </w:r>
    </w:p>
    <w:p>
      <w:pPr>
        <w:sectPr>
          <w:pgSz w:w="11900" w:h="16838" w:orient="portrait"/>
          <w:cols w:equalWidth="0" w:num="1">
            <w:col w:w="11240"/>
          </w:cols>
          <w:pgMar w:left="320" w:top="874" w:right="339" w:bottom="1440" w:gutter="0" w:footer="0" w:header="0"/>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32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Printing and engraving costs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7400" cy="132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Accounting fees and expenses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7400" cy="140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Indemnification of Directors and Officers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963" w:hanging="963"/>
        <w:spacing w:after="0"/>
        <w:tabs>
          <w:tab w:leader="none" w:pos="96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193</w:t>
      </w:r>
    </w:p>
    <w:p>
      <w:pPr>
        <w:spacing w:after="0" w:line="31" w:lineRule="exact"/>
        <w:rPr>
          <w:rFonts w:ascii="Times New Roman" w:cs="Times New Roman" w:eastAsia="Times New Roman" w:hAnsi="Times New Roman"/>
          <w:sz w:val="17"/>
          <w:szCs w:val="17"/>
          <w:color w:val="auto"/>
        </w:rPr>
      </w:pPr>
    </w:p>
    <w:p>
      <w:pPr>
        <w:ind w:left="116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25,000</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15,000</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76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76605" cy="8255"/>
                    </a:xfrm>
                    <a:prstGeom prst="rect">
                      <a:avLst/>
                    </a:prstGeom>
                    <a:noFill/>
                  </pic:spPr>
                </pic:pic>
              </a:graphicData>
            </a:graphic>
          </wp:anchor>
        </w:drawing>
      </w:r>
    </w:p>
    <w:p>
      <w:pPr>
        <w:spacing w:after="0" w:line="13" w:lineRule="exact"/>
        <w:rPr>
          <w:sz w:val="20"/>
          <w:szCs w:val="20"/>
          <w:color w:val="auto"/>
        </w:rPr>
      </w:pPr>
    </w:p>
    <w:p>
      <w:pPr>
        <w:ind w:left="743" w:hanging="743"/>
        <w:spacing w:after="0"/>
        <w:tabs>
          <w:tab w:leader="none" w:pos="74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76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76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776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76605" cy="8255"/>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9197" w:space="720"/>
            <w:col w:w="1323"/>
          </w:cols>
          <w:pgMar w:left="320" w:top="874" w:right="339" w:bottom="1440" w:gutter="0" w:footer="0" w:header="0"/>
          <w:type w:val="continuous"/>
        </w:sectPr>
      </w:pPr>
    </w:p>
    <w:p>
      <w:pPr>
        <w:spacing w:after="0" w:line="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Section 102 of the Delaware General Corporation Law (“DCGL”)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145 of the DCGL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63" w:lineRule="exact"/>
        <w:rPr>
          <w:sz w:val="20"/>
          <w:szCs w:val="20"/>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DGCL; or</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7"/>
          <w:szCs w:val="17"/>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Item 16.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20" w:type="dxa"/>
            <w:vAlign w:val="bottom"/>
            <w:tcBorders>
              <w:bottom w:val="single" w:sz="8" w:color="auto"/>
            </w:tcBorders>
            <w:gridSpan w:val="28"/>
          </w:tcPr>
          <w:p>
            <w:pPr>
              <w:ind w:left="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r>
      <w:tr>
        <w:trPr>
          <w:trHeight w:val="370"/>
        </w:trPr>
        <w:tc>
          <w:tcPr>
            <w:tcW w:w="300" w:type="dxa"/>
            <w:vAlign w:val="bottom"/>
            <w:gridSpan w:val="2"/>
          </w:tcPr>
          <w:p>
            <w:pPr>
              <w:spacing w:after="0"/>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Agreement and Plan of Merger by and among FORM Holdings Corp., FHXMS, LLC, XpresSpa Holdings, LLC, the unitholders of XpresSpa</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tcBorders>
              <w:top w:val="single" w:sz="8" w:color="0000EE"/>
              <w:bottom w:val="single" w:sz="8" w:color="0000EE"/>
            </w:tcBorders>
            <w:gridSpan w:val="35"/>
          </w:tcPr>
          <w:p>
            <w:pPr>
              <w:spacing w:after="0" w:line="188" w:lineRule="exact"/>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who are parties thereto and Mistral XH Representative, LLC, as representative of the unitholders, dated as of August 8, 2016 (incorporated by</w:t>
              </w:r>
            </w:hyperlink>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35"/>
          </w:tcPr>
          <w:p>
            <w:pPr>
              <w:spacing w:after="0" w:line="188" w:lineRule="exact"/>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reference to Exhibit 2.1 to our Current Report on Form 8-K filed with the SEC on August 8, 2016).</w:t>
              </w:r>
            </w:hyperlink>
          </w:p>
        </w:tc>
      </w:tr>
      <w:tr>
        <w:trPr>
          <w:trHeight w:val="20"/>
        </w:trPr>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2</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Amendment No. 1 to Agreement and Plan of Merger by and among FORM Holdings Corp., FHXMS, LLC, XpresSpa Holdings, LLC and</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tcBorders>
              <w:top w:val="single" w:sz="8" w:color="0000EE"/>
              <w:bottom w:val="single" w:sz="8" w:color="0000EE"/>
            </w:tcBorders>
            <w:gridSpan w:val="35"/>
          </w:tcPr>
          <w:p>
            <w:pPr>
              <w:spacing w:after="0" w:line="188" w:lineRule="exact"/>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Mistral XH Representative, LLC, as representative of the unitholders, dated September 8, 2016 (incorporated by reference to Exhibit 2.1 to our</w:t>
              </w:r>
            </w:hyperlink>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0" w:type="dxa"/>
            <w:vAlign w:val="bottom"/>
            <w:tcBorders>
              <w:bottom w:val="single" w:sz="8" w:color="0000EE"/>
            </w:tcBorders>
            <w:gridSpan w:val="12"/>
          </w:tcPr>
          <w:p>
            <w:pPr>
              <w:spacing w:after="0" w:line="188" w:lineRule="exact"/>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Current Report on Form 8-K filed with the SEC on September 9, 2016).</w:t>
              </w:r>
            </w:hyperlink>
          </w:p>
        </w:tc>
        <w:tc>
          <w:tcPr>
            <w:tcW w:w="5120" w:type="dxa"/>
            <w:vAlign w:val="bottom"/>
            <w:gridSpan w:val="23"/>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66">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3</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66">
              <w:r>
                <w:rPr>
                  <w:rFonts w:ascii="Times New Roman" w:cs="Times New Roman" w:eastAsia="Times New Roman" w:hAnsi="Times New Roman"/>
                  <w:sz w:val="17"/>
                  <w:szCs w:val="17"/>
                  <w:color w:val="0000EE"/>
                </w:rPr>
                <w:t>Amendment No. 2 to Agreement and Plan of Merger by and among FORM Holdings Corp., FHXMS, LLC, XpresSpa Holdings, LLC and</w:t>
              </w:r>
            </w:hyperlink>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66">
              <w:r>
                <w:rPr>
                  <w:rFonts w:ascii="Times New Roman" w:cs="Times New Roman" w:eastAsia="Times New Roman" w:hAnsi="Times New Roman"/>
                  <w:sz w:val="17"/>
                  <w:szCs w:val="17"/>
                  <w:color w:val="0000EE"/>
                </w:rPr>
                <w:t>Mistral XH Representative, LLC, as representative of the unitholders, dated October 25, 2016 (incorporated by reference to Exhibit 2.1 to our</w:t>
              </w:r>
            </w:hyperlink>
          </w:p>
        </w:tc>
        <w:tc>
          <w:tcPr>
            <w:tcW w:w="260" w:type="dxa"/>
            <w:vAlign w:val="bottom"/>
            <w:gridSpan w:val="10"/>
          </w:tcPr>
          <w:p>
            <w:pPr>
              <w:spacing w:after="0"/>
              <w:rPr>
                <w:sz w:val="16"/>
                <w:szCs w:val="16"/>
                <w:color w:val="auto"/>
              </w:rPr>
            </w:pPr>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80" w:type="dxa"/>
            <w:vAlign w:val="bottom"/>
            <w:tcBorders>
              <w:bottom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66">
              <w:r>
                <w:rPr>
                  <w:rFonts w:ascii="Times New Roman" w:cs="Times New Roman" w:eastAsia="Times New Roman" w:hAnsi="Times New Roman"/>
                  <w:sz w:val="17"/>
                  <w:szCs w:val="17"/>
                  <w:color w:val="0000EE"/>
                </w:rPr>
                <w:t>Current Report on Form 8-K filed with the SEC on October 25, 2016).</w:t>
              </w:r>
            </w:hyperlink>
          </w:p>
        </w:tc>
        <w:tc>
          <w:tcPr>
            <w:tcW w:w="5140" w:type="dxa"/>
            <w:vAlign w:val="bottom"/>
            <w:gridSpan w:val="24"/>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Certificate of Elimination of Series A Convertible Preferred Stock, Series D Convertible Preferred Stock, Series E Convertible Preferred Stock</w:t>
              </w:r>
            </w:hyperlink>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tcBorders>
              <w:bottom w:val="single" w:sz="8" w:color="0000EE"/>
            </w:tcBorders>
            <w:gridSpan w:val="32"/>
          </w:tcPr>
          <w:p>
            <w:pPr>
              <w:spacing w:after="0" w:line="188" w:lineRule="exact"/>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and Series F Convertible Preferred Stock, as filed with Secretary of State of Delaware, effective on October 24, 2022 (incorporated by reference</w:t>
              </w:r>
            </w:hyperlink>
          </w:p>
        </w:tc>
        <w:tc>
          <w:tcPr>
            <w:tcW w:w="100" w:type="dxa"/>
            <w:vAlign w:val="bottom"/>
            <w:gridSpan w:val="3"/>
          </w:tcPr>
          <w:p>
            <w:pPr>
              <w:spacing w:after="0"/>
              <w:rPr>
                <w:sz w:val="16"/>
                <w:szCs w:val="16"/>
                <w:color w:val="auto"/>
              </w:rPr>
            </w:pPr>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20" w:type="dxa"/>
            <w:vAlign w:val="bottom"/>
            <w:tcBorders>
              <w:bottom w:val="single" w:sz="8" w:color="0000EE"/>
            </w:tcBorders>
            <w:gridSpan w:val="14"/>
          </w:tcPr>
          <w:p>
            <w:pPr>
              <w:spacing w:after="0" w:line="188" w:lineRule="exact"/>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to Exhibit 3.1 to our Current Report on Form 8-K filed with the SEC on October 24, 2022).</w:t>
              </w:r>
            </w:hyperlink>
          </w:p>
        </w:tc>
        <w:tc>
          <w:tcPr>
            <w:tcW w:w="3700" w:type="dxa"/>
            <w:vAlign w:val="bottom"/>
            <w:gridSpan w:val="21"/>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Amended and Restated Certificate of Incorporation of XWELL, Inc., effective on October 25, 2022 (incorporated by reference to Exhibit 3.2 to</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0" w:type="dxa"/>
            <w:vAlign w:val="bottom"/>
            <w:tcBorders>
              <w:top w:val="single" w:sz="8" w:color="0000EE"/>
              <w:bottom w:val="single" w:sz="8" w:color="0000EE"/>
            </w:tcBorders>
            <w:gridSpan w:val="13"/>
          </w:tcPr>
          <w:p>
            <w:pPr>
              <w:spacing w:after="0" w:line="188" w:lineRule="exact"/>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our Current Report on Form 8-K filed with the SEC on October 24, 2022.</w:t>
              </w:r>
            </w:hyperlink>
          </w:p>
        </w:tc>
        <w:tc>
          <w:tcPr>
            <w:tcW w:w="4780" w:type="dxa"/>
            <w:vAlign w:val="bottom"/>
            <w:tcBorders>
              <w:top w:val="single" w:sz="8" w:color="0000EE"/>
            </w:tcBorders>
            <w:gridSpan w:val="17"/>
          </w:tcPr>
          <w:p>
            <w:pPr>
              <w:spacing w:after="0"/>
              <w:rPr>
                <w:sz w:val="16"/>
                <w:szCs w:val="16"/>
                <w:color w:val="auto"/>
              </w:rPr>
            </w:pPr>
          </w:p>
        </w:tc>
        <w:tc>
          <w:tcPr>
            <w:tcW w:w="140" w:type="dxa"/>
            <w:vAlign w:val="bottom"/>
            <w:gridSpan w:val="5"/>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Third Amended and Restated Bylaws of XWELL, Inc. (incorporated by reference to Exhibit 3.1 to our Current Report on Form 8-K filed with the</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top w:val="single" w:sz="8" w:color="0000EE"/>
              <w:bottom w:val="single" w:sz="8" w:color="0000EE"/>
            </w:tcBorders>
            <w:gridSpan w:val="3"/>
          </w:tcPr>
          <w:p>
            <w:pPr>
              <w:spacing w:after="0" w:line="188" w:lineRule="exact"/>
              <w:rPr>
                <w:rFonts w:ascii="Times New Roman" w:cs="Times New Roman" w:eastAsia="Times New Roman" w:hAnsi="Times New Roman"/>
                <w:sz w:val="17"/>
                <w:szCs w:val="17"/>
                <w:color w:val="0000EE"/>
              </w:rPr>
            </w:pPr>
            <w:hyperlink r:id="rId69">
              <w:r>
                <w:rPr>
                  <w:rFonts w:ascii="Times New Roman" w:cs="Times New Roman" w:eastAsia="Times New Roman" w:hAnsi="Times New Roman"/>
                  <w:sz w:val="17"/>
                  <w:szCs w:val="17"/>
                  <w:color w:val="0000EE"/>
                </w:rPr>
                <w:t>SEC on May 21, 2024).</w:t>
              </w:r>
            </w:hyperlink>
          </w:p>
        </w:tc>
        <w:tc>
          <w:tcPr>
            <w:tcW w:w="8380" w:type="dxa"/>
            <w:vAlign w:val="bottom"/>
            <w:tcBorders>
              <w:top w:val="single" w:sz="8" w:color="0000EE"/>
            </w:tcBorders>
            <w:gridSpan w:val="32"/>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4</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Certificate of Amendment to the Amended and Restated Certificate of Incorporation, effective as of September 27, 2023 (incorporated by</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300" w:type="dxa"/>
            <w:vAlign w:val="bottom"/>
            <w:tcBorders>
              <w:top w:val="single" w:sz="8" w:color="0000EE"/>
              <w:bottom w:val="single" w:sz="8" w:color="0000EE"/>
            </w:tcBorders>
            <w:gridSpan w:val="16"/>
          </w:tcPr>
          <w:p>
            <w:pPr>
              <w:spacing w:after="0" w:line="188"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reference to Exhibit 3.1 to our Current Report on Form 8-K filed with the SEC on September 27, 2023).</w:t>
              </w:r>
            </w:hyperlink>
          </w:p>
        </w:tc>
        <w:tc>
          <w:tcPr>
            <w:tcW w:w="2280" w:type="dxa"/>
            <w:vAlign w:val="bottom"/>
            <w:tcBorders>
              <w:top w:val="single" w:sz="8" w:color="0000EE"/>
            </w:tcBorders>
            <w:gridSpan w:val="4"/>
          </w:tcPr>
          <w:p>
            <w:pPr>
              <w:spacing w:after="0"/>
              <w:rPr>
                <w:sz w:val="16"/>
                <w:szCs w:val="16"/>
                <w:color w:val="auto"/>
              </w:rPr>
            </w:pPr>
          </w:p>
        </w:tc>
        <w:tc>
          <w:tcPr>
            <w:tcW w:w="540" w:type="dxa"/>
            <w:vAlign w:val="bottom"/>
            <w:gridSpan w:val="15"/>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5</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Certificate of Designation of Series A Junior Participating Preferred Stock, filed with the Secretary of State of the State of Delaware on</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80" w:type="dxa"/>
            <w:vAlign w:val="bottom"/>
            <w:tcBorders>
              <w:top w:val="single" w:sz="8" w:color="0000EE"/>
              <w:bottom w:val="single" w:sz="8" w:color="0000EE"/>
            </w:tcBorders>
            <w:gridSpan w:val="18"/>
          </w:tcPr>
          <w:p>
            <w:pPr>
              <w:spacing w:after="0" w:line="188"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August 16, 2024 (incorporated by reference to Exhibit 3.1 to our Current Report on Form 8-K filed with the SEC on August 16, 2024).</w:t>
              </w:r>
            </w:hyperlink>
          </w:p>
        </w:tc>
        <w:tc>
          <w:tcPr>
            <w:tcW w:w="60" w:type="dxa"/>
            <w:vAlign w:val="bottom"/>
            <w:tcBorders>
              <w:bottom w:val="single" w:sz="8" w:color="0000EE"/>
            </w:tcBorders>
          </w:tcPr>
          <w:p>
            <w:pPr>
              <w:spacing w:after="0"/>
              <w:rPr>
                <w:sz w:val="16"/>
                <w:szCs w:val="16"/>
                <w:color w:val="auto"/>
              </w:rPr>
            </w:pPr>
          </w:p>
        </w:tc>
        <w:tc>
          <w:tcPr>
            <w:tcW w:w="680" w:type="dxa"/>
            <w:vAlign w:val="bottom"/>
            <w:gridSpan w:val="16"/>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6</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Form of Certificate of Designations of Series G Convertible Preferred Stock (incorporated by reference to Exhibit 3.1 to our Current Report on</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60" w:type="dxa"/>
            <w:vAlign w:val="bottom"/>
            <w:tcBorders>
              <w:top w:val="single" w:sz="8" w:color="0000EE"/>
              <w:bottom w:val="single" w:sz="8" w:color="0000EE"/>
            </w:tcBorders>
            <w:gridSpan w:val="4"/>
          </w:tcPr>
          <w:p>
            <w:pPr>
              <w:spacing w:after="0" w:line="188"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Form 8-K filed with the SEC on January 15, 2025).</w:t>
              </w:r>
            </w:hyperlink>
          </w:p>
        </w:tc>
        <w:tc>
          <w:tcPr>
            <w:tcW w:w="6280" w:type="dxa"/>
            <w:vAlign w:val="bottom"/>
            <w:tcBorders>
              <w:top w:val="single" w:sz="8" w:color="0000EE"/>
            </w:tcBorders>
            <w:gridSpan w:val="24"/>
          </w:tcPr>
          <w:p>
            <w:pPr>
              <w:spacing w:after="0"/>
              <w:rPr>
                <w:sz w:val="16"/>
                <w:szCs w:val="16"/>
                <w:color w:val="auto"/>
              </w:rPr>
            </w:pPr>
          </w:p>
        </w:tc>
        <w:tc>
          <w:tcPr>
            <w:tcW w:w="180" w:type="dxa"/>
            <w:vAlign w:val="bottom"/>
            <w:gridSpan w:val="7"/>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Section 382 Rights Agreement, dated as of March 18, 2016, between Vringo, Inc. and American Stock Transfer &amp; Trust Company, LLC, which</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tcBorders>
              <w:top w:val="single" w:sz="8" w:color="0000EE"/>
              <w:bottom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includes the Form of Certificate of Designation of Series C Junior Participating Preferred Stock as Exhibit A, the Form of Right Certificate as</w:t>
              </w:r>
            </w:hyperlink>
          </w:p>
        </w:tc>
        <w:tc>
          <w:tcPr>
            <w:tcW w:w="120" w:type="dxa"/>
            <w:vAlign w:val="bottom"/>
            <w:tcBorders>
              <w:top w:val="single" w:sz="8" w:color="0000EE"/>
            </w:tcBorders>
            <w:gridSpan w:val="5"/>
          </w:tcPr>
          <w:p>
            <w:pPr>
              <w:spacing w:after="0"/>
              <w:rPr>
                <w:sz w:val="16"/>
                <w:szCs w:val="16"/>
                <w:color w:val="auto"/>
              </w:rPr>
            </w:pPr>
          </w:p>
        </w:tc>
        <w:tc>
          <w:tcPr>
            <w:tcW w:w="160" w:type="dxa"/>
            <w:vAlign w:val="bottom"/>
            <w:gridSpan w:val="6"/>
          </w:tcPr>
          <w:p>
            <w:pPr>
              <w:spacing w:after="0"/>
              <w:rPr>
                <w:sz w:val="16"/>
                <w:szCs w:val="16"/>
                <w:color w:val="auto"/>
              </w:rPr>
            </w:pPr>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tcBorders>
              <w:bottom w:val="single" w:sz="8" w:color="0000EE"/>
            </w:tcBorders>
            <w:gridSpan w:val="35"/>
          </w:tcPr>
          <w:p>
            <w:pPr>
              <w:spacing w:after="0" w:line="188"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Exhibit B and the Summary of Rights to Purchase Preferred Stock as Exhibit C (incorporated by reference from Exhibit 4.1 to our Current Report</w:t>
              </w:r>
            </w:hyperlink>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8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on Form 8-K filed with the SEC on March 21, 2016).</w:t>
              </w:r>
            </w:hyperlink>
          </w:p>
        </w:tc>
        <w:tc>
          <w:tcPr>
            <w:tcW w:w="6340" w:type="dxa"/>
            <w:vAlign w:val="bottom"/>
            <w:gridSpan w:val="30"/>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Amendment to Section 382 Rights Agreement, dated March 18, 2019, between the Company and American Stock Transfer &amp; Trust Company,</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60" w:type="dxa"/>
            <w:vAlign w:val="bottom"/>
            <w:tcBorders>
              <w:top w:val="single" w:sz="8" w:color="0000EE"/>
              <w:bottom w:val="single" w:sz="8" w:color="0000EE"/>
            </w:tcBorders>
            <w:gridSpan w:val="17"/>
          </w:tcPr>
          <w:p>
            <w:pPr>
              <w:spacing w:after="0" w:line="188"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LLC (incorporated by reference from Exhibit 10.1 to our Current Report on Form 8-K filed with the SEC on March 22, 2019).</w:t>
              </w:r>
            </w:hyperlink>
          </w:p>
        </w:tc>
        <w:tc>
          <w:tcPr>
            <w:tcW w:w="1040" w:type="dxa"/>
            <w:vAlign w:val="bottom"/>
            <w:tcBorders>
              <w:top w:val="single" w:sz="8" w:color="0000EE"/>
            </w:tcBorders>
            <w:gridSpan w:val="9"/>
          </w:tcPr>
          <w:p>
            <w:pPr>
              <w:spacing w:after="0"/>
              <w:rPr>
                <w:sz w:val="16"/>
                <w:szCs w:val="16"/>
                <w:color w:val="auto"/>
              </w:rPr>
            </w:pPr>
          </w:p>
        </w:tc>
        <w:tc>
          <w:tcPr>
            <w:tcW w:w="220" w:type="dxa"/>
            <w:vAlign w:val="bottom"/>
            <w:gridSpan w:val="9"/>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3</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Form of Warrant to Purchase Shares of Common Stock of FORM Holdings Corp. (incorporated by reference from Annex F to our Registration</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0" w:type="dxa"/>
            <w:vAlign w:val="bottom"/>
            <w:tcBorders>
              <w:top w:val="single" w:sz="8" w:color="0000EE"/>
              <w:bottom w:val="single" w:sz="8" w:color="0000EE"/>
            </w:tcBorders>
            <w:gridSpan w:val="8"/>
          </w:tcPr>
          <w:p>
            <w:pPr>
              <w:spacing w:after="0" w:line="188" w:lineRule="exact"/>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Statement on Form S-4 filed with the SEC on October 26, 2016).</w:t>
              </w:r>
            </w:hyperlink>
          </w:p>
        </w:tc>
        <w:tc>
          <w:tcPr>
            <w:tcW w:w="5320" w:type="dxa"/>
            <w:vAlign w:val="bottom"/>
            <w:tcBorders>
              <w:top w:val="single" w:sz="8" w:color="0000EE"/>
            </w:tcBorders>
            <w:gridSpan w:val="19"/>
          </w:tcPr>
          <w:p>
            <w:pPr>
              <w:spacing w:after="0"/>
              <w:rPr>
                <w:sz w:val="16"/>
                <w:szCs w:val="16"/>
                <w:color w:val="auto"/>
              </w:rPr>
            </w:pPr>
          </w:p>
        </w:tc>
        <w:tc>
          <w:tcPr>
            <w:tcW w:w="200" w:type="dxa"/>
            <w:vAlign w:val="bottom"/>
            <w:gridSpan w:val="8"/>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4</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Form of Secured Convertible Note (incorporated by reference from Exhibit 4.1 to our Quarterly Report on Form 10-Q filed with the SEC on</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0000EE"/>
              <w:bottom w:val="single" w:sz="8" w:color="0000EE"/>
            </w:tcBorders>
          </w:tcPr>
          <w:p>
            <w:pPr>
              <w:spacing w:after="0" w:line="188" w:lineRule="exact"/>
              <w:rPr>
                <w:rFonts w:ascii="Times New Roman" w:cs="Times New Roman" w:eastAsia="Times New Roman" w:hAnsi="Times New Roman"/>
                <w:sz w:val="17"/>
                <w:szCs w:val="17"/>
                <w:color w:val="0000EE"/>
              </w:rPr>
            </w:pPr>
            <w:hyperlink r:id="rId76">
              <w:r>
                <w:rPr>
                  <w:rFonts w:ascii="Times New Roman" w:cs="Times New Roman" w:eastAsia="Times New Roman" w:hAnsi="Times New Roman"/>
                  <w:sz w:val="17"/>
                  <w:szCs w:val="17"/>
                  <w:color w:val="0000EE"/>
                </w:rPr>
                <w:t>May 15, 2018).</w:t>
              </w:r>
            </w:hyperlink>
          </w:p>
        </w:tc>
        <w:tc>
          <w:tcPr>
            <w:tcW w:w="8580" w:type="dxa"/>
            <w:vAlign w:val="bottom"/>
            <w:tcBorders>
              <w:top w:val="single" w:sz="8" w:color="0000EE"/>
            </w:tcBorders>
            <w:gridSpan w:val="22"/>
          </w:tcPr>
          <w:p>
            <w:pPr>
              <w:spacing w:after="0"/>
              <w:rPr>
                <w:sz w:val="16"/>
                <w:szCs w:val="16"/>
                <w:color w:val="auto"/>
              </w:rPr>
            </w:pPr>
          </w:p>
        </w:tc>
        <w:tc>
          <w:tcPr>
            <w:tcW w:w="380" w:type="dxa"/>
            <w:vAlign w:val="bottom"/>
            <w:gridSpan w:val="12"/>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5</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Amendment to Secured Convertible Note (incorporated by reference from Exhibit 4.1 to our Current Report on Form 8-K filed with the SEC on</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0000EE"/>
              <w:bottom w:val="single" w:sz="8" w:color="0000EE"/>
            </w:tcBorders>
          </w:tcPr>
          <w:p>
            <w:pPr>
              <w:spacing w:after="0" w:line="188" w:lineRule="exact"/>
              <w:rPr>
                <w:rFonts w:ascii="Times New Roman" w:cs="Times New Roman" w:eastAsia="Times New Roman" w:hAnsi="Times New Roman"/>
                <w:sz w:val="17"/>
                <w:szCs w:val="17"/>
                <w:color w:val="0000EE"/>
              </w:rPr>
            </w:pPr>
            <w:hyperlink r:id="rId77">
              <w:r>
                <w:rPr>
                  <w:rFonts w:ascii="Times New Roman" w:cs="Times New Roman" w:eastAsia="Times New Roman" w:hAnsi="Times New Roman"/>
                  <w:sz w:val="17"/>
                  <w:szCs w:val="17"/>
                  <w:color w:val="0000EE"/>
                </w:rPr>
                <w:t>June 27, 2019).</w:t>
              </w:r>
            </w:hyperlink>
          </w:p>
        </w:tc>
        <w:tc>
          <w:tcPr>
            <w:tcW w:w="8840" w:type="dxa"/>
            <w:vAlign w:val="bottom"/>
            <w:tcBorders>
              <w:top w:val="single" w:sz="8" w:color="0000EE"/>
            </w:tcBorders>
            <w:gridSpan w:val="30"/>
          </w:tcPr>
          <w:p>
            <w:pPr>
              <w:spacing w:after="0"/>
              <w:rPr>
                <w:sz w:val="16"/>
                <w:szCs w:val="16"/>
                <w:color w:val="auto"/>
              </w:rPr>
            </w:pPr>
          </w:p>
        </w:tc>
        <w:tc>
          <w:tcPr>
            <w:tcW w:w="120" w:type="dxa"/>
            <w:vAlign w:val="bottom"/>
            <w:gridSpan w:val="4"/>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6</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Second Amended and Restated Convertible Promissory Note, dated as of July 8, 2019 (incorporated by reference from Exhibit 4.3 to our Current</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Borders>
              <w:top w:val="single" w:sz="8" w:color="0000EE"/>
              <w:bottom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78">
              <w:r>
                <w:rPr>
                  <w:rFonts w:ascii="Times New Roman" w:cs="Times New Roman" w:eastAsia="Times New Roman" w:hAnsi="Times New Roman"/>
                  <w:sz w:val="17"/>
                  <w:szCs w:val="17"/>
                  <w:color w:val="0000EE"/>
                </w:rPr>
                <w:t>Report on Form 8-K filed with the SEC on July 8, 2019).</w:t>
              </w:r>
            </w:hyperlink>
          </w:p>
        </w:tc>
        <w:tc>
          <w:tcPr>
            <w:tcW w:w="6020" w:type="dxa"/>
            <w:vAlign w:val="bottom"/>
            <w:tcBorders>
              <w:top w:val="single" w:sz="8" w:color="0000EE"/>
            </w:tcBorders>
            <w:gridSpan w:val="28"/>
          </w:tcPr>
          <w:p>
            <w:pPr>
              <w:spacing w:after="0"/>
              <w:rPr>
                <w:sz w:val="16"/>
                <w:szCs w:val="16"/>
                <w:color w:val="auto"/>
              </w:rPr>
            </w:pPr>
          </w:p>
        </w:tc>
        <w:tc>
          <w:tcPr>
            <w:tcW w:w="40" w:type="dxa"/>
            <w:vAlign w:val="bottom"/>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7</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Third Amended and Restated Convertible Promissory Note, dated as of January 9, 2020 (incorporated by reference from Exhibit 4.1 to our</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60" w:type="dxa"/>
            <w:vAlign w:val="bottom"/>
            <w:tcBorders>
              <w:top w:val="single" w:sz="8" w:color="0000EE"/>
              <w:bottom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Current Report on Form 8-K filed with the SEC on January 14, 2020).</w:t>
              </w:r>
            </w:hyperlink>
          </w:p>
        </w:tc>
        <w:tc>
          <w:tcPr>
            <w:tcW w:w="4740" w:type="dxa"/>
            <w:vAlign w:val="bottom"/>
            <w:tcBorders>
              <w:top w:val="single" w:sz="8" w:color="0000EE"/>
            </w:tcBorders>
            <w:gridSpan w:val="12"/>
          </w:tcPr>
          <w:p>
            <w:pPr>
              <w:spacing w:after="0"/>
              <w:rPr>
                <w:sz w:val="16"/>
                <w:szCs w:val="16"/>
                <w:color w:val="auto"/>
              </w:rPr>
            </w:pPr>
          </w:p>
        </w:tc>
        <w:tc>
          <w:tcPr>
            <w:tcW w:w="420" w:type="dxa"/>
            <w:vAlign w:val="bottom"/>
            <w:gridSpan w:val="13"/>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8</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Fourth Amended and Restated Convertible Promissory Note, dated as of March 6, 2020 (incorporated by reference from Exhibit 4.1 to our</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9"/>
          </w:tcPr>
          <w:p>
            <w:pPr>
              <w:spacing w:after="0" w:line="188" w:lineRule="exact"/>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Current Report on Form 8-K filed with the SEC on March 6, 2020).</w:t>
              </w:r>
            </w:hyperlink>
          </w:p>
        </w:tc>
        <w:tc>
          <w:tcPr>
            <w:tcW w:w="4840" w:type="dxa"/>
            <w:vAlign w:val="bottom"/>
            <w:tcBorders>
              <w:top w:val="single" w:sz="8" w:color="0000EE"/>
            </w:tcBorders>
            <w:gridSpan w:val="12"/>
          </w:tcPr>
          <w:p>
            <w:pPr>
              <w:spacing w:after="0"/>
              <w:rPr>
                <w:sz w:val="16"/>
                <w:szCs w:val="16"/>
                <w:color w:val="auto"/>
              </w:rPr>
            </w:pPr>
          </w:p>
        </w:tc>
        <w:tc>
          <w:tcPr>
            <w:tcW w:w="500" w:type="dxa"/>
            <w:vAlign w:val="bottom"/>
            <w:gridSpan w:val="14"/>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9</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Unsecured Convertible Note due May 31, 2022 (incorporated by reference to Exhibit 4.1 to our Current Report on Form 8-K filed with the SEC</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2"/>
          </w:tcPr>
          <w:p>
            <w:pPr>
              <w:spacing w:after="0" w:line="188" w:lineRule="exact"/>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on July 8, 2019).</w:t>
              </w:r>
            </w:hyperlink>
          </w:p>
        </w:tc>
        <w:tc>
          <w:tcPr>
            <w:tcW w:w="8720" w:type="dxa"/>
            <w:vAlign w:val="bottom"/>
            <w:tcBorders>
              <w:top w:val="single" w:sz="8" w:color="0000EE"/>
            </w:tcBorders>
            <w:gridSpan w:val="28"/>
          </w:tcPr>
          <w:p>
            <w:pPr>
              <w:spacing w:after="0"/>
              <w:rPr>
                <w:sz w:val="16"/>
                <w:szCs w:val="16"/>
                <w:color w:val="auto"/>
              </w:rPr>
            </w:pPr>
          </w:p>
        </w:tc>
        <w:tc>
          <w:tcPr>
            <w:tcW w:w="140" w:type="dxa"/>
            <w:vAlign w:val="bottom"/>
            <w:gridSpan w:val="5"/>
          </w:tcPr>
          <w:p>
            <w:pPr>
              <w:spacing w:after="0"/>
              <w:rPr>
                <w:sz w:val="16"/>
                <w:szCs w:val="16"/>
                <w:color w:val="auto"/>
              </w:rPr>
            </w:pPr>
          </w:p>
        </w:tc>
      </w:tr>
      <w:tr>
        <w:trPr>
          <w:trHeight w:val="396"/>
        </w:trPr>
        <w:tc>
          <w:tcPr>
            <w:tcW w:w="3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3"/>
              </w:rPr>
            </w:pPr>
            <w:hyperlink r:id="rId82">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10</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Borders>
              <w:bottom w:val="single" w:sz="8" w:color="0000EE"/>
            </w:tcBorders>
            <w:gridSpan w:val="33"/>
          </w:tcPr>
          <w:p>
            <w:pPr>
              <w:spacing w:after="0"/>
              <w:rPr>
                <w:rFonts w:ascii="Times New Roman" w:cs="Times New Roman" w:eastAsia="Times New Roman" w:hAnsi="Times New Roman"/>
                <w:sz w:val="17"/>
                <w:szCs w:val="17"/>
                <w:color w:val="0000EE"/>
              </w:rPr>
            </w:pPr>
            <w:hyperlink r:id="rId82">
              <w:r>
                <w:rPr>
                  <w:rFonts w:ascii="Times New Roman" w:cs="Times New Roman" w:eastAsia="Times New Roman" w:hAnsi="Times New Roman"/>
                  <w:sz w:val="17"/>
                  <w:szCs w:val="17"/>
                  <w:color w:val="0000EE"/>
                </w:rPr>
                <w:t>Warrant to Purchase Common Stock in favor of Calm.com, Inc., dated as of July 8, 2019 (incorporated by reference to Exhibit 4.2 to our Current</w:t>
              </w:r>
            </w:hyperlink>
          </w:p>
        </w:tc>
        <w:tc>
          <w:tcPr>
            <w:tcW w:w="60" w:type="dxa"/>
            <w:vAlign w:val="bottom"/>
            <w:gridSpan w:val="2"/>
          </w:tcPr>
          <w:p>
            <w:pPr>
              <w:spacing w:after="0"/>
              <w:rPr>
                <w:sz w:val="24"/>
                <w:szCs w:val="24"/>
                <w:color w:val="auto"/>
              </w:rPr>
            </w:pPr>
          </w:p>
        </w:tc>
      </w:tr>
      <w:tr>
        <w:trPr>
          <w:trHeight w:val="188"/>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Borders>
              <w:bottom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82">
              <w:r>
                <w:rPr>
                  <w:rFonts w:ascii="Times New Roman" w:cs="Times New Roman" w:eastAsia="Times New Roman" w:hAnsi="Times New Roman"/>
                  <w:sz w:val="17"/>
                  <w:szCs w:val="17"/>
                  <w:color w:val="0000EE"/>
                </w:rPr>
                <w:t>Report on Form 8-K filed with the SEC on July 8, 2019).</w:t>
              </w:r>
            </w:hyperlink>
          </w:p>
        </w:tc>
        <w:tc>
          <w:tcPr>
            <w:tcW w:w="6060" w:type="dxa"/>
            <w:vAlign w:val="bottom"/>
            <w:gridSpan w:val="29"/>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w w:val="93"/>
              </w:rPr>
            </w:pPr>
            <w:hyperlink r:id="rId83">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17"/>
                  <w:szCs w:val="17"/>
                  <w:color w:val="0000EE"/>
                </w:rPr>
                <w:t>Form of Pre-Funded Warrant to Purchase Common Stock, dated March 19, 2020 (incorporated by reference from Exhibit 4.1 to our Current</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Borders>
              <w:top w:val="single" w:sz="8" w:color="0000EE"/>
              <w:bottom w:val="single" w:sz="8" w:color="0000EE"/>
            </w:tcBorders>
            <w:gridSpan w:val="7"/>
          </w:tcPr>
          <w:p>
            <w:pPr>
              <w:spacing w:after="0" w:line="188" w:lineRule="exact"/>
              <w:rPr>
                <w:rFonts w:ascii="Times New Roman" w:cs="Times New Roman" w:eastAsia="Times New Roman" w:hAnsi="Times New Roman"/>
                <w:sz w:val="17"/>
                <w:szCs w:val="17"/>
                <w:color w:val="0000EE"/>
              </w:rPr>
            </w:pPr>
            <w:hyperlink r:id="rId83">
              <w:r>
                <w:rPr>
                  <w:rFonts w:ascii="Times New Roman" w:cs="Times New Roman" w:eastAsia="Times New Roman" w:hAnsi="Times New Roman"/>
                  <w:sz w:val="17"/>
                  <w:szCs w:val="17"/>
                  <w:color w:val="0000EE"/>
                </w:rPr>
                <w:t>Report on Form 8-K filed with the SEC on March 19, 2020).</w:t>
              </w:r>
            </w:hyperlink>
          </w:p>
        </w:tc>
        <w:tc>
          <w:tcPr>
            <w:tcW w:w="5400" w:type="dxa"/>
            <w:vAlign w:val="bottom"/>
            <w:tcBorders>
              <w:top w:val="single" w:sz="8" w:color="0000EE"/>
            </w:tcBorders>
            <w:gridSpan w:val="15"/>
          </w:tcPr>
          <w:p>
            <w:pPr>
              <w:spacing w:after="0"/>
              <w:rPr>
                <w:sz w:val="16"/>
                <w:szCs w:val="16"/>
                <w:color w:val="auto"/>
              </w:rPr>
            </w:pPr>
          </w:p>
        </w:tc>
        <w:tc>
          <w:tcPr>
            <w:tcW w:w="420" w:type="dxa"/>
            <w:vAlign w:val="bottom"/>
            <w:gridSpan w:val="13"/>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w w:val="93"/>
              </w:rPr>
            </w:pPr>
            <w:hyperlink r:id="rId84">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12</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Form of Pre-Funded Warrant to Purchase Common Stock, dated March 25, 2020 (incorporated by reference from Exhibit 4.1 to our Current</w:t>
              </w:r>
            </w:hyperlink>
          </w:p>
        </w:tc>
      </w:tr>
      <w:tr>
        <w:trPr>
          <w:trHeight w:val="188"/>
        </w:trPr>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Borders>
              <w:top w:val="single" w:sz="8" w:color="0000EE"/>
              <w:bottom w:val="single" w:sz="8" w:color="0000EE"/>
            </w:tcBorders>
            <w:gridSpan w:val="7"/>
          </w:tcPr>
          <w:p>
            <w:pPr>
              <w:spacing w:after="0" w:line="188" w:lineRule="exact"/>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Report on Form 8-K filed with the SEC on March 25, 2020).</w:t>
              </w:r>
            </w:hyperlink>
          </w:p>
        </w:tc>
        <w:tc>
          <w:tcPr>
            <w:tcW w:w="5400" w:type="dxa"/>
            <w:vAlign w:val="bottom"/>
            <w:tcBorders>
              <w:top w:val="single" w:sz="8" w:color="0000EE"/>
            </w:tcBorders>
            <w:gridSpan w:val="15"/>
          </w:tcPr>
          <w:p>
            <w:pPr>
              <w:spacing w:after="0"/>
              <w:rPr>
                <w:sz w:val="16"/>
                <w:szCs w:val="16"/>
                <w:color w:val="auto"/>
              </w:rPr>
            </w:pPr>
          </w:p>
        </w:tc>
        <w:tc>
          <w:tcPr>
            <w:tcW w:w="420" w:type="dxa"/>
            <w:vAlign w:val="bottom"/>
            <w:gridSpan w:val="13"/>
          </w:tcPr>
          <w:p>
            <w:pPr>
              <w:spacing w:after="0"/>
              <w:rPr>
                <w:sz w:val="16"/>
                <w:szCs w:val="16"/>
                <w:color w:val="auto"/>
              </w:rPr>
            </w:pPr>
          </w:p>
        </w:tc>
      </w:tr>
      <w:tr>
        <w:trPr>
          <w:trHeight w:val="396"/>
        </w:trPr>
        <w:tc>
          <w:tcPr>
            <w:tcW w:w="300" w:type="dxa"/>
            <w:vAlign w:val="bottom"/>
            <w:gridSpan w:val="2"/>
          </w:tcPr>
          <w:p>
            <w:pPr>
              <w:spacing w:after="0"/>
              <w:rPr>
                <w:rFonts w:ascii="Times New Roman" w:cs="Times New Roman" w:eastAsia="Times New Roman" w:hAnsi="Times New Roman"/>
                <w:sz w:val="17"/>
                <w:szCs w:val="17"/>
                <w:color w:val="0000EE"/>
                <w:w w:val="93"/>
              </w:rPr>
            </w:pPr>
            <w:hyperlink r:id="rId85">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13</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35"/>
          </w:tcPr>
          <w:p>
            <w:pPr>
              <w:spacing w:after="0"/>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Form of Pre-Funded Warrant to Purchase Common Stock, dated March 27, 2020 (incorporated by reference from Exhibit 4.1 to our Current</w:t>
              </w:r>
            </w:hyperlink>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874" w:right="3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85">
              <w:r>
                <w:rPr>
                  <w:rFonts w:ascii="Times New Roman" w:cs="Times New Roman" w:eastAsia="Times New Roman" w:hAnsi="Times New Roman"/>
                  <w:sz w:val="17"/>
                  <w:szCs w:val="17"/>
                  <w:color w:val="0000EE"/>
                </w:rPr>
                <w:t>Report on Form 8-K filed with the SEC on March 27, 2020).</w:t>
              </w:r>
            </w:hyperlink>
          </w:p>
        </w:tc>
        <w:tc>
          <w:tcPr>
            <w:tcW w:w="5800" w:type="dxa"/>
            <w:vAlign w:val="bottom"/>
            <w:gridSpan w:val="11"/>
          </w:tcPr>
          <w:p>
            <w:pPr>
              <w:spacing w:after="0"/>
              <w:rPr>
                <w:sz w:val="17"/>
                <w:szCs w:val="17"/>
                <w:color w:val="auto"/>
              </w:rPr>
            </w:pPr>
          </w:p>
        </w:tc>
      </w:tr>
      <w:tr>
        <w:trPr>
          <w:trHeight w:val="396"/>
        </w:trPr>
        <w:tc>
          <w:tcPr>
            <w:tcW w:w="300" w:type="dxa"/>
            <w:vAlign w:val="bottom"/>
          </w:tcPr>
          <w:p>
            <w:pPr>
              <w:ind w:left="40"/>
              <w:spacing w:after="0"/>
              <w:rPr>
                <w:rFonts w:ascii="Times New Roman" w:cs="Times New Roman" w:eastAsia="Times New Roman" w:hAnsi="Times New Roman"/>
                <w:sz w:val="17"/>
                <w:szCs w:val="17"/>
                <w:color w:val="0000EE"/>
                <w:w w:val="73"/>
              </w:rPr>
            </w:pPr>
            <w:hyperlink r:id="rId86">
              <w:r>
                <w:rPr>
                  <w:rFonts w:ascii="Times New Roman" w:cs="Times New Roman" w:eastAsia="Times New Roman" w:hAnsi="Times New Roman"/>
                  <w:sz w:val="17"/>
                  <w:szCs w:val="17"/>
                  <w:color w:val="0000EE"/>
                  <w:w w:val="73"/>
                </w:rPr>
                <w:t>4.14</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Form of Pre-Funded Warrant to Purchase Common Stock, dated April 6, 2020 (incorporated by reference from Exhibit 4.1 to our Current Report</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8"/>
          </w:tcPr>
          <w:p>
            <w:pPr>
              <w:spacing w:after="0" w:line="188" w:lineRule="exact"/>
              <w:rPr>
                <w:rFonts w:ascii="Times New Roman" w:cs="Times New Roman" w:eastAsia="Times New Roman" w:hAnsi="Times New Roman"/>
                <w:sz w:val="17"/>
                <w:szCs w:val="17"/>
                <w:color w:val="0000EE"/>
              </w:rPr>
            </w:pPr>
            <w:hyperlink r:id="rId86">
              <w:r>
                <w:rPr>
                  <w:rFonts w:ascii="Times New Roman" w:cs="Times New Roman" w:eastAsia="Times New Roman" w:hAnsi="Times New Roman"/>
                  <w:sz w:val="17"/>
                  <w:szCs w:val="17"/>
                  <w:color w:val="0000EE"/>
                </w:rPr>
                <w:t>on Form 8-K filed with the SEC on April 7, 2020).</w:t>
              </w:r>
            </w:hyperlink>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52">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15</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Description of the Registrant’s Securities (incorporated by reference from Exhibit 4.22 to our Annual Report on Form 10-K filed with the SEC on</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April 20, 2020).</w:t>
              </w:r>
            </w:hyperlink>
          </w:p>
        </w:tc>
        <w:tc>
          <w:tcPr>
            <w:tcW w:w="8920" w:type="dxa"/>
            <w:vAlign w:val="bottom"/>
            <w:gridSpan w:val="23"/>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87">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16</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Amended and Restated Calm Note, dated as of April 17, 2020 (incorporated by reference from Exhibit 4.1 to our Current Report on Form 8-K</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Borders>
              <w:bottom w:val="single" w:sz="8" w:color="0000EE"/>
            </w:tcBorders>
            <w:gridSpan w:val="9"/>
          </w:tcPr>
          <w:p>
            <w:pPr>
              <w:spacing w:after="0" w:line="188" w:lineRule="exact"/>
              <w:rPr>
                <w:rFonts w:ascii="Times New Roman" w:cs="Times New Roman" w:eastAsia="Times New Roman" w:hAnsi="Times New Roman"/>
                <w:sz w:val="17"/>
                <w:szCs w:val="17"/>
                <w:color w:val="0000EE"/>
              </w:rPr>
            </w:pPr>
            <w:hyperlink r:id="rId87">
              <w:r>
                <w:rPr>
                  <w:rFonts w:ascii="Times New Roman" w:cs="Times New Roman" w:eastAsia="Times New Roman" w:hAnsi="Times New Roman"/>
                  <w:sz w:val="17"/>
                  <w:szCs w:val="17"/>
                  <w:color w:val="0000EE"/>
                </w:rPr>
                <w:t>filed with the SEC on April 17, 2020).</w:t>
              </w:r>
            </w:hyperlink>
          </w:p>
        </w:tc>
        <w:tc>
          <w:tcPr>
            <w:tcW w:w="7360" w:type="dxa"/>
            <w:vAlign w:val="bottom"/>
            <w:gridSpan w:val="19"/>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88">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17</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88">
              <w:r>
                <w:rPr>
                  <w:rFonts w:ascii="Times New Roman" w:cs="Times New Roman" w:eastAsia="Times New Roman" w:hAnsi="Times New Roman"/>
                  <w:sz w:val="17"/>
                  <w:szCs w:val="17"/>
                  <w:color w:val="0000EE"/>
                </w:rPr>
                <w:t>Amended and Restated Calm Note, dated as of April 22, 2020 (incorporated by reference from Exhibit 4.1 to our Current Report on Form 8-K</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Borders>
              <w:bottom w:val="single" w:sz="8" w:color="0000EE"/>
            </w:tcBorders>
            <w:gridSpan w:val="9"/>
          </w:tcPr>
          <w:p>
            <w:pPr>
              <w:spacing w:after="0" w:line="188" w:lineRule="exact"/>
              <w:rPr>
                <w:rFonts w:ascii="Times New Roman" w:cs="Times New Roman" w:eastAsia="Times New Roman" w:hAnsi="Times New Roman"/>
                <w:sz w:val="17"/>
                <w:szCs w:val="17"/>
                <w:color w:val="0000EE"/>
              </w:rPr>
            </w:pPr>
            <w:hyperlink r:id="rId88">
              <w:r>
                <w:rPr>
                  <w:rFonts w:ascii="Times New Roman" w:cs="Times New Roman" w:eastAsia="Times New Roman" w:hAnsi="Times New Roman"/>
                  <w:sz w:val="17"/>
                  <w:szCs w:val="17"/>
                  <w:color w:val="0000EE"/>
                </w:rPr>
                <w:t>filed with the SEC on April 24, 2020).</w:t>
              </w:r>
            </w:hyperlink>
          </w:p>
        </w:tc>
        <w:tc>
          <w:tcPr>
            <w:tcW w:w="7360" w:type="dxa"/>
            <w:vAlign w:val="bottom"/>
            <w:gridSpan w:val="19"/>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89">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18</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89">
              <w:r>
                <w:rPr>
                  <w:rFonts w:ascii="Times New Roman" w:cs="Times New Roman" w:eastAsia="Times New Roman" w:hAnsi="Times New Roman"/>
                  <w:sz w:val="17"/>
                  <w:szCs w:val="17"/>
                  <w:color w:val="0000EE"/>
                </w:rPr>
                <w:t>Form of Warrant to Purchase Common Stock, dated June 17, 2020 (incorporated by reference from Exhibit 4.1 to our Current Report on Form 8-</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Borders>
              <w:bottom w:val="single" w:sz="8" w:color="0000EE"/>
            </w:tcBorders>
            <w:gridSpan w:val="10"/>
          </w:tcPr>
          <w:p>
            <w:pPr>
              <w:spacing w:after="0" w:line="188" w:lineRule="exact"/>
              <w:rPr>
                <w:rFonts w:ascii="Times New Roman" w:cs="Times New Roman" w:eastAsia="Times New Roman" w:hAnsi="Times New Roman"/>
                <w:sz w:val="17"/>
                <w:szCs w:val="17"/>
                <w:color w:val="0000EE"/>
              </w:rPr>
            </w:pPr>
            <w:hyperlink r:id="rId89">
              <w:r>
                <w:rPr>
                  <w:rFonts w:ascii="Times New Roman" w:cs="Times New Roman" w:eastAsia="Times New Roman" w:hAnsi="Times New Roman"/>
                  <w:sz w:val="17"/>
                  <w:szCs w:val="17"/>
                  <w:color w:val="0000EE"/>
                </w:rPr>
                <w:t>K filed with the SEC on June 17, 2020).</w:t>
              </w:r>
            </w:hyperlink>
          </w:p>
        </w:tc>
        <w:tc>
          <w:tcPr>
            <w:tcW w:w="7240" w:type="dxa"/>
            <w:vAlign w:val="bottom"/>
            <w:gridSpan w:val="18"/>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0">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19</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Form of Placement Agent Warrant to Purchase Common Stock, dated June 17, 2020 (incorporated by reference from Exhibit 4.2 to our Current</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tcBorders>
              <w:bottom w:val="single" w:sz="8" w:color="0000EE"/>
            </w:tcBorders>
            <w:gridSpan w:val="15"/>
          </w:tcPr>
          <w:p>
            <w:pPr>
              <w:spacing w:after="0" w:line="188" w:lineRule="exact"/>
              <w:rPr>
                <w:rFonts w:ascii="Times New Roman" w:cs="Times New Roman" w:eastAsia="Times New Roman" w:hAnsi="Times New Roman"/>
                <w:sz w:val="17"/>
                <w:szCs w:val="17"/>
                <w:color w:val="0000EE"/>
              </w:rPr>
            </w:pPr>
            <w:hyperlink r:id="rId90">
              <w:r>
                <w:rPr>
                  <w:rFonts w:ascii="Times New Roman" w:cs="Times New Roman" w:eastAsia="Times New Roman" w:hAnsi="Times New Roman"/>
                  <w:sz w:val="17"/>
                  <w:szCs w:val="17"/>
                  <w:color w:val="0000EE"/>
                </w:rPr>
                <w:t>Report on Form 8-K filed with the SEC on June 17, 2020).</w:t>
              </w:r>
            </w:hyperlink>
          </w:p>
        </w:tc>
        <w:tc>
          <w:tcPr>
            <w:tcW w:w="5960" w:type="dxa"/>
            <w:vAlign w:val="bottom"/>
            <w:gridSpan w:val="13"/>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1">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20</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Form of Warrant to Purchase Common Stock, dated August 25, 2020 (incorporated by reference from Exhibit 4.1 to our Current Report on</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tcBorders>
              <w:bottom w:val="single" w:sz="8" w:color="0000EE"/>
            </w:tcBorders>
            <w:gridSpan w:val="12"/>
          </w:tcPr>
          <w:p>
            <w:pPr>
              <w:spacing w:after="0" w:line="188" w:lineRule="exact"/>
              <w:rPr>
                <w:rFonts w:ascii="Times New Roman" w:cs="Times New Roman" w:eastAsia="Times New Roman" w:hAnsi="Times New Roman"/>
                <w:sz w:val="17"/>
                <w:szCs w:val="17"/>
                <w:color w:val="0000EE"/>
              </w:rPr>
            </w:pPr>
            <w:hyperlink r:id="rId91">
              <w:r>
                <w:rPr>
                  <w:rFonts w:ascii="Times New Roman" w:cs="Times New Roman" w:eastAsia="Times New Roman" w:hAnsi="Times New Roman"/>
                  <w:sz w:val="17"/>
                  <w:szCs w:val="17"/>
                  <w:color w:val="0000EE"/>
                </w:rPr>
                <w:t>Form 8-K filed with the SEC on August 28, 2020).</w:t>
              </w:r>
            </w:hyperlink>
          </w:p>
        </w:tc>
        <w:tc>
          <w:tcPr>
            <w:tcW w:w="6500" w:type="dxa"/>
            <w:vAlign w:val="bottom"/>
            <w:gridSpan w:val="16"/>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2">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21</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Form of Pre-Funded Warrant to Purchase Common Stock, dated August 25, 2020 (incorporated by reference from Exhibit 4.2 to our Current</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60" w:type="dxa"/>
            <w:vAlign w:val="bottom"/>
            <w:tcBorders>
              <w:bottom w:val="single" w:sz="8" w:color="0000EE"/>
            </w:tcBorders>
            <w:gridSpan w:val="18"/>
          </w:tcPr>
          <w:p>
            <w:pPr>
              <w:spacing w:after="0" w:line="188" w:lineRule="exact"/>
              <w:rPr>
                <w:rFonts w:ascii="Times New Roman" w:cs="Times New Roman" w:eastAsia="Times New Roman" w:hAnsi="Times New Roman"/>
                <w:sz w:val="17"/>
                <w:szCs w:val="17"/>
                <w:color w:val="0000EE"/>
              </w:rPr>
            </w:pPr>
            <w:hyperlink r:id="rId92">
              <w:r>
                <w:rPr>
                  <w:rFonts w:ascii="Times New Roman" w:cs="Times New Roman" w:eastAsia="Times New Roman" w:hAnsi="Times New Roman"/>
                  <w:sz w:val="17"/>
                  <w:szCs w:val="17"/>
                  <w:color w:val="0000EE"/>
                </w:rPr>
                <w:t>Report on Form 8-K filed with the SEC on August 28, 2020).</w:t>
              </w:r>
            </w:hyperlink>
          </w:p>
        </w:tc>
        <w:tc>
          <w:tcPr>
            <w:tcW w:w="5760" w:type="dxa"/>
            <w:vAlign w:val="bottom"/>
            <w:gridSpan w:val="10"/>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3">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22</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Form of Placement Agent Warrant to Purchase Common Stock, dated August 25, 2020 (incorporated by reference from Exhibit 4.3 to our</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20" w:type="dxa"/>
            <w:vAlign w:val="bottom"/>
            <w:tcBorders>
              <w:bottom w:val="single" w:sz="8" w:color="0000EE"/>
            </w:tcBorders>
            <w:gridSpan w:val="19"/>
          </w:tcPr>
          <w:p>
            <w:pPr>
              <w:spacing w:after="0" w:line="188" w:lineRule="exact"/>
              <w:rPr>
                <w:rFonts w:ascii="Times New Roman" w:cs="Times New Roman" w:eastAsia="Times New Roman" w:hAnsi="Times New Roman"/>
                <w:sz w:val="17"/>
                <w:szCs w:val="17"/>
                <w:color w:val="0000EE"/>
              </w:rPr>
            </w:pPr>
            <w:hyperlink r:id="rId93">
              <w:r>
                <w:rPr>
                  <w:rFonts w:ascii="Times New Roman" w:cs="Times New Roman" w:eastAsia="Times New Roman" w:hAnsi="Times New Roman"/>
                  <w:sz w:val="17"/>
                  <w:szCs w:val="17"/>
                  <w:color w:val="0000EE"/>
                </w:rPr>
                <w:t>Current Report on Form 8-K filed with the SEC on August 28, 2020).</w:t>
              </w:r>
            </w:hyperlink>
          </w:p>
        </w:tc>
        <w:tc>
          <w:tcPr>
            <w:tcW w:w="5200" w:type="dxa"/>
            <w:vAlign w:val="bottom"/>
            <w:gridSpan w:val="9"/>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4">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23</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Form of Warrant to Purchase Common Stock, dated December 17, 2020 (incorporated by reference from Exhibit 4.1 to our Current Report on</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80" w:type="dxa"/>
            <w:vAlign w:val="bottom"/>
            <w:tcBorders>
              <w:bottom w:val="single" w:sz="8" w:color="0000EE"/>
            </w:tcBorders>
            <w:gridSpan w:val="13"/>
          </w:tcPr>
          <w:p>
            <w:pPr>
              <w:spacing w:after="0" w:line="188" w:lineRule="exact"/>
              <w:rPr>
                <w:rFonts w:ascii="Times New Roman" w:cs="Times New Roman" w:eastAsia="Times New Roman" w:hAnsi="Times New Roman"/>
                <w:sz w:val="17"/>
                <w:szCs w:val="17"/>
                <w:color w:val="0000EE"/>
              </w:rPr>
            </w:pPr>
            <w:hyperlink r:id="rId94">
              <w:r>
                <w:rPr>
                  <w:rFonts w:ascii="Times New Roman" w:cs="Times New Roman" w:eastAsia="Times New Roman" w:hAnsi="Times New Roman"/>
                  <w:sz w:val="17"/>
                  <w:szCs w:val="17"/>
                  <w:color w:val="0000EE"/>
                </w:rPr>
                <w:t>Form 8-K filed with the SEC on December 21, 2020)</w:t>
              </w:r>
            </w:hyperlink>
          </w:p>
        </w:tc>
        <w:tc>
          <w:tcPr>
            <w:tcW w:w="6340" w:type="dxa"/>
            <w:vAlign w:val="bottom"/>
            <w:gridSpan w:val="15"/>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5">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24</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Form of Placement Agent Warrant to Purchase Common Stock, dated December 17, 2020 (incorporated by reference from Exhibit 4.2 to our</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40" w:type="dxa"/>
            <w:vAlign w:val="bottom"/>
            <w:tcBorders>
              <w:bottom w:val="single" w:sz="8" w:color="0000EE"/>
            </w:tcBorders>
            <w:gridSpan w:val="20"/>
          </w:tcPr>
          <w:p>
            <w:pPr>
              <w:spacing w:after="0" w:line="188" w:lineRule="exact"/>
              <w:rPr>
                <w:rFonts w:ascii="Times New Roman" w:cs="Times New Roman" w:eastAsia="Times New Roman" w:hAnsi="Times New Roman"/>
                <w:sz w:val="17"/>
                <w:szCs w:val="17"/>
                <w:color w:val="0000EE"/>
              </w:rPr>
            </w:pPr>
            <w:hyperlink r:id="rId95">
              <w:r>
                <w:rPr>
                  <w:rFonts w:ascii="Times New Roman" w:cs="Times New Roman" w:eastAsia="Times New Roman" w:hAnsi="Times New Roman"/>
                  <w:sz w:val="17"/>
                  <w:szCs w:val="17"/>
                  <w:color w:val="0000EE"/>
                </w:rPr>
                <w:t>Current Report on Form 8-K filed with the SEC on December 21, 2020).</w:t>
              </w:r>
            </w:hyperlink>
          </w:p>
        </w:tc>
        <w:tc>
          <w:tcPr>
            <w:tcW w:w="4980" w:type="dxa"/>
            <w:vAlign w:val="bottom"/>
            <w:gridSpan w:val="8"/>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6">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25</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Tax Benefits Preservation Plan, dated as of August 16, 2024, between XWELL, Inc. and Equiniti Trust Company, LLC, as Rights Agent, together</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120" w:type="dxa"/>
            <w:vAlign w:val="bottom"/>
            <w:gridSpan w:val="28"/>
          </w:tcPr>
          <w:p>
            <w:pPr>
              <w:spacing w:after="0" w:line="188"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with the following exhibits thereto: Exhibit A - Form of Certificate of Designation of Series A Junior Participating Preferred Stock of</w:t>
              </w:r>
            </w:hyperlink>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94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4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XWELL, Inc.; Exhibit B - Form of Right Certificate (incorporated by reference from Exhibit 4.1 to our Current Report on Form 8-K filed with</w:t>
              </w:r>
            </w:hyperlink>
          </w:p>
        </w:tc>
        <w:tc>
          <w:tcPr>
            <w:tcW w:w="180" w:type="dxa"/>
            <w:vAlign w:val="bottom"/>
            <w:gridSpan w:val="3"/>
          </w:tcPr>
          <w:p>
            <w:pPr>
              <w:spacing w:after="0"/>
              <w:rPr>
                <w:sz w:val="16"/>
                <w:szCs w:val="16"/>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Borders>
              <w:bottom w:val="single" w:sz="8" w:color="0000EE"/>
            </w:tcBorders>
            <w:gridSpan w:val="7"/>
          </w:tcPr>
          <w:p>
            <w:pPr>
              <w:spacing w:after="0" w:line="188" w:lineRule="exact"/>
              <w:rPr>
                <w:rFonts w:ascii="Times New Roman" w:cs="Times New Roman" w:eastAsia="Times New Roman" w:hAnsi="Times New Roman"/>
                <w:sz w:val="17"/>
                <w:szCs w:val="17"/>
                <w:color w:val="0000EE"/>
              </w:rPr>
            </w:pPr>
            <w:hyperlink r:id="rId96">
              <w:r>
                <w:rPr>
                  <w:rFonts w:ascii="Times New Roman" w:cs="Times New Roman" w:eastAsia="Times New Roman" w:hAnsi="Times New Roman"/>
                  <w:sz w:val="17"/>
                  <w:szCs w:val="17"/>
                  <w:color w:val="0000EE"/>
                </w:rPr>
                <w:t>the SEC on August 16, 2024).</w:t>
              </w:r>
            </w:hyperlink>
          </w:p>
        </w:tc>
        <w:tc>
          <w:tcPr>
            <w:tcW w:w="7940" w:type="dxa"/>
            <w:vAlign w:val="bottom"/>
            <w:gridSpan w:val="21"/>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7">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26</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Form of Series A Warrant (incorporated by reference from Exhibit 4.1 to our Current Report on Form 8-K filed with the SEC on January 15,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0000EE"/>
            </w:tcBorders>
            <w:gridSpan w:val="2"/>
          </w:tcPr>
          <w:p>
            <w:pPr>
              <w:spacing w:after="0" w:line="188" w:lineRule="exact"/>
              <w:rPr>
                <w:rFonts w:ascii="Times New Roman" w:cs="Times New Roman" w:eastAsia="Times New Roman" w:hAnsi="Times New Roman"/>
                <w:sz w:val="17"/>
                <w:szCs w:val="17"/>
                <w:color w:val="0000EE"/>
              </w:rPr>
            </w:pPr>
            <w:hyperlink r:id="rId97">
              <w:r>
                <w:rPr>
                  <w:rFonts w:ascii="Times New Roman" w:cs="Times New Roman" w:eastAsia="Times New Roman" w:hAnsi="Times New Roman"/>
                  <w:sz w:val="17"/>
                  <w:szCs w:val="17"/>
                  <w:color w:val="0000EE"/>
                </w:rPr>
                <w:t>2025).</w:t>
              </w:r>
            </w:hyperlink>
          </w:p>
        </w:tc>
        <w:tc>
          <w:tcPr>
            <w:tcW w:w="80" w:type="dxa"/>
            <w:vAlign w:val="bottom"/>
            <w:tcBorders>
              <w:bottom w:val="single" w:sz="8" w:color="0000EE"/>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6"/>
        </w:trPr>
        <w:tc>
          <w:tcPr>
            <w:tcW w:w="300" w:type="dxa"/>
            <w:vAlign w:val="bottom"/>
          </w:tcPr>
          <w:p>
            <w:pPr>
              <w:spacing w:after="0"/>
              <w:rPr>
                <w:rFonts w:ascii="Times New Roman" w:cs="Times New Roman" w:eastAsia="Times New Roman" w:hAnsi="Times New Roman"/>
                <w:sz w:val="17"/>
                <w:szCs w:val="17"/>
                <w:color w:val="0000EE"/>
                <w:w w:val="87"/>
              </w:rPr>
            </w:pPr>
            <w:hyperlink r:id="rId98">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27</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Form of Series B Warrant (incorporated by reference from Exhibit 4.2 to our Current Report on Form 8-K filed with the SEC on January 15,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8"/>
        </w:trPr>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0000EE"/>
            </w:tcBorders>
            <w:gridSpan w:val="2"/>
          </w:tcPr>
          <w:p>
            <w:pPr>
              <w:spacing w:after="0" w:line="188"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2025).</w:t>
              </w:r>
            </w:hyperlink>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6"/>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0000EE"/>
                <w:w w:val="87"/>
              </w:rPr>
              <w:t>5.</w:t>
            </w:r>
            <w:r>
              <w:rPr>
                <w:rFonts w:ascii="Times New Roman" w:cs="Times New Roman" w:eastAsia="Times New Roman" w:hAnsi="Times New Roman"/>
                <w:sz w:val="17"/>
                <w:szCs w:val="17"/>
                <w:u w:val="single" w:color="auto"/>
                <w:color w:val="0000EE"/>
                <w:w w:val="87"/>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sz w:val="20"/>
                <w:szCs w:val="20"/>
                <w:color w:val="auto"/>
              </w:rPr>
            </w:pPr>
            <w:r>
              <w:rPr>
                <w:rFonts w:ascii="Times New Roman" w:cs="Times New Roman" w:eastAsia="Times New Roman" w:hAnsi="Times New Roman"/>
                <w:sz w:val="17"/>
                <w:szCs w:val="17"/>
                <w:color w:val="0000EE"/>
              </w:rPr>
              <w:t>Opinion of Haynes and Boone, LLP.</w:t>
            </w:r>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r>
      <w:tr>
        <w:trPr>
          <w:trHeight w:val="396"/>
        </w:trPr>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sz w:val="20"/>
                <w:szCs w:val="20"/>
                <w:color w:val="auto"/>
              </w:rPr>
            </w:pPr>
            <w:r>
              <w:rPr>
                <w:rFonts w:ascii="Times New Roman" w:cs="Times New Roman" w:eastAsia="Times New Roman" w:hAnsi="Times New Roman"/>
                <w:sz w:val="17"/>
                <w:szCs w:val="17"/>
                <w:color w:val="0000EE"/>
              </w:rPr>
              <w:t>Consent of Marcum LLP.</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r>
      <w:tr>
        <w:trPr>
          <w:trHeight w:val="396"/>
        </w:trPr>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9"/>
              </w:rPr>
              <w:t>23.</w:t>
            </w:r>
            <w:r>
              <w:rPr>
                <w:rFonts w:ascii="Times New Roman" w:cs="Times New Roman" w:eastAsia="Times New Roman" w:hAnsi="Times New Roman"/>
                <w:sz w:val="17"/>
                <w:szCs w:val="17"/>
                <w:u w:val="single" w:color="auto"/>
                <w:color w:val="0000EE"/>
                <w:w w:val="99"/>
              </w:rPr>
              <w:t>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sz w:val="20"/>
                <w:szCs w:val="20"/>
                <w:color w:val="auto"/>
              </w:rPr>
            </w:pPr>
            <w:r>
              <w:rPr>
                <w:rFonts w:ascii="Times New Roman" w:cs="Times New Roman" w:eastAsia="Times New Roman" w:hAnsi="Times New Roman"/>
                <w:sz w:val="17"/>
                <w:szCs w:val="17"/>
                <w:color w:val="0000EE"/>
              </w:rPr>
              <w:t>Consent of Haynes and Boone, LLP (included in Exhibit 5.1).</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92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r>
      <w:tr>
        <w:trPr>
          <w:trHeight w:val="396"/>
        </w:trPr>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0000EE"/>
                <w:w w:val="99"/>
              </w:rPr>
              <w:t>24.</w:t>
            </w:r>
            <w:r>
              <w:rPr>
                <w:rFonts w:ascii="Times New Roman" w:cs="Times New Roman" w:eastAsia="Times New Roman" w:hAnsi="Times New Roman"/>
                <w:sz w:val="17"/>
                <w:szCs w:val="17"/>
                <w:u w:val="single" w:color="auto"/>
                <w:color w:val="0000EE"/>
                <w:w w:val="99"/>
              </w:rPr>
              <w:t>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 hereto).</w:t>
            </w:r>
          </w:p>
        </w:tc>
      </w:tr>
      <w:tr>
        <w:trPr>
          <w:trHeight w:val="20"/>
        </w:trPr>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920" w:type="dxa"/>
            <w:vAlign w:val="bottom"/>
            <w:gridSpan w:val="10"/>
            <w:shd w:val="clear" w:color="auto" w:fill="0000EE"/>
          </w:tcPr>
          <w:p>
            <w:pPr>
              <w:spacing w:after="0" w:line="20" w:lineRule="exact"/>
              <w:rPr>
                <w:sz w:val="1"/>
                <w:szCs w:val="1"/>
                <w:color w:val="auto"/>
              </w:rPr>
            </w:pPr>
          </w:p>
        </w:tc>
        <w:tc>
          <w:tcPr>
            <w:tcW w:w="6020" w:type="dxa"/>
            <w:vAlign w:val="bottom"/>
            <w:gridSpan w:val="14"/>
          </w:tcPr>
          <w:p>
            <w:pPr>
              <w:spacing w:after="0" w:line="20" w:lineRule="exact"/>
              <w:rPr>
                <w:sz w:val="1"/>
                <w:szCs w:val="1"/>
                <w:color w:val="auto"/>
              </w:rPr>
            </w:pPr>
          </w:p>
        </w:tc>
      </w:tr>
      <w:tr>
        <w:trPr>
          <w:trHeight w:val="396"/>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0000EE"/>
                <w:w w:val="76"/>
              </w:rPr>
              <w:t>107*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20" w:type="dxa"/>
            <w:vAlign w:val="bottom"/>
            <w:gridSpan w:val="28"/>
          </w:tcPr>
          <w:p>
            <w:pPr>
              <w:spacing w:after="0"/>
              <w:rPr>
                <w:sz w:val="20"/>
                <w:szCs w:val="20"/>
                <w:color w:val="auto"/>
              </w:rPr>
            </w:pPr>
            <w:r>
              <w:rPr>
                <w:rFonts w:ascii="Times New Roman" w:cs="Times New Roman" w:eastAsia="Times New Roman" w:hAnsi="Times New Roman"/>
                <w:sz w:val="17"/>
                <w:szCs w:val="17"/>
                <w:color w:val="0000EE"/>
              </w:rPr>
              <w:t>Filing Fee Table.</w:t>
            </w:r>
          </w:p>
        </w:tc>
      </w:tr>
      <w:tr>
        <w:trPr>
          <w:trHeight w:val="32"/>
        </w:trPr>
        <w:tc>
          <w:tcPr>
            <w:tcW w:w="30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398" w:lineRule="exact"/>
        <w:rPr>
          <w:sz w:val="20"/>
          <w:szCs w:val="20"/>
          <w:color w:val="auto"/>
        </w:rPr>
      </w:pPr>
    </w:p>
    <w:p>
      <w:pPr>
        <w:ind w:left="880" w:hanging="876"/>
        <w:spacing w:after="0"/>
        <w:tabs>
          <w:tab w:leader="none" w:pos="8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221" w:lineRule="exact"/>
        <w:rPr>
          <w:sz w:val="20"/>
          <w:szCs w:val="20"/>
          <w:color w:val="auto"/>
        </w:rPr>
      </w:pPr>
    </w:p>
    <w:p>
      <w:pPr>
        <w:ind w:left="240" w:hanging="236"/>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7"/>
          <w:szCs w:val="17"/>
          <w:color w:val="auto"/>
        </w:rPr>
      </w:pPr>
    </w:p>
    <w:p>
      <w:pPr>
        <w:ind w:left="520" w:hanging="204"/>
        <w:spacing w:after="0"/>
        <w:tabs>
          <w:tab w:leader="none" w:pos="5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220" w:lineRule="exact"/>
        <w:rPr>
          <w:rFonts w:ascii="Times New Roman" w:cs="Times New Roman" w:eastAsia="Times New Roman" w:hAnsi="Times New Roman"/>
          <w:sz w:val="17"/>
          <w:szCs w:val="17"/>
          <w:color w:val="auto"/>
        </w:rPr>
      </w:pPr>
    </w:p>
    <w:p>
      <w:pPr>
        <w:jc w:val="both"/>
        <w:ind w:left="320" w:hanging="4"/>
        <w:spacing w:after="0" w:line="263" w:lineRule="auto"/>
        <w:tabs>
          <w:tab w:leader="none" w:pos="57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71" w:lineRule="exact"/>
        <w:rPr>
          <w:rFonts w:ascii="Times New Roman" w:cs="Times New Roman" w:eastAsia="Times New Roman" w:hAnsi="Times New Roman"/>
          <w:sz w:val="17"/>
          <w:szCs w:val="17"/>
          <w:color w:val="auto"/>
        </w:rPr>
      </w:pPr>
    </w:p>
    <w:p>
      <w:pPr>
        <w:ind w:left="320" w:hanging="4"/>
        <w:spacing w:after="0" w:line="293" w:lineRule="auto"/>
        <w:tabs>
          <w:tab w:leader="none" w:pos="62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240"/>
          </w:cols>
          <w:pgMar w:left="320" w:top="113" w:right="339" w:bottom="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13" w:right="339" w:bottom="0" w:gutter="0" w:footer="0" w:header="0"/>
          <w:type w:val="continuous"/>
        </w:sectPr>
      </w:pPr>
    </w:p>
    <w:bookmarkStart w:id="31" w:name="page32"/>
    <w:bookmarkEnd w:id="31"/>
    <w:p>
      <w:pPr>
        <w:ind w:left="320"/>
        <w:spacing w:after="0"/>
        <w:rPr>
          <w:sz w:val="20"/>
          <w:szCs w:val="20"/>
          <w:color w:val="auto"/>
        </w:rPr>
      </w:pPr>
      <w:r>
        <w:rPr>
          <w:rFonts w:ascii="Times New Roman" w:cs="Times New Roman" w:eastAsia="Times New Roman" w:hAnsi="Times New Roman"/>
          <w:sz w:val="17"/>
          <w:szCs w:val="17"/>
          <w:i w:val="1"/>
          <w:iCs w:val="1"/>
          <w:color w:val="auto"/>
        </w:rPr>
        <w:t>Provided, however, that:</w:t>
      </w:r>
    </w:p>
    <w:p>
      <w:pPr>
        <w:spacing w:after="0" w:line="223"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17"/>
          <w:szCs w:val="17"/>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8" w:lineRule="exact"/>
        <w:rPr>
          <w:sz w:val="20"/>
          <w:szCs w:val="20"/>
          <w:color w:val="auto"/>
        </w:rPr>
      </w:pPr>
    </w:p>
    <w:p>
      <w:pPr>
        <w:jc w:val="both"/>
        <w:ind w:firstLine="4"/>
        <w:spacing w:after="0" w:line="286" w:lineRule="auto"/>
        <w:tabs>
          <w:tab w:leader="none" w:pos="27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66" w:lineRule="exact"/>
        <w:rPr>
          <w:rFonts w:ascii="Times New Roman" w:cs="Times New Roman" w:eastAsia="Times New Roman" w:hAnsi="Times New Roman"/>
          <w:sz w:val="17"/>
          <w:szCs w:val="17"/>
          <w:color w:val="auto"/>
        </w:rPr>
      </w:pPr>
    </w:p>
    <w:p>
      <w:pPr>
        <w:ind w:firstLine="4"/>
        <w:spacing w:after="0" w:line="293" w:lineRule="auto"/>
        <w:tabs>
          <w:tab w:leader="none" w:pos="25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2" w:name="page33"/>
    <w:bookmarkEnd w:id="32"/>
    <w:p>
      <w:pPr>
        <w:ind w:left="240" w:hanging="236"/>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w:t>
      </w:r>
    </w:p>
    <w:p>
      <w:pPr>
        <w:spacing w:after="0" w:line="220" w:lineRule="exact"/>
        <w:rPr>
          <w:rFonts w:ascii="Times New Roman" w:cs="Times New Roman" w:eastAsia="Times New Roman" w:hAnsi="Times New Roman"/>
          <w:sz w:val="17"/>
          <w:szCs w:val="17"/>
          <w:color w:val="auto"/>
        </w:rPr>
      </w:pPr>
    </w:p>
    <w:p>
      <w:pPr>
        <w:ind w:left="520" w:hanging="204"/>
        <w:spacing w:after="0"/>
        <w:tabs>
          <w:tab w:leader="none" w:pos="5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relying on Rule 430B (§230.430B of this chapter):</w:t>
      </w:r>
    </w:p>
    <w:p>
      <w:pPr>
        <w:spacing w:after="0" w:line="220" w:lineRule="exact"/>
        <w:rPr>
          <w:rFonts w:ascii="Times New Roman" w:cs="Times New Roman" w:eastAsia="Times New Roman" w:hAnsi="Times New Roman"/>
          <w:sz w:val="17"/>
          <w:szCs w:val="17"/>
          <w:color w:val="auto"/>
        </w:rPr>
      </w:pPr>
    </w:p>
    <w:p>
      <w:pPr>
        <w:ind w:left="620" w:firstLine="9"/>
        <w:spacing w:after="0" w:line="293" w:lineRule="auto"/>
        <w:tabs>
          <w:tab w:leader="none" w:pos="917"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7" w:lineRule="exact"/>
        <w:rPr>
          <w:rFonts w:ascii="Times New Roman" w:cs="Times New Roman" w:eastAsia="Times New Roman" w:hAnsi="Times New Roman"/>
          <w:sz w:val="17"/>
          <w:szCs w:val="17"/>
          <w:color w:val="auto"/>
        </w:rPr>
      </w:pPr>
    </w:p>
    <w:p>
      <w:pPr>
        <w:jc w:val="both"/>
        <w:ind w:left="620" w:firstLine="9"/>
        <w:spacing w:after="0" w:line="259" w:lineRule="auto"/>
        <w:tabs>
          <w:tab w:leader="none" w:pos="897"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 (a)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88" w:lineRule="exact"/>
        <w:rPr>
          <w:rFonts w:ascii="Times New Roman" w:cs="Times New Roman" w:eastAsia="Times New Roman" w:hAnsi="Times New Roman"/>
          <w:sz w:val="17"/>
          <w:szCs w:val="17"/>
          <w:color w:val="auto"/>
        </w:rPr>
      </w:pPr>
    </w:p>
    <w:p>
      <w:pPr>
        <w:jc w:val="both"/>
        <w:ind w:left="320" w:hanging="4"/>
        <w:spacing w:after="0" w:line="262" w:lineRule="auto"/>
        <w:tabs>
          <w:tab w:leader="none" w:pos="57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84" w:lineRule="exact"/>
        <w:rPr>
          <w:rFonts w:ascii="Times New Roman" w:cs="Times New Roman" w:eastAsia="Times New Roman" w:hAnsi="Times New Roman"/>
          <w:sz w:val="17"/>
          <w:szCs w:val="17"/>
          <w:color w:val="auto"/>
        </w:rPr>
      </w:pPr>
    </w:p>
    <w:p>
      <w:pPr>
        <w:jc w:val="both"/>
        <w:ind w:firstLine="4"/>
        <w:spacing w:after="0" w:line="268" w:lineRule="auto"/>
        <w:tabs>
          <w:tab w:leader="none" w:pos="26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7" w:lineRule="exact"/>
        <w:rPr>
          <w:rFonts w:ascii="Times New Roman" w:cs="Times New Roman" w:eastAsia="Times New Roman" w:hAnsi="Times New Roman"/>
          <w:sz w:val="17"/>
          <w:szCs w:val="17"/>
          <w:color w:val="auto"/>
        </w:rPr>
      </w:pPr>
    </w:p>
    <w:p>
      <w:pPr>
        <w:jc w:val="both"/>
        <w:ind w:firstLine="4"/>
        <w:spacing w:after="0" w:line="261" w:lineRule="auto"/>
        <w:tabs>
          <w:tab w:leader="none" w:pos="27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Baltimore, State of Maryland, on February 7,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XWELL,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 Ezra T. Ernst</w:t>
            </w:r>
          </w:p>
        </w:tc>
        <w:tc>
          <w:tcPr>
            <w:tcW w:w="0" w:type="dxa"/>
            <w:vAlign w:val="bottom"/>
          </w:tcPr>
          <w:p>
            <w:pPr>
              <w:spacing w:after="0"/>
              <w:rPr>
                <w:sz w:val="1"/>
                <w:szCs w:val="1"/>
                <w:color w:val="auto"/>
              </w:rPr>
            </w:pPr>
          </w:p>
        </w:tc>
      </w:tr>
      <w:tr>
        <w:trPr>
          <w:trHeight w:val="26"/>
        </w:trPr>
        <w:tc>
          <w:tcPr>
            <w:tcW w:w="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80" w:type="dxa"/>
            <w:vAlign w:val="bottom"/>
            <w:vMerge w:val="continue"/>
          </w:tcPr>
          <w:p>
            <w:pPr>
              <w:spacing w:after="0"/>
              <w:rPr>
                <w:sz w:val="15"/>
                <w:szCs w:val="15"/>
                <w:color w:val="auto"/>
              </w:rPr>
            </w:pPr>
          </w:p>
        </w:tc>
        <w:tc>
          <w:tcPr>
            <w:tcW w:w="50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Ezra T. Ernst</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person whose signature appears below hereby appoints Mitchell Glass as his or her true and lawful attorney-in-fact, with full power of substitution, and with the authority to execute in the name of each such person, any and all amendments (including without limitation, post-effective amendments) to this registration statement on Form S-3, to sign any and all additional registration statements relating to the same offering of securities as this registration statement that are filed pursuant to Rule 462(b) of the Securities Act of 1933, and to file such registration statements with the Securities and Exchange Commission, together with any exhibits thereto and other documents therewith, necessary or advisable to enable the registrant to comply with the Securities Act of 1933, and any rules, regulations and requirements of the Securities and Exchange Commission in respect thereof, which amendments may make such other changes in the registration statement as the aforesaid attorney-in-fact executing the same deems appropriate.</w:t>
      </w:r>
    </w:p>
    <w:p>
      <w:pPr>
        <w:spacing w:after="0" w:line="17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94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80" w:type="dxa"/>
            <w:vAlign w:val="bottom"/>
          </w:tcPr>
          <w:p>
            <w:pPr>
              <w:spacing w:after="0"/>
              <w:rPr>
                <w:sz w:val="19"/>
                <w:szCs w:val="19"/>
                <w:color w:val="auto"/>
              </w:rPr>
            </w:pPr>
          </w:p>
        </w:tc>
        <w:tc>
          <w:tcPr>
            <w:tcW w:w="5880" w:type="dxa"/>
            <w:vAlign w:val="bottom"/>
            <w:gridSpan w:val="2"/>
          </w:tcPr>
          <w:p>
            <w:pPr>
              <w:ind w:left="27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auto"/>
            </w:tcBorders>
            <w:vMerge w:val="continue"/>
          </w:tcPr>
          <w:p>
            <w:pPr>
              <w:spacing w:after="0"/>
              <w:rPr>
                <w:sz w:val="19"/>
                <w:szCs w:val="19"/>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Ezra T. Ernst</w:t>
            </w:r>
          </w:p>
        </w:tc>
        <w:tc>
          <w:tcPr>
            <w:tcW w:w="8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100" w:type="dxa"/>
            <w:vAlign w:val="bottom"/>
            <w:vMerge w:val="continue"/>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7, 2025</w:t>
            </w:r>
          </w:p>
        </w:tc>
        <w:tc>
          <w:tcPr>
            <w:tcW w:w="0" w:type="dxa"/>
            <w:vAlign w:val="bottom"/>
          </w:tcPr>
          <w:p>
            <w:pPr>
              <w:spacing w:after="0"/>
              <w:rPr>
                <w:sz w:val="1"/>
                <w:szCs w:val="1"/>
                <w:color w:val="auto"/>
              </w:rPr>
            </w:pPr>
          </w:p>
        </w:tc>
      </w:tr>
      <w:tr>
        <w:trPr>
          <w:trHeight w:val="225"/>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Ezra T. Ernst</w:t>
            </w:r>
          </w:p>
        </w:tc>
        <w:tc>
          <w:tcPr>
            <w:tcW w:w="8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 Thomas Ian Brown</w:t>
            </w:r>
          </w:p>
        </w:tc>
        <w:tc>
          <w:tcPr>
            <w:tcW w:w="8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7, 2025</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Ian Brown</w:t>
            </w:r>
          </w:p>
        </w:tc>
        <w:tc>
          <w:tcPr>
            <w:tcW w:w="80" w:type="dxa"/>
            <w:vAlign w:val="bottom"/>
            <w:vMerge w:val="continue"/>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Bruce T. Bernstein</w:t>
            </w:r>
          </w:p>
        </w:tc>
        <w:tc>
          <w:tcPr>
            <w:tcW w:w="8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7, 2025</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Bruce T. Bernstein</w:t>
            </w:r>
          </w:p>
        </w:tc>
        <w:tc>
          <w:tcPr>
            <w:tcW w:w="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Robert Weinstein</w:t>
            </w:r>
          </w:p>
        </w:tc>
        <w:tc>
          <w:tcPr>
            <w:tcW w:w="8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7, 2025</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Weinstein</w:t>
            </w:r>
          </w:p>
        </w:tc>
        <w:tc>
          <w:tcPr>
            <w:tcW w:w="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Michael Lebowitz</w:t>
            </w:r>
          </w:p>
        </w:tc>
        <w:tc>
          <w:tcPr>
            <w:tcW w:w="8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7, 2025</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Lebowitz</w:t>
            </w:r>
          </w:p>
        </w:tc>
        <w:tc>
          <w:tcPr>
            <w:tcW w:w="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Gaëlle Wizenberg</w:t>
            </w:r>
          </w:p>
        </w:tc>
        <w:tc>
          <w:tcPr>
            <w:tcW w:w="8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2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7, 2025</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Gaëlle Wizenberg</w:t>
            </w:r>
          </w:p>
        </w:tc>
        <w:tc>
          <w:tcPr>
            <w:tcW w:w="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2"/>
          </w:tcPr>
          <w:p>
            <w:pPr>
              <w:ind w:left="2460"/>
              <w:spacing w:after="0"/>
              <w:rPr>
                <w:sz w:val="20"/>
                <w:szCs w:val="20"/>
                <w:color w:val="auto"/>
              </w:rPr>
            </w:pPr>
            <w:r>
              <w:rPr>
                <w:rFonts w:ascii="Times New Roman" w:cs="Times New Roman" w:eastAsia="Times New Roman" w:hAnsi="Times New Roman"/>
                <w:sz w:val="17"/>
                <w:szCs w:val="17"/>
                <w:color w:val="auto"/>
              </w:rPr>
              <w:t>II-6</w:t>
            </w: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February 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XWELL, Inc.</w:t>
      </w:r>
    </w:p>
    <w:p>
      <w:pPr>
        <w:spacing w:after="0" w:line="208" w:lineRule="auto"/>
        <w:rPr>
          <w:sz w:val="20"/>
          <w:szCs w:val="20"/>
          <w:color w:val="auto"/>
        </w:rPr>
      </w:pPr>
      <w:r>
        <w:rPr>
          <w:rFonts w:ascii="Times New Roman" w:cs="Times New Roman" w:eastAsia="Times New Roman" w:hAnsi="Times New Roman"/>
          <w:sz w:val="17"/>
          <w:szCs w:val="17"/>
          <w:color w:val="auto"/>
        </w:rPr>
        <w:t>254 West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Street,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1"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We have acted as counsel for XWELL,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filing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on the date hereof,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of a registration statement on Form S-3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by the Company which registers the resale by the holders thereof of 1,051,677 shares of common stock of the Company, par value $0.01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issuable upon the conversion of shares of the Company’s newly designated Series G convertible preferred stock (the “</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and shares of the Common Stock issuable upon exercise of certain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herein collectively as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firstLine="625"/>
        <w:spacing w:after="0" w:line="264" w:lineRule="auto"/>
        <w:rPr>
          <w:sz w:val="20"/>
          <w:szCs w:val="20"/>
          <w:color w:val="auto"/>
        </w:rPr>
      </w:pPr>
      <w:r>
        <w:rPr>
          <w:rFonts w:ascii="Times New Roman" w:cs="Times New Roman" w:eastAsia="Times New Roman" w:hAnsi="Times New Roman"/>
          <w:sz w:val="17"/>
          <w:szCs w:val="17"/>
          <w:color w:val="auto"/>
        </w:rPr>
        <w:t>In rendering the opinions expressed herein, we have examined and relied upon the originals, or copies certified to our satisfaction, of (i) the Amended and Restated Certificate of Incorporation and Fourth Amended and Restated Bylaws of the Company, as of the date hereof (“</w:t>
      </w:r>
      <w:r>
        <w:rPr>
          <w:rFonts w:ascii="Times New Roman" w:cs="Times New Roman" w:eastAsia="Times New Roman" w:hAnsi="Times New Roman"/>
          <w:sz w:val="17"/>
          <w:szCs w:val="17"/>
          <w:u w:val="single" w:color="auto"/>
          <w:color w:val="auto"/>
        </w:rPr>
        <w:t>Company Charter Documents</w:t>
      </w:r>
      <w:r>
        <w:rPr>
          <w:rFonts w:ascii="Times New Roman" w:cs="Times New Roman" w:eastAsia="Times New Roman" w:hAnsi="Times New Roman"/>
          <w:sz w:val="17"/>
          <w:szCs w:val="17"/>
          <w:color w:val="auto"/>
        </w:rPr>
        <w:t>”); (ii) the Registration Statement and all exhibits thereto; (iii) Certificate of Designations of Series G Convertible Preferred Stock of XWELL, Inc. (the “</w:t>
      </w:r>
      <w:r>
        <w:rPr>
          <w:rFonts w:ascii="Times New Roman" w:cs="Times New Roman" w:eastAsia="Times New Roman" w:hAnsi="Times New Roman"/>
          <w:sz w:val="17"/>
          <w:szCs w:val="17"/>
          <w:u w:val="single" w:color="auto"/>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Designations</w:t>
      </w:r>
      <w:r>
        <w:rPr>
          <w:rFonts w:ascii="Times New Roman" w:cs="Times New Roman" w:eastAsia="Times New Roman" w:hAnsi="Times New Roman"/>
          <w:sz w:val="17"/>
          <w:szCs w:val="17"/>
          <w:color w:val="auto"/>
        </w:rPr>
        <w:t>”), (iv) the Warrants; (v) a specimen of the Company’s Common Stock certificate; (vi) a certificate executed by an officer of the Company, dated as of the date hereof, and (vii) such other corporate records of the Company as we have deemed necessary or appropriate for purposes of the opinions hereafter expressed.</w:t>
      </w:r>
    </w:p>
    <w:p>
      <w:pPr>
        <w:spacing w:after="0" w:line="382"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As to questions of fact material to the opinions expressed below, we have, without independent verification of their accuracy, relied to the extent we deemed reasonably appropriate upon the representations and warranties of the Company contained in such documents, records, certificates, instruments or representations furnished or made available to us by the Company.</w:t>
      </w:r>
    </w:p>
    <w:p>
      <w:pPr>
        <w:spacing w:after="0" w:line="163"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In making the foregoing examinations, we have assumed (i) the genuineness of all signatures, (ii) the authenticity of all documents submitted to us as originals, (iii) the conformity to original documents of all documents submitted to us as certified or photostatic copies, (iv) that all agreements or instruments we have examined are the valid, binding and enforceable obligations of the parties thereto, and (v) that all factual information on which we have relied was accurate and complete.</w:t>
      </w:r>
    </w:p>
    <w:p>
      <w:pPr>
        <w:spacing w:after="0" w:line="168" w:lineRule="exact"/>
        <w:rPr>
          <w:sz w:val="20"/>
          <w:szCs w:val="20"/>
          <w:color w:val="auto"/>
        </w:rPr>
      </w:pPr>
    </w:p>
    <w:p>
      <w:pPr>
        <w:jc w:val="both"/>
        <w:ind w:firstLine="625"/>
        <w:spacing w:after="0" w:line="259" w:lineRule="auto"/>
        <w:rPr>
          <w:sz w:val="20"/>
          <w:szCs w:val="20"/>
          <w:color w:val="auto"/>
        </w:rPr>
      </w:pPr>
      <w:r>
        <w:rPr>
          <w:rFonts w:ascii="Times New Roman" w:cs="Times New Roman" w:eastAsia="Times New Roman" w:hAnsi="Times New Roman"/>
          <w:sz w:val="17"/>
          <w:szCs w:val="17"/>
          <w:color w:val="auto"/>
        </w:rPr>
        <w:t>We have also assumed that (i) the Company will continue to be incorporated and in existence and good standing in its jurisdiction of organization; (ii) 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Securities offered thereby will have been delivered to the purchaser(s) of the Securities as required in accordance with applicable law; (v) all Securities will be offered, issued and sold in compliance with applicable federal and state securities laws and in the manner stated in the Registration Statement and the prospectus and any prospectus supplement; (vi) any definitive purchase, underwriting or similar agreement with respect to any Securities offered will have been duly authorized and validly executed and delivered by the Company and the other parties thereto and will be an enforceable obligation of the parties thereto; (vii) upon effectiveness of the Registration Statement, there will be sufficient shares of Common Stock authorized under the Company Charter Documents and not otherwise reserved for issuance; and (viii) there will not have occurred any change in law or in the Company Charter Documents of the Company adversely affecting the Securities or the rights of the holders thereof.</w:t>
      </w:r>
    </w:p>
    <w:p>
      <w:pPr>
        <w:spacing w:after="0" w:line="180" w:lineRule="exact"/>
        <w:rPr>
          <w:sz w:val="20"/>
          <w:szCs w:val="20"/>
          <w:color w:val="auto"/>
        </w:rPr>
      </w:pPr>
    </w:p>
    <w:p>
      <w:pPr>
        <w:jc w:val="both"/>
        <w:ind w:firstLine="625"/>
        <w:spacing w:after="0" w:line="271" w:lineRule="auto"/>
        <w:rPr>
          <w:sz w:val="20"/>
          <w:szCs w:val="20"/>
          <w:color w:val="auto"/>
        </w:rPr>
      </w:pPr>
      <w:r>
        <w:rPr>
          <w:rFonts w:ascii="Times New Roman" w:cs="Times New Roman" w:eastAsia="Times New Roman" w:hAnsi="Times New Roman"/>
          <w:sz w:val="17"/>
          <w:szCs w:val="17"/>
          <w:color w:val="auto"/>
        </w:rPr>
        <w:t>Based upon the foregoing and subject to the assumptions and qualifications stated herein, we are of the opinion that (i) the Common Stock issuable upon conversion of the Preferred Shares, when issued in accordance with the terms of the Certificate of Designations, will be validly issued, fully paid and non-assessable, and (ii) the Common Stock underlying the Warrants, when issued in accordance with the terms of the Warrants,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532765</wp:posOffset>
            </wp:positionV>
            <wp:extent cx="7137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5" w:name="page36"/>
    <w:bookmarkEnd w:id="35"/>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The opinions expressed herein are limited exclusively to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applicable provisions of the Delaware Constitution and reported judicial decisions interpreting the DGCL and such provisions of the Delaware Constitution and we have not considered, and express no opinion on, any other laws or the laws of any other jurisdiction.</w:t>
      </w:r>
    </w:p>
    <w:p>
      <w:pPr>
        <w:spacing w:after="0" w:line="163"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We hereby consent to the filing of this opinion with the Commission as Exhibit 5.1 to the Registration Statement and to the reference to our firm under the heading “Legal Matters” in the prospectus constituting part of such Registration Statement. In giving such consent, we do not hereby admit that we are in the category of persons whose consent is required under Section 7 of the Securities Act or the rules and regulations of the Commission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94753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3">
                      <a:extLst>
                        <a:ext uri="{28A0092B-C50C-407E-A947-70E740481C1C}"/>
                      </a:extLst>
                    </a:blip>
                    <a:srcRect/>
                    <a:stretch>
                      <a:fillRect/>
                    </a:stretch>
                  </pic:blipFill>
                  <pic:spPr bwMode="auto">
                    <a:xfrm>
                      <a:off x="0" y="0"/>
                      <a:ext cx="6947535" cy="1651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433070</wp:posOffset>
            </wp:positionV>
            <wp:extent cx="713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INDEPENDENT REGISTERED PUBLIC ACCOUNTING FIRM’S CONSENT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of XWELL, Inc. on Form S-3 of our report dated April 16, 2024 with respect to our audits of the consolidated financial statements of XWELL, Inc. and Subsidiaries as of December 31, 2023 and 2022 and for the years ended December 31, 2023 and 2022 appearing in the Annual Report on Form 10-K of XWELL, Inc. for the year ended December 31, 2023. We also consent to the reference to our firm under the heading “Experts” the Prospectus, which is part of this Registration 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Marcum </w:t>
      </w:r>
      <w:r>
        <w:rPr>
          <w:rFonts w:ascii="Times New Roman" w:cs="Times New Roman" w:eastAsia="Times New Roman" w:hAnsi="Times New Roman"/>
          <w:sz w:val="11"/>
          <w:szCs w:val="11"/>
          <w:color w:val="auto"/>
        </w:rPr>
        <w:t>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Marcum </w:t>
      </w:r>
      <w:r>
        <w:rPr>
          <w:rFonts w:ascii="Times New Roman" w:cs="Times New Roman" w:eastAsia="Times New Roman" w:hAnsi="Times New Roman"/>
          <w:sz w:val="11"/>
          <w:szCs w:val="11"/>
          <w:color w:val="auto"/>
        </w:rPr>
        <w:t>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Morristown, NJ</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421005</wp:posOffset>
            </wp:positionV>
            <wp:extent cx="7137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7"/>
                <w:szCs w:val="17"/>
                <w:b w:val="1"/>
                <w:bCs w:val="1"/>
                <w:color w:val="auto"/>
              </w:rPr>
              <w:t>Exhibit 107</w:t>
            </w:r>
          </w:p>
        </w:tc>
      </w:tr>
      <w:tr>
        <w:trPr>
          <w:trHeight w:val="416"/>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6"/>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Form S-3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6"/>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XWELL,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7"/>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20" w:type="dxa"/>
            <w:vAlign w:val="bottom"/>
            <w:gridSpan w:val="10"/>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5"/>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Connection</w:t>
            </w: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Fee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Carry</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Unsold</w:t>
            </w: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280" w:type="dxa"/>
            <w:vAlign w:val="bottom"/>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Carry</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Carry</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or Carry</w:t>
            </w: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128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14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Forward Forward</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Initial</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r>
      <w:tr>
        <w:trPr>
          <w:trHeight w:val="208"/>
        </w:trPr>
        <w:tc>
          <w:tcPr>
            <w:tcW w:w="820" w:type="dxa"/>
            <w:vAlign w:val="bottom"/>
          </w:tcPr>
          <w:p>
            <w:pPr>
              <w:spacing w:after="0"/>
              <w:rPr>
                <w:sz w:val="18"/>
                <w:szCs w:val="18"/>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28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Form</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4"/>
              </w:rPr>
              <w:t>File</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effective</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r>
      <w:tr>
        <w:trPr>
          <w:trHeight w:val="229"/>
        </w:trPr>
        <w:tc>
          <w:tcPr>
            <w:tcW w:w="820" w:type="dxa"/>
            <w:vAlign w:val="bottom"/>
          </w:tcPr>
          <w:p>
            <w:pPr>
              <w:spacing w:after="0"/>
              <w:rPr>
                <w:sz w:val="19"/>
                <w:szCs w:val="19"/>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Rule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3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280" w:type="dxa"/>
            <w:vAlign w:val="bottom"/>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Price</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240" w:type="dxa"/>
            <w:vAlign w:val="bottom"/>
          </w:tcPr>
          <w:p>
            <w:pPr>
              <w:spacing w:after="0"/>
              <w:rPr>
                <w:sz w:val="19"/>
                <w:szCs w:val="19"/>
                <w:color w:val="auto"/>
              </w:rPr>
            </w:pPr>
          </w:p>
        </w:tc>
        <w:tc>
          <w:tcPr>
            <w:tcW w:w="78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Fee</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r>
      <w:tr>
        <w:trPr>
          <w:trHeight w:val="201"/>
        </w:trPr>
        <w:tc>
          <w:tcPr>
            <w:tcW w:w="8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190"/>
        </w:trPr>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7"/>
                <w:szCs w:val="17"/>
                <w:color w:val="auto"/>
              </w:rPr>
              <w:t>Common</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Stock,</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par value</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Fees to Be</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$0.01</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Equity</w:t>
            </w: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per share Rule 457(c)</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1,051,677(2)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1.20(3) $1,262,012.40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$0.0001531</w:t>
            </w: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193.21</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90"/>
        </w:trPr>
        <w:tc>
          <w:tcPr>
            <w:tcW w:w="8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Fees</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Previously</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7"/>
        </w:trPr>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Paid</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Carry Forward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0"/>
        </w:trPr>
        <w:tc>
          <w:tcPr>
            <w:tcW w:w="8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Carry</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08"/>
        </w:trPr>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7"/>
        </w:trPr>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Securities</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60" w:type="dxa"/>
            <w:vAlign w:val="bottom"/>
            <w:gridSpan w:val="7"/>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$1,262,012.40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60" w:type="dxa"/>
            <w:vAlign w:val="bottom"/>
            <w:gridSpan w:val="7"/>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760" w:type="dxa"/>
            <w:vAlign w:val="bottom"/>
            <w:gridSpan w:val="7"/>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gridSpan w:val="5"/>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193.21</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-3613785</wp:posOffset>
            </wp:positionV>
            <wp:extent cx="27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58" w:lineRule="exact"/>
        <w:rPr>
          <w:sz w:val="20"/>
          <w:szCs w:val="20"/>
          <w:color w:val="auto"/>
        </w:rPr>
      </w:pPr>
    </w:p>
    <w:p>
      <w:pPr>
        <w:jc w:val="both"/>
        <w:ind w:left="220" w:right="100" w:hanging="207"/>
        <w:spacing w:after="0" w:line="274" w:lineRule="auto"/>
        <w:rPr>
          <w:sz w:val="20"/>
          <w:szCs w:val="20"/>
          <w:color w:val="auto"/>
        </w:rPr>
      </w:pPr>
      <w:r>
        <w:rPr>
          <w:rFonts w:ascii="Times New Roman" w:cs="Times New Roman" w:eastAsia="Times New Roman" w:hAnsi="Times New Roman"/>
          <w:sz w:val="17"/>
          <w:szCs w:val="17"/>
          <w:color w:val="auto"/>
        </w:rPr>
        <w:t>(1)Pursuant to Rule 416 under the Securities Act of 1933 (the “Securities Act”), the shares being registered hereunder include such indeterminate number of shares of common stock, par value $0.01 per share (the “Common Stock”), as may be issuable with respect to the shares being registered hereunder as a result of stock splits, stock dividends or similar transactions.</w:t>
      </w:r>
    </w:p>
    <w:p>
      <w:pPr>
        <w:spacing w:after="0" w:line="163" w:lineRule="exact"/>
        <w:rPr>
          <w:sz w:val="20"/>
          <w:szCs w:val="20"/>
          <w:color w:val="auto"/>
        </w:rPr>
      </w:pPr>
    </w:p>
    <w:p>
      <w:pPr>
        <w:jc w:val="both"/>
        <w:ind w:left="220" w:right="100" w:hanging="207"/>
        <w:spacing w:after="0" w:line="293" w:lineRule="auto"/>
        <w:rPr>
          <w:sz w:val="20"/>
          <w:szCs w:val="20"/>
          <w:color w:val="auto"/>
        </w:rPr>
      </w:pPr>
      <w:r>
        <w:rPr>
          <w:rFonts w:ascii="Times New Roman" w:cs="Times New Roman" w:eastAsia="Times New Roman" w:hAnsi="Times New Roman"/>
          <w:sz w:val="17"/>
          <w:szCs w:val="17"/>
          <w:color w:val="auto"/>
        </w:rPr>
        <w:t>(2)Represents an aggregate of 1,051,677 shares of Common Stock issuable upon the conversion of shares of Series G convertible preferred stock or upon exercise of certain warrants.</w:t>
      </w:r>
    </w:p>
    <w:p>
      <w:pPr>
        <w:spacing w:after="0" w:line="147" w:lineRule="exact"/>
        <w:rPr>
          <w:sz w:val="20"/>
          <w:szCs w:val="20"/>
          <w:color w:val="auto"/>
        </w:rPr>
      </w:pPr>
    </w:p>
    <w:p>
      <w:pPr>
        <w:jc w:val="both"/>
        <w:ind w:left="220" w:right="100" w:hanging="207"/>
        <w:spacing w:after="0" w:line="274" w:lineRule="auto"/>
        <w:rPr>
          <w:sz w:val="20"/>
          <w:szCs w:val="20"/>
          <w:color w:val="auto"/>
        </w:rPr>
      </w:pPr>
      <w:r>
        <w:rPr>
          <w:rFonts w:ascii="Times New Roman" w:cs="Times New Roman" w:eastAsia="Times New Roman" w:hAnsi="Times New Roman"/>
          <w:sz w:val="17"/>
          <w:szCs w:val="17"/>
          <w:color w:val="auto"/>
        </w:rPr>
        <w:t>(3)Estimated solely for the purpose of calculating the amount of the registration fee pursuant to Rule 457(c) under the Securities Act, based on the average of the high and low prices of the Common Stock as reported on The Nasdaq Capital Market on February 5, 2025, which such date is within five business days of the filing of this registration statement, of $1.20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396240</wp:posOffset>
            </wp:positionV>
            <wp:extent cx="7137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sectPr>
      <w:pgSz w:w="11900" w:h="16838" w:orient="portrait"/>
      <w:cols w:equalWidth="0" w:num="1">
        <w:col w:w="11340"/>
      </w:cols>
      <w:pgMar w:left="320" w:top="3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1"/>
    </w:lvl>
  </w:abstractNum>
  <w:abstractNum w:abstractNumId="1">
    <w:nsid w:val="79E2A9E3"/>
    <w:multiLevelType w:val="hybridMultilevel"/>
    <w:lvl w:ilvl="0">
      <w:lvlJc w:val="left"/>
      <w:lvlText w:val="(%1)"/>
      <w:numFmt w:val="decimal"/>
      <w:start w:val="212"/>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
      <w:numFmt w:val="bullet"/>
      <w:start w:val="1"/>
    </w:lvl>
    <w:lvl w:ilvl="1">
      <w:lvlJc w:val="left"/>
      <w:lvlText w:val="(%2)"/>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Roman"/>
      <w:start w:val="1"/>
    </w:lvl>
  </w:abstractNum>
  <w:abstractNum w:abstractNumId="11">
    <w:nsid w:val="140E0F76"/>
    <w:multiLevelType w:val="hybridMultilevel"/>
    <w:lvl w:ilvl="0">
      <w:lvlJc w:val="left"/>
      <w:lvlText w:val="(%1)"/>
      <w:numFmt w:val="decimal"/>
      <w:start w:val="2"/>
    </w:lvl>
  </w:abstractNum>
  <w:abstractNum w:abstractNumId="12">
    <w:nsid w:val="3352255A"/>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99" Type="http://schemas.openxmlformats.org/officeDocument/2006/relationships/image" Target="media/image38.png"/><Relationship Id="rId100" Type="http://schemas.openxmlformats.org/officeDocument/2006/relationships/image" Target="media/image39.png"/><Relationship Id="rId101" Type="http://schemas.openxmlformats.org/officeDocument/2006/relationships/image" Target="media/image40.png"/><Relationship Id="rId102" Type="http://schemas.openxmlformats.org/officeDocument/2006/relationships/image" Target="media/image41.png"/><Relationship Id="rId103"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06" Type="http://schemas.openxmlformats.org/officeDocument/2006/relationships/image" Target="media/image45.png"/><Relationship Id="rId107" Type="http://schemas.openxmlformats.org/officeDocument/2006/relationships/image" Target="media/image46.png"/><Relationship Id="rId34" Type="http://schemas.openxmlformats.org/officeDocument/2006/relationships/hyperlink" Target="https://www.sec.gov/ix?doc=/Archives/edgar/data/1410428/000155837024005211/xwel-20231231x10k.htm" TargetMode="External"/><Relationship Id="rId35" Type="http://schemas.openxmlformats.org/officeDocument/2006/relationships/hyperlink" Target="https://www.sec.gov/ix?doc=/Archives/edgar/data/1410428/000110465924048308/tm2412026d1_10ka.htm" TargetMode="External"/><Relationship Id="rId36" Type="http://schemas.openxmlformats.org/officeDocument/2006/relationships/hyperlink" Target="https://www.sec.gov/ix?doc=/Archives/edgar/data/1410428/000155837024006040/xwel-20231231x10ka.htm" TargetMode="External"/><Relationship Id="rId37" Type="http://schemas.openxmlformats.org/officeDocument/2006/relationships/hyperlink" Target="https://www.sec.gov/ix?doc=/Archives/edgar/data/1410428/000154478424000083/xwel-20240331x10q.htm" TargetMode="External"/><Relationship Id="rId38" Type="http://schemas.openxmlformats.org/officeDocument/2006/relationships/hyperlink" Target="https://www.sec.gov/ix?doc=/Archives/edgar/data/1410428/000155837023014907/xwel-20230630x10q.htm" TargetMode="External"/><Relationship Id="rId39" Type="http://schemas.openxmlformats.org/officeDocument/2006/relationships/hyperlink" Target="https://www.sec.gov/ix?doc=/Archives/edgar/data/1410428/000155837022017847/xwel-20220930x10q.htm" TargetMode="External"/><Relationship Id="rId40" Type="http://schemas.openxmlformats.org/officeDocument/2006/relationships/hyperlink" Target="https://www.sec.gov/ix?doc=/Archives/edgar/data/1410428/000110465924009767/tm244997-1_8ka.htm" TargetMode="External"/><Relationship Id="rId41" Type="http://schemas.openxmlformats.org/officeDocument/2006/relationships/hyperlink" Target="https://www.sec.gov/ix?doc=/Archives/edgar/data/1410428/000110465924033244/tm248531d1_8k.htm" TargetMode="External"/><Relationship Id="rId42" Type="http://schemas.openxmlformats.org/officeDocument/2006/relationships/hyperlink" Target="https://www.sec.gov/ix?doc=/Archives/edgar/data/1410428/000110465924046836/tm2411774d1_8k.htm" TargetMode="External"/><Relationship Id="rId43" Type="http://schemas.openxmlformats.org/officeDocument/2006/relationships/hyperlink" Target="https://www.sec.gov/ix?doc=/Archives/edgar/data/1410428/000110465924063832/tm2415030d1_8k.htm" TargetMode="External"/><Relationship Id="rId44" Type="http://schemas.openxmlformats.org/officeDocument/2006/relationships/hyperlink" Target="https://www.sec.gov/ix?doc=/Archives/edgar/data/1410428/000110465924081538/tm2419933d1_8k.htm" TargetMode="External"/><Relationship Id="rId45" Type="http://schemas.openxmlformats.org/officeDocument/2006/relationships/hyperlink" Target="https://www.sec.gov/ix?doc=/Archives/edgar/data/1410428/000110465924086582/tm2421027d1_8k.htm" TargetMode="External"/><Relationship Id="rId46" Type="http://schemas.openxmlformats.org/officeDocument/2006/relationships/hyperlink" Target="https://www.sec.gov/ix?doc=/Archives/edgar/data/1410428/000110465924090328/tm2421867d1_8k.htm" TargetMode="External"/><Relationship Id="rId47" Type="http://schemas.openxmlformats.org/officeDocument/2006/relationships/hyperlink" Target="https://www.sec.gov/ix?doc=/Archives/edgar/data/1410428/000110465924097147/tm2423402d1_8k.htm" TargetMode="External"/><Relationship Id="rId48" Type="http://schemas.openxmlformats.org/officeDocument/2006/relationships/hyperlink" Target="https://www.sec.gov/ix?doc=/Archives/edgar/data/1410428/000110465924102031/tm2424568d1_8k.htm" TargetMode="External"/><Relationship Id="rId49" Type="http://schemas.openxmlformats.org/officeDocument/2006/relationships/hyperlink" Target="https://www.sec.gov/ix?doc=/Archives/edgar/data/1410428/000110465925001576/tm251904d1_8k.htm" TargetMode="External"/><Relationship Id="rId50" Type="http://schemas.openxmlformats.org/officeDocument/2006/relationships/hyperlink" Target="https://www.sec.gov/ix?doc=/Archives/edgar/data/1410428/000110465925003620/tm253251d1_8k.htm" TargetMode="External"/><Relationship Id="rId51" Type="http://schemas.openxmlformats.org/officeDocument/2006/relationships/hyperlink" Target="https://www.sec.gov/Archives/edgar/data/1410428/000119312510140514/d8a12b.htm" TargetMode="External"/><Relationship Id="rId52" Type="http://schemas.openxmlformats.org/officeDocument/2006/relationships/hyperlink" Target="https://www.sec.gov/Archives/edgar/data/1410428/000110465920048780/tm205324d1_ex4-22.htm" TargetMode="External"/><Relationship Id="rId64" Type="http://schemas.openxmlformats.org/officeDocument/2006/relationships/hyperlink" Target="https://www.sec.gov/Archives/edgar/data/1410428/000114420416117230/v446257_ex2-1.htm" TargetMode="External"/><Relationship Id="rId65" Type="http://schemas.openxmlformats.org/officeDocument/2006/relationships/hyperlink" Target="https://www.sec.gov/Archives/edgar/data/1410428/000114420416123414/v448507_ex2-1.htm" TargetMode="External"/><Relationship Id="rId66" Type="http://schemas.openxmlformats.org/officeDocument/2006/relationships/hyperlink" Target="https://www.sec.gov/Archives/edgar/data/1410428/000114420416129472/v451220_ex2-1.htm" TargetMode="External"/><Relationship Id="rId67" Type="http://schemas.openxmlformats.org/officeDocument/2006/relationships/hyperlink" Target="https://www.sec.gov/Archives/edgar/data/1410428/000110465922110803/tm2228726d1_ex3-1.htm" TargetMode="External"/><Relationship Id="rId68" Type="http://schemas.openxmlformats.org/officeDocument/2006/relationships/hyperlink" Target="https://www.sec.gov/Archives/edgar/data/1410428/000110465922110803/tm2228726d1_ex3-2.htm" TargetMode="External"/><Relationship Id="rId69" Type="http://schemas.openxmlformats.org/officeDocument/2006/relationships/hyperlink" Target="https://www.sec.gov/Archives/edgar/data/1410428/000110465922110803/tm2228726d1_ex3-3.htm" TargetMode="External"/><Relationship Id="rId70" Type="http://schemas.openxmlformats.org/officeDocument/2006/relationships/hyperlink" Target="https://www.sec.gov/Archives/edgar/data/1410428/000110465923104093/tm2327010d1_ex3-1.htm" TargetMode="External"/><Relationship Id="rId71" Type="http://schemas.openxmlformats.org/officeDocument/2006/relationships/hyperlink" Target="https://www.sec.gov/Archives/edgar/data/1410428/000110465924090328/tm2421867d1_ex3-1.htm" TargetMode="External"/><Relationship Id="rId72" Type="http://schemas.openxmlformats.org/officeDocument/2006/relationships/hyperlink" Target="https://www.sec.gov/Archives/edgar/data/1410428/000110465925003620/tm253251d1_ex3-1.htm" TargetMode="External"/><Relationship Id="rId73" Type="http://schemas.openxmlformats.org/officeDocument/2006/relationships/hyperlink" Target="https://www.sec.gov/Archives/edgar/data/1410428/000114420416089189/v434655_ex4-1.htm" TargetMode="External"/><Relationship Id="rId74" Type="http://schemas.openxmlformats.org/officeDocument/2006/relationships/hyperlink" Target="https://www.sec.gov/Archives/edgar/data/1410428/000114420419015650/tv516755_ex10-1.htm" TargetMode="External"/><Relationship Id="rId75" Type="http://schemas.openxmlformats.org/officeDocument/2006/relationships/hyperlink" Target="https://www.sec.gov/Archives/edgar/data/1410428/000114420416129474/v449051_s4a.htm" TargetMode="External"/><Relationship Id="rId76" Type="http://schemas.openxmlformats.org/officeDocument/2006/relationships/hyperlink" Target="https://www.sec.gov/Archives/edgar/data/1410428/000114420418028911/tv492938_ex4-1.htm" TargetMode="External"/><Relationship Id="rId77" Type="http://schemas.openxmlformats.org/officeDocument/2006/relationships/hyperlink" Target="https://www.sec.gov/Archives/edgar/data/1410428/000114420419032532/tv524367_ex4-1.htm" TargetMode="External"/><Relationship Id="rId78" Type="http://schemas.openxmlformats.org/officeDocument/2006/relationships/hyperlink" Target="https://www.sec.gov/Archives/edgar/data/1410428/000114420419033939/tv524856_ex4-3.htm" TargetMode="External"/><Relationship Id="rId79" Type="http://schemas.openxmlformats.org/officeDocument/2006/relationships/hyperlink" Target="https://www.sec.gov/Archives/edgar/data/1410428/000110465920003636/tm203197d1_ex4-1.htm" TargetMode="External"/><Relationship Id="rId80" Type="http://schemas.openxmlformats.org/officeDocument/2006/relationships/hyperlink" Target="https://www.sec.gov/Archives/edgar/data/1410428/000110465920029962/tm2011914d1_ex4-1.htm" TargetMode="External"/><Relationship Id="rId81" Type="http://schemas.openxmlformats.org/officeDocument/2006/relationships/hyperlink" Target="https://www.sec.gov/Archives/edgar/data/1410428/000114420419033939/tv524856_ex4-1.htm" TargetMode="External"/><Relationship Id="rId82" Type="http://schemas.openxmlformats.org/officeDocument/2006/relationships/hyperlink" Target="https://www.sec.gov/Archives/edgar/data/1410428/000114420419033939/tv524856_ex4-2.htm" TargetMode="External"/><Relationship Id="rId83" Type="http://schemas.openxmlformats.org/officeDocument/2006/relationships/hyperlink" Target="https://www.sec.gov/Archives/edgar/data/1410428/000110465920035631/tm2013177d1_ex4-1.htm" TargetMode="External"/><Relationship Id="rId84" Type="http://schemas.openxmlformats.org/officeDocument/2006/relationships/hyperlink" Target="https://www.sec.gov/Archives/edgar/data/1410428/000110465920038562/tm2013765d1_ex4-1.htm" TargetMode="External"/><Relationship Id="rId85" Type="http://schemas.openxmlformats.org/officeDocument/2006/relationships/hyperlink" Target="https://www.sec.gov/Archives/edgar/data/1410428/000110465920039953/tm2014049d1_ex4-1.htm" TargetMode="External"/><Relationship Id="rId86" Type="http://schemas.openxmlformats.org/officeDocument/2006/relationships/hyperlink" Target="https://www.sec.gov/Archives/edgar/data/1410428/000110465920043879/tm2015133d1_ex4-1.htm" TargetMode="External"/><Relationship Id="rId87" Type="http://schemas.openxmlformats.org/officeDocument/2006/relationships/hyperlink" Target="https://www.sec.gov/Archives/edgar/data/1410428/000110465920048297/tm2016230-1_ex41.htm" TargetMode="External"/><Relationship Id="rId88" Type="http://schemas.openxmlformats.org/officeDocument/2006/relationships/hyperlink" Target="https://www.sec.gov/Archives/edgar/data/1410428/000110465920051103/tm2016889d1_ex4-1.htm" TargetMode="External"/><Relationship Id="rId89" Type="http://schemas.openxmlformats.org/officeDocument/2006/relationships/hyperlink" Target="https://www.sec.gov/Archives/edgar/data/1410428/000110465920074007/tm2022774d1_ex4-1.htm" TargetMode="External"/><Relationship Id="rId90" Type="http://schemas.openxmlformats.org/officeDocument/2006/relationships/hyperlink" Target="https://www.sec.gov/Archives/edgar/data/1410428/000110465920074007/tm2022774d1_ex4-2.htm" TargetMode="External"/><Relationship Id="rId91" Type="http://schemas.openxmlformats.org/officeDocument/2006/relationships/hyperlink" Target="https://www.sec.gov/Archives/edgar/data/1410428/000110465920100178/tm2029683d2_ex4-1.htm" TargetMode="External"/><Relationship Id="rId92" Type="http://schemas.openxmlformats.org/officeDocument/2006/relationships/hyperlink" Target="https://www.sec.gov/Archives/edgar/data/1410428/000110465920100178/tm2029683d2_ex4-2.htm" TargetMode="External"/><Relationship Id="rId93" Type="http://schemas.openxmlformats.org/officeDocument/2006/relationships/hyperlink" Target="https://www.sec.gov/Archives/edgar/data/1410428/000110465920100178/tm2029683d2_ex4-3.htm" TargetMode="External"/><Relationship Id="rId94" Type="http://schemas.openxmlformats.org/officeDocument/2006/relationships/hyperlink" Target="https://www.sec.gov/Archives/edgar/data/1410428/000110465920138085/tm2039005d1_ex4-1.htm" TargetMode="External"/><Relationship Id="rId95" Type="http://schemas.openxmlformats.org/officeDocument/2006/relationships/hyperlink" Target="https://www.sec.gov/Archives/edgar/data/1410428/000110465920138085/tm2039005d1_ex4-2.htm" TargetMode="External"/><Relationship Id="rId96" Type="http://schemas.openxmlformats.org/officeDocument/2006/relationships/hyperlink" Target="https://www.sec.gov/Archives/edgar/data/1410428/000110465924090328/tm2421867d1_ex4-1.htm" TargetMode="External"/><Relationship Id="rId97" Type="http://schemas.openxmlformats.org/officeDocument/2006/relationships/hyperlink" Target="https://www.sec.gov/Archives/edgar/data/1410428/000114420419035414/tv525226_ex4-14.htm" TargetMode="External"/><Relationship Id="rId98" Type="http://schemas.openxmlformats.org/officeDocument/2006/relationships/hyperlink" Target="https://www.sec.gov/Archives/edgar/data/1410428/000114420419035414/tv525226_ex4-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2025-02-07T15:23:46Z</dcterms:created>
  <dcterms:modified xsi:type="dcterms:W3CDTF">2025-02-07T15:23:46Z</dcterms:modified>
</cp:coreProperties>
</file>