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610879d2_424b3.htm"/>
      <w:bookmarkStart w:id="1" w:name="kstm2610879d2_424b3"/>
      <w:bookmarkEnd w:id="0"/>
      <w:bookmarkEnd w:id="1"/>
      <w:r>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Filed Pursuant to Rule 424(b)(3)</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No. 333-294835</w:t>
      </w:r>
    </w:p>
    <w:p>
      <w:pPr>
        <w:pStyle w:val="TextBody"/>
        <w:bidi w:val="0"/>
        <w:spacing w:before="0" w:after="0"/>
        <w:ind w:left="0" w:right="0" w:hanging="0"/>
        <w:jc w:val="center"/>
        <w:rPr>
          <w:caps w:val="false"/>
          <w:smallCaps w:val="false"/>
          <w:color w:val="FF0000"/>
        </w:rPr>
      </w:pPr>
      <w:r>
        <w:rPr>
          <w:caps w:val="false"/>
          <w:smallCaps w:val="false"/>
          <w:color w:val="FF0000"/>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PROSPECTUS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XWELL,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138,665,191 Shares of Common Stock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relates to the resale by the selling stockholders named in this prospectus from time to time of up to an aggregate of 138,665,191 shares of our common stock, par value $0.01 per share (the “Common Stock”), consisting of (i) 66,665,957 shares issuable upon the conversion of shares of our newly designated Series H convertible preferred stock (the “Preferred Shares”) and (ii) 71,999,234 shares issuable upon exercise of certain warrants to purchase shares of Common Stock (the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Preferred Shares were acquired by the applicable selling stockholders under the Securities Purchase Agreement (the “Purchase Agreement”), dated February 24, 2026, by and among the Company and the investor party thereto (the “Investor”). The Warrants were acquired by the selling stockholders under the (i) Purchase Agreement (such Warrants issued pursuant to the Purchase Agreement, the “Investor Warrants”), and (ii) a placement agency agreement (the “Engagement Agreement”), dated February 24, 2026, between the Company and Dominari Securities LLC (“Placement Agent”), as applicable (such Warrants issued pursuant to the Engagement Agreement, the “Placement Agent Warrants” and together with the Investor Warrants, the “Warrants”). The shares of Common Stock issuable upon the conversion of the Preferred Shares are herein referred to as “Conversion Shares,” and the shares of Common Stock issuable upon the exercise of the Warrants are herein referred to as “Warrant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Conversion Shares and the Warrant Shares were issued in reliance upon the exemption from the registration requirements in Section 4(a)(2) of the Securities Act of 1933, as amended (the “Securities Act”) and Regulation D promulgated thereunder.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registering the resale of the Conversion Shares and Warrant Shares issuable upon exercise of the Investor Warrants covered by this prospectus as required by the Registration Rights Agreement, dated February 27, 2026, by and among the Company, the Investor and the Placement Agent (the “Registration Rights Agreement”). We are also registering for resale the Warrant Shares issuable upon exercise of the Placement Agent Warrants covered by this 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stockholders will receive all of the proceeds from any sales of the shares offered hereby. We will not receive any of the proceeds, but we will incur expenses in connection with the offering. To the extent the Warrants are exercised for cash, if at all, we will receive the exercise price of the Warrants. We intend to use those proceeds, if any, for general corporate purposes.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issuance of the shares of Common Stock covered by this prospectus could cause substantial dilution to our existing stockholders. The actual number of shares of Common Stock that we issue to the selling stockholders may be less than the aggregate number of shares covered by this prospectus. Please refer to risk factor entitled “</w:t>
      </w:r>
      <w:r>
        <w:rPr>
          <w:rFonts w:ascii="Times New Roman;Times;Serif" w:hAnsi="Times New Roman;Times;Serif"/>
          <w:b w:val="false"/>
          <w:i/>
          <w:caps w:val="false"/>
          <w:smallCaps w:val="false"/>
          <w:sz w:val="20"/>
        </w:rPr>
        <w:t>The issuance of the shares of Common Stock covered by this prospectus could significantly increase the total number of shares of Common Stock issued and outstanding and thereby cause our existing stockholders to experience substantial dilution</w:t>
      </w:r>
      <w:r>
        <w:rPr>
          <w:rFonts w:ascii="Times New Roman;Times;Serif" w:hAnsi="Times New Roman;Times;Serif"/>
          <w:b w:val="false"/>
          <w:i w:val="false"/>
          <w:caps w:val="false"/>
          <w:smallCaps w:val="false"/>
          <w:sz w:val="20"/>
        </w:rPr>
        <w:t>” on page 8 of this prospectus. For additional information on the terms of the Preferred Shares and the Warrants, including those terms which may affect the number of Conversion Shares or Warrant Shares that will be issued to the holders of the Preferred Shares and the Warrants, you should refer to the sections of this prospectus entitled “</w:t>
      </w:r>
      <w:r>
        <w:rPr>
          <w:rFonts w:ascii="Times New Roman;Times;Serif" w:hAnsi="Times New Roman;Times;Serif"/>
          <w:b w:val="false"/>
          <w:i/>
          <w:caps w:val="false"/>
          <w:smallCaps w:val="false"/>
          <w:sz w:val="20"/>
        </w:rPr>
        <w:t>Prospectus Summary—Private Placement of Preferred Shares and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registration of the shares of Common Stock covered by this prospectus does not mean that the selling stockholders will offer or sell any of such shares of Common Stock. The selling stockholders named in this prospectus, or their donees, pledgees, transferees or other successors-in-interest, may resell the shares of Common Stock covered by this prospectus through public or private transactions at prevailing market prices, at prices related to prevailing market prices or at privately negotiated prices. For additional information on the possible methods of sale that may be used by the selling stockholders, you should refer to the section of this prospectus entitled “</w:t>
      </w:r>
      <w:r>
        <w:rPr>
          <w:rFonts w:ascii="Times New Roman;Times;Serif" w:hAnsi="Times New Roman;Times;Serif"/>
          <w:b w:val="false"/>
          <w:i/>
          <w:caps w:val="false"/>
          <w:smallCaps w:val="false"/>
          <w:sz w:val="20"/>
        </w:rPr>
        <w:t>Plan of Distribution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shares of Common Stock subject to resale hereunder will have been issued by us and acquired by the selling stockholders prior to any resale of such shares pursuant to this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underwriter or other person has been engaged to facilitate the sale of the Common Stock in this offering. We will bear all costs, expenses and fees in connection with the registration of the Common Stock. The selling stockholders will bear all commissions and discounts, if any, attributable to their respective sales of the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Common Stock is listed on the Nasdaq Capital Market under the symbol “XWEL.” On April 14, 2026, the last reported sales price for our Common Stock was $1.15 per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Investment in our Common Stock involves risk. See “Risk Factors” contained in this prospectus, in our periodic reports filed from time to time with the Securities and Exchange Commission, which are incorporated by reference in this prospectus and in any applicable prospectus supplement. You should carefully read this prospectus and any applicable prospectus supplement, together with the documents we incorporate by reference, before you invest in our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Neither the Securities and Exchange Commission nor any state securities commission has approved or disapproved of these securities or passed upon the adequacy or the accuracy of this prospectus. Any representation to the contrary is a criminal offense.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date of this prospectus is April 15,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Table of Contents</w:t>
      </w:r>
    </w:p>
    <w:p>
      <w:pPr>
        <w:pStyle w:val="TextBody"/>
        <w:bidi w:val="0"/>
        <w:spacing w:before="0" w:after="0"/>
        <w:ind w:left="0" w:right="0" w:hanging="0"/>
        <w:jc w:val="center"/>
        <w:rPr>
          <w:caps w:val="false"/>
          <w:smallCaps w:val="false"/>
        </w:rPr>
      </w:pPr>
      <w:r>
        <w:rPr>
          <w:caps w:val="false"/>
          <w:smallCaps w:val="false"/>
        </w:rPr>
        <w:t> </w:t>
      </w:r>
    </w:p>
    <w:tbl>
      <w:tblPr>
        <w:tblW w:w="6010" w:type="dxa"/>
        <w:jc w:val="left"/>
        <w:tblInd w:w="0" w:type="dxa"/>
        <w:tblLayout w:type="fixed"/>
        <w:tblCellMar>
          <w:top w:w="0" w:type="dxa"/>
          <w:left w:w="0" w:type="dxa"/>
          <w:bottom w:w="0" w:type="dxa"/>
          <w:right w:w="0" w:type="dxa"/>
        </w:tblCellMar>
      </w:tblPr>
      <w:tblGrid>
        <w:gridCol w:w="5765"/>
        <w:gridCol w:w="245"/>
      </w:tblGrid>
      <w:tr>
        <w:trPr/>
        <w:tc>
          <w:tcPr>
            <w:tcW w:w="5765" w:type="dxa"/>
            <w:tcBorders/>
            <w:shd w:fill="CCEEFF" w:val="clear"/>
            <w:vAlign w:val="center"/>
          </w:tcPr>
          <w:p>
            <w:pPr>
              <w:pStyle w:val="TableContents"/>
              <w:bidi w:val="0"/>
              <w:spacing w:before="0" w:after="283"/>
              <w:jc w:val="left"/>
              <w:rPr/>
            </w:pPr>
            <w:hyperlink w:anchor="m_001">
              <w:r>
                <w:rPr>
                  <w:rStyle w:val="InternetLink"/>
                  <w:sz w:val="20"/>
                </w:rPr>
                <w:t>ABOUT THIS PROSPECTUS</w:t>
              </w:r>
            </w:hyperlink>
          </w:p>
        </w:tc>
        <w:tc>
          <w:tcPr>
            <w:tcW w:w="245" w:type="dxa"/>
            <w:tcBorders/>
            <w:shd w:fill="CCEEFF" w:val="clear"/>
            <w:vAlign w:val="center"/>
          </w:tcPr>
          <w:p>
            <w:pPr>
              <w:pStyle w:val="TableContents"/>
              <w:bidi w:val="0"/>
              <w:spacing w:before="0" w:after="283"/>
              <w:jc w:val="right"/>
              <w:rPr/>
            </w:pPr>
            <w:hyperlink w:anchor="m_001">
              <w:r>
                <w:rPr>
                  <w:rStyle w:val="InternetLink"/>
                  <w:sz w:val="20"/>
                </w:rPr>
                <w:t>ii</w:t>
              </w:r>
            </w:hyperlink>
          </w:p>
        </w:tc>
      </w:tr>
      <w:tr>
        <w:trPr/>
        <w:tc>
          <w:tcPr>
            <w:tcW w:w="5765" w:type="dxa"/>
            <w:tcBorders/>
            <w:shd w:fill="FFFFFF" w:val="clear"/>
            <w:vAlign w:val="center"/>
          </w:tcPr>
          <w:p>
            <w:pPr>
              <w:pStyle w:val="TableContents"/>
              <w:bidi w:val="0"/>
              <w:spacing w:before="0" w:after="283"/>
              <w:jc w:val="left"/>
              <w:rPr/>
            </w:pPr>
            <w:hyperlink w:anchor="m_002">
              <w:r>
                <w:rPr>
                  <w:rStyle w:val="InternetLink"/>
                  <w:sz w:val="20"/>
                </w:rPr>
                <w:t>PROSPECTUS SUMMARY</w:t>
              </w:r>
            </w:hyperlink>
          </w:p>
        </w:tc>
        <w:tc>
          <w:tcPr>
            <w:tcW w:w="245" w:type="dxa"/>
            <w:tcBorders/>
            <w:shd w:fill="FFFFFF" w:val="clear"/>
            <w:vAlign w:val="center"/>
          </w:tcPr>
          <w:p>
            <w:pPr>
              <w:pStyle w:val="TableContents"/>
              <w:bidi w:val="0"/>
              <w:spacing w:before="0" w:after="283"/>
              <w:jc w:val="right"/>
              <w:rPr/>
            </w:pPr>
            <w:hyperlink w:anchor="m_002">
              <w:r>
                <w:rPr>
                  <w:rStyle w:val="InternetLink"/>
                  <w:sz w:val="20"/>
                </w:rPr>
                <w:t>1</w:t>
              </w:r>
            </w:hyperlink>
          </w:p>
        </w:tc>
      </w:tr>
      <w:tr>
        <w:trPr/>
        <w:tc>
          <w:tcPr>
            <w:tcW w:w="5765" w:type="dxa"/>
            <w:tcBorders/>
            <w:shd w:fill="CCEEFF" w:val="clear"/>
            <w:vAlign w:val="center"/>
          </w:tcPr>
          <w:p>
            <w:pPr>
              <w:pStyle w:val="TableContents"/>
              <w:bidi w:val="0"/>
              <w:spacing w:before="0" w:after="283"/>
              <w:jc w:val="left"/>
              <w:rPr/>
            </w:pPr>
            <w:hyperlink w:anchor="m_003">
              <w:r>
                <w:rPr>
                  <w:rStyle w:val="InternetLink"/>
                  <w:sz w:val="20"/>
                </w:rPr>
                <w:t>THE OFFERING</w:t>
              </w:r>
            </w:hyperlink>
          </w:p>
        </w:tc>
        <w:tc>
          <w:tcPr>
            <w:tcW w:w="245" w:type="dxa"/>
            <w:tcBorders/>
            <w:shd w:fill="CCEEFF" w:val="clear"/>
            <w:vAlign w:val="center"/>
          </w:tcPr>
          <w:p>
            <w:pPr>
              <w:pStyle w:val="TableContents"/>
              <w:bidi w:val="0"/>
              <w:spacing w:before="0" w:after="283"/>
              <w:jc w:val="right"/>
              <w:rPr/>
            </w:pPr>
            <w:hyperlink w:anchor="m_003">
              <w:r>
                <w:rPr>
                  <w:rStyle w:val="InternetLink"/>
                  <w:sz w:val="20"/>
                </w:rPr>
                <w:t>7</w:t>
              </w:r>
            </w:hyperlink>
          </w:p>
        </w:tc>
      </w:tr>
      <w:tr>
        <w:trPr/>
        <w:tc>
          <w:tcPr>
            <w:tcW w:w="5765" w:type="dxa"/>
            <w:tcBorders/>
            <w:shd w:fill="FFFFFF" w:val="clear"/>
            <w:vAlign w:val="center"/>
          </w:tcPr>
          <w:p>
            <w:pPr>
              <w:pStyle w:val="TableContents"/>
              <w:bidi w:val="0"/>
              <w:spacing w:before="0" w:after="283"/>
              <w:jc w:val="left"/>
              <w:rPr/>
            </w:pPr>
            <w:hyperlink w:anchor="m_004">
              <w:r>
                <w:rPr>
                  <w:rStyle w:val="InternetLink"/>
                  <w:sz w:val="20"/>
                </w:rPr>
                <w:t>RISK FACTORS</w:t>
              </w:r>
            </w:hyperlink>
          </w:p>
        </w:tc>
        <w:tc>
          <w:tcPr>
            <w:tcW w:w="245" w:type="dxa"/>
            <w:tcBorders/>
            <w:shd w:fill="FFFFFF" w:val="clear"/>
            <w:vAlign w:val="center"/>
          </w:tcPr>
          <w:p>
            <w:pPr>
              <w:pStyle w:val="TableContents"/>
              <w:bidi w:val="0"/>
              <w:spacing w:before="0" w:after="283"/>
              <w:jc w:val="right"/>
              <w:rPr/>
            </w:pPr>
            <w:hyperlink w:anchor="m_004">
              <w:r>
                <w:rPr>
                  <w:rStyle w:val="InternetLink"/>
                </w:rPr>
                <w:t>8</w:t>
              </w:r>
            </w:hyperlink>
          </w:p>
        </w:tc>
      </w:tr>
      <w:tr>
        <w:trPr/>
        <w:tc>
          <w:tcPr>
            <w:tcW w:w="5765" w:type="dxa"/>
            <w:tcBorders/>
            <w:shd w:fill="CCEEFF" w:val="clear"/>
            <w:vAlign w:val="center"/>
          </w:tcPr>
          <w:p>
            <w:pPr>
              <w:pStyle w:val="TableContents"/>
              <w:bidi w:val="0"/>
              <w:spacing w:before="0" w:after="283"/>
              <w:jc w:val="left"/>
              <w:rPr/>
            </w:pPr>
            <w:hyperlink w:anchor="m_005">
              <w:r>
                <w:rPr>
                  <w:rStyle w:val="InternetLink"/>
                  <w:sz w:val="20"/>
                </w:rPr>
                <w:t>SPECIAL NOTE REGARDING FORWARD-LOOKING STATEMENTS</w:t>
              </w:r>
            </w:hyperlink>
          </w:p>
        </w:tc>
        <w:tc>
          <w:tcPr>
            <w:tcW w:w="245" w:type="dxa"/>
            <w:tcBorders/>
            <w:shd w:fill="CCEEFF" w:val="clear"/>
            <w:vAlign w:val="center"/>
          </w:tcPr>
          <w:p>
            <w:pPr>
              <w:pStyle w:val="TableContents"/>
              <w:bidi w:val="0"/>
              <w:spacing w:before="0" w:after="283"/>
              <w:jc w:val="right"/>
              <w:rPr/>
            </w:pPr>
            <w:hyperlink w:anchor="m_005">
              <w:r>
                <w:rPr>
                  <w:rStyle w:val="InternetLink"/>
                  <w:sz w:val="20"/>
                </w:rPr>
                <w:t>10</w:t>
              </w:r>
            </w:hyperlink>
          </w:p>
        </w:tc>
      </w:tr>
      <w:tr>
        <w:trPr/>
        <w:tc>
          <w:tcPr>
            <w:tcW w:w="5765" w:type="dxa"/>
            <w:tcBorders/>
            <w:shd w:fill="FFFFFF" w:val="clear"/>
            <w:vAlign w:val="center"/>
          </w:tcPr>
          <w:p>
            <w:pPr>
              <w:pStyle w:val="TableContents"/>
              <w:bidi w:val="0"/>
              <w:spacing w:before="0" w:after="283"/>
              <w:jc w:val="left"/>
              <w:rPr/>
            </w:pPr>
            <w:hyperlink w:anchor="m_006">
              <w:r>
                <w:rPr>
                  <w:rStyle w:val="InternetLink"/>
                  <w:sz w:val="20"/>
                </w:rPr>
                <w:t>USE OF PROCEEDS</w:t>
              </w:r>
            </w:hyperlink>
          </w:p>
        </w:tc>
        <w:tc>
          <w:tcPr>
            <w:tcW w:w="245" w:type="dxa"/>
            <w:tcBorders/>
            <w:shd w:fill="FFFFFF" w:val="clear"/>
            <w:vAlign w:val="center"/>
          </w:tcPr>
          <w:p>
            <w:pPr>
              <w:pStyle w:val="TableContents"/>
              <w:bidi w:val="0"/>
              <w:spacing w:before="0" w:after="283"/>
              <w:jc w:val="right"/>
              <w:rPr/>
            </w:pPr>
            <w:hyperlink w:anchor="m_006">
              <w:r>
                <w:rPr>
                  <w:rStyle w:val="InternetLink"/>
                  <w:sz w:val="20"/>
                </w:rPr>
                <w:t>11</w:t>
              </w:r>
            </w:hyperlink>
          </w:p>
        </w:tc>
      </w:tr>
      <w:tr>
        <w:trPr/>
        <w:tc>
          <w:tcPr>
            <w:tcW w:w="5765" w:type="dxa"/>
            <w:tcBorders/>
            <w:shd w:fill="CCEEFF" w:val="clear"/>
            <w:vAlign w:val="center"/>
          </w:tcPr>
          <w:p>
            <w:pPr>
              <w:pStyle w:val="TableContents"/>
              <w:bidi w:val="0"/>
              <w:spacing w:before="0" w:after="283"/>
              <w:jc w:val="left"/>
              <w:rPr/>
            </w:pPr>
            <w:hyperlink w:anchor="m_007">
              <w:r>
                <w:rPr>
                  <w:rStyle w:val="InternetLink"/>
                  <w:sz w:val="20"/>
                </w:rPr>
                <w:t>SELLING STOCKHOLDERS</w:t>
              </w:r>
            </w:hyperlink>
          </w:p>
        </w:tc>
        <w:tc>
          <w:tcPr>
            <w:tcW w:w="245" w:type="dxa"/>
            <w:tcBorders/>
            <w:shd w:fill="CCEEFF" w:val="clear"/>
            <w:vAlign w:val="center"/>
          </w:tcPr>
          <w:p>
            <w:pPr>
              <w:pStyle w:val="TableContents"/>
              <w:bidi w:val="0"/>
              <w:spacing w:before="0" w:after="283"/>
              <w:jc w:val="right"/>
              <w:rPr/>
            </w:pPr>
            <w:hyperlink w:anchor="m_007">
              <w:r>
                <w:rPr>
                  <w:rStyle w:val="InternetLink"/>
                  <w:sz w:val="20"/>
                </w:rPr>
                <w:t>12</w:t>
              </w:r>
            </w:hyperlink>
          </w:p>
        </w:tc>
      </w:tr>
      <w:tr>
        <w:trPr/>
        <w:tc>
          <w:tcPr>
            <w:tcW w:w="5765" w:type="dxa"/>
            <w:tcBorders/>
            <w:shd w:fill="FFFFFF" w:val="clear"/>
            <w:vAlign w:val="center"/>
          </w:tcPr>
          <w:p>
            <w:pPr>
              <w:pStyle w:val="TableContents"/>
              <w:bidi w:val="0"/>
              <w:spacing w:before="0" w:after="283"/>
              <w:jc w:val="left"/>
              <w:rPr/>
            </w:pPr>
            <w:hyperlink w:anchor="m_008">
              <w:r>
                <w:rPr>
                  <w:rStyle w:val="InternetLink"/>
                  <w:sz w:val="20"/>
                </w:rPr>
                <w:t>PLAN OF DISTRIBUTION</w:t>
              </w:r>
            </w:hyperlink>
          </w:p>
        </w:tc>
        <w:tc>
          <w:tcPr>
            <w:tcW w:w="245" w:type="dxa"/>
            <w:tcBorders/>
            <w:shd w:fill="FFFFFF" w:val="clear"/>
            <w:vAlign w:val="center"/>
          </w:tcPr>
          <w:p>
            <w:pPr>
              <w:pStyle w:val="TableContents"/>
              <w:bidi w:val="0"/>
              <w:spacing w:before="0" w:after="283"/>
              <w:jc w:val="right"/>
              <w:rPr/>
            </w:pPr>
            <w:hyperlink w:anchor="m_008">
              <w:r>
                <w:rPr>
                  <w:rStyle w:val="InternetLink"/>
                  <w:sz w:val="20"/>
                </w:rPr>
                <w:t>15</w:t>
              </w:r>
            </w:hyperlink>
          </w:p>
        </w:tc>
      </w:tr>
      <w:tr>
        <w:trPr/>
        <w:tc>
          <w:tcPr>
            <w:tcW w:w="5765" w:type="dxa"/>
            <w:tcBorders/>
            <w:shd w:fill="CCEEFF" w:val="clear"/>
            <w:vAlign w:val="center"/>
          </w:tcPr>
          <w:p>
            <w:pPr>
              <w:pStyle w:val="TableContents"/>
              <w:bidi w:val="0"/>
              <w:spacing w:before="0" w:after="283"/>
              <w:jc w:val="left"/>
              <w:rPr/>
            </w:pPr>
            <w:hyperlink w:anchor="m_009">
              <w:r>
                <w:rPr>
                  <w:rStyle w:val="InternetLink"/>
                  <w:sz w:val="20"/>
                </w:rPr>
                <w:t>LEGAL MATTERS</w:t>
              </w:r>
            </w:hyperlink>
          </w:p>
        </w:tc>
        <w:tc>
          <w:tcPr>
            <w:tcW w:w="245" w:type="dxa"/>
            <w:tcBorders/>
            <w:shd w:fill="CCEEFF" w:val="clear"/>
            <w:vAlign w:val="center"/>
          </w:tcPr>
          <w:p>
            <w:pPr>
              <w:pStyle w:val="TableContents"/>
              <w:bidi w:val="0"/>
              <w:spacing w:before="0" w:after="283"/>
              <w:jc w:val="right"/>
              <w:rPr/>
            </w:pPr>
            <w:hyperlink w:anchor="m_009">
              <w:r>
                <w:rPr>
                  <w:rStyle w:val="InternetLink"/>
                  <w:sz w:val="20"/>
                </w:rPr>
                <w:t>17</w:t>
              </w:r>
            </w:hyperlink>
          </w:p>
        </w:tc>
      </w:tr>
      <w:tr>
        <w:trPr/>
        <w:tc>
          <w:tcPr>
            <w:tcW w:w="5765" w:type="dxa"/>
            <w:tcBorders/>
            <w:shd w:fill="FFFFFF" w:val="clear"/>
            <w:vAlign w:val="center"/>
          </w:tcPr>
          <w:p>
            <w:pPr>
              <w:pStyle w:val="TableContents"/>
              <w:bidi w:val="0"/>
              <w:spacing w:before="0" w:after="283"/>
              <w:jc w:val="left"/>
              <w:rPr/>
            </w:pPr>
            <w:hyperlink w:anchor="m_010">
              <w:r>
                <w:rPr>
                  <w:rStyle w:val="InternetLink"/>
                  <w:sz w:val="20"/>
                </w:rPr>
                <w:t>EXPERTS</w:t>
              </w:r>
            </w:hyperlink>
          </w:p>
        </w:tc>
        <w:tc>
          <w:tcPr>
            <w:tcW w:w="245" w:type="dxa"/>
            <w:tcBorders/>
            <w:shd w:fill="FFFFFF" w:val="clear"/>
            <w:vAlign w:val="center"/>
          </w:tcPr>
          <w:p>
            <w:pPr>
              <w:pStyle w:val="TableContents"/>
              <w:bidi w:val="0"/>
              <w:spacing w:before="0" w:after="283"/>
              <w:jc w:val="right"/>
              <w:rPr/>
            </w:pPr>
            <w:hyperlink w:anchor="m_010">
              <w:r>
                <w:rPr>
                  <w:rStyle w:val="InternetLink"/>
                  <w:sz w:val="20"/>
                </w:rPr>
                <w:t>17</w:t>
              </w:r>
            </w:hyperlink>
          </w:p>
        </w:tc>
      </w:tr>
      <w:tr>
        <w:trPr/>
        <w:tc>
          <w:tcPr>
            <w:tcW w:w="5765" w:type="dxa"/>
            <w:tcBorders/>
            <w:shd w:fill="CCEEFF" w:val="clear"/>
            <w:vAlign w:val="center"/>
          </w:tcPr>
          <w:p>
            <w:pPr>
              <w:pStyle w:val="TableContents"/>
              <w:bidi w:val="0"/>
              <w:spacing w:before="0" w:after="283"/>
              <w:jc w:val="left"/>
              <w:rPr/>
            </w:pPr>
            <w:hyperlink w:anchor="m_011">
              <w:r>
                <w:rPr>
                  <w:rStyle w:val="InternetLink"/>
                  <w:sz w:val="20"/>
                </w:rPr>
                <w:t>WHERE YOU CAN FIND MORE INFORMATION</w:t>
              </w:r>
            </w:hyperlink>
          </w:p>
        </w:tc>
        <w:tc>
          <w:tcPr>
            <w:tcW w:w="245" w:type="dxa"/>
            <w:tcBorders/>
            <w:shd w:fill="CCEEFF" w:val="clear"/>
            <w:vAlign w:val="center"/>
          </w:tcPr>
          <w:p>
            <w:pPr>
              <w:pStyle w:val="TableContents"/>
              <w:bidi w:val="0"/>
              <w:spacing w:before="0" w:after="283"/>
              <w:jc w:val="right"/>
              <w:rPr/>
            </w:pPr>
            <w:hyperlink w:anchor="m_011">
              <w:r>
                <w:rPr>
                  <w:rStyle w:val="InternetLink"/>
                  <w:sz w:val="20"/>
                </w:rPr>
                <w:t>17</w:t>
              </w:r>
            </w:hyperlink>
          </w:p>
        </w:tc>
      </w:tr>
      <w:tr>
        <w:trPr/>
        <w:tc>
          <w:tcPr>
            <w:tcW w:w="5765" w:type="dxa"/>
            <w:tcBorders/>
            <w:shd w:fill="FFFFFF" w:val="clear"/>
            <w:vAlign w:val="center"/>
          </w:tcPr>
          <w:p>
            <w:pPr>
              <w:pStyle w:val="TableContents"/>
              <w:bidi w:val="0"/>
              <w:spacing w:before="0" w:after="283"/>
              <w:jc w:val="left"/>
              <w:rPr/>
            </w:pPr>
            <w:hyperlink w:anchor="m_012">
              <w:r>
                <w:rPr>
                  <w:rStyle w:val="InternetLink"/>
                  <w:sz w:val="20"/>
                </w:rPr>
                <w:t>INCORPORATION OF CERTAIN INFORMATION BY REFERENCE</w:t>
              </w:r>
            </w:hyperlink>
          </w:p>
        </w:tc>
        <w:tc>
          <w:tcPr>
            <w:tcW w:w="245" w:type="dxa"/>
            <w:tcBorders/>
            <w:shd w:fill="FFFFFF" w:val="clear"/>
            <w:vAlign w:val="center"/>
          </w:tcPr>
          <w:p>
            <w:pPr>
              <w:pStyle w:val="TableContents"/>
              <w:bidi w:val="0"/>
              <w:spacing w:before="0" w:after="283"/>
              <w:jc w:val="right"/>
              <w:rPr/>
            </w:pPr>
            <w:hyperlink w:anchor="m_012">
              <w:r>
                <w:rPr>
                  <w:rStyle w:val="InternetLink"/>
                  <w:sz w:val="20"/>
                </w:rPr>
                <w:t>18</w:t>
              </w:r>
            </w:hyperlink>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i</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2" w:name="m_001"/>
      <w:bookmarkEnd w:id="2"/>
      <w:r>
        <w:rPr>
          <w:rFonts w:ascii="Times New Roman;Times;Serif" w:hAnsi="Times New Roman;Times;Serif"/>
          <w:b/>
          <w:i w:val="false"/>
          <w:caps/>
          <w:sz w:val="20"/>
        </w:rPr>
        <w:t>About this Prospectus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is part of the registration statement that we filed with the Securities and Exchange Commission (the “SEC”) pursuant to which the selling stockholders named herein may, from time to time, offer and sell or otherwise dispose of the shares of our Common Stock covered by this prospectus. As permitted by the rules and regulations of the SEC, the registration statement filed by us includes additional information not contained in this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and the documents incorporated by reference into this prospectus include important information about us, the securities being offered and other information you should know before investing in our securities. You should not assume that the information contained in this prospectus is accurate on any date subsequent to the date set forth on the front cover of this prospectus or that any information we have incorporated by reference is correct on any date subsequent to the date of the document incorporated by reference, even though this prospectus is delivered or shares of Common Stock are sold or otherwise disposed of on a later date. It is important for you to read and consider all information contained in this prospectus, including the documents incorporated by reference therein, in making your investment decision. A prospectus supplement may add to, update or change the information contained in this prospectus. You should read both this prospectus and any applicable prospectus supplement together with additional information described below under the headings “Where You Can Find More Information” and “Incorporation of Certain Information by Reference” in this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rely only on this prospectus and the applicable prospectus supplement and the information incorporated or deemed to be incorporated by reference in this prospectus. We have not, and the selling stockholders have not, authorized anyone to give any information or to make any representation to you other than those contained or incorporated by reference in this prospectus. If anyone provides you with different or inconsistent information, you should not rely on it. This prospectus does not constitute an offer to sell or the solicitation of an offer to buy securities in any jurisdiction to any person to whom it is unlawful to make such offer or solicitation in such jurisdiction.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further note that the representations, warranties and covenants made by us in any agreement that is filed as an exhibit to any document that is incorporated by reference in this prospectus were made solely for the benefit of the parties to such agreement, including, in some cases, for the purpose of allocating risk among the parties to such agreements, and should not be deemed to be a representation, warranty or covenant to you. Moreover, such representations, warranties or covenants were accurate only as of the date when made. Accordingly, such representations, warranties and covenants should not be relied on as accurately representing the current state of our affairs.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indicated, information contained or incorporated by reference in this prospectus concerning our industry, including our general expectations and market opportunity, is based on information from our own management estimates and research, as well as from industry and general publications and research, surveys and studies conducted by third parties. Management estimates are derived from publicly available information, our knowledge of our industry and assumptions based on such information and knowledge, which we believe to be reasonable. In addition, assumptions and estimates of our and our industry’s future performance are necessarily uncertain due to a variety of factors, including those described in “Risk Factors” beginning on page 8 of this prospectus. These and other factors could cause our future performance to differ materially from our assumptions and estimates.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ii</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3" w:name="m_002"/>
      <w:bookmarkEnd w:id="3"/>
      <w:r>
        <w:rPr>
          <w:rFonts w:ascii="Times New Roman;Times;Serif" w:hAnsi="Times New Roman;Times;Serif"/>
          <w:b/>
          <w:i w:val="false"/>
          <w:caps/>
          <w:sz w:val="20"/>
        </w:rPr>
        <w:t>Prospectus Summary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This summary provides an overview of selected information contained elsewhere or incorporated by reference in this prospectus and does not contain all of the information you should consider before investing in our securities. You should carefully read the prospectus, any applicable prospectus supplement, the information incorporated by reference and the registration statement of which this prospectus is a part in their entirety before investing in our securities, including the information discussed under “Risk Factors” in this prospectus and the documents incorporated by reference and our financial statements and related notes that are incorporated by reference in this prospectus. In this prospectus, unless the context indicates otherwise, “XWELL,” the “Company,” the “registrant,” “we,” “us,” “our,” or “ours” refer to XWELL, Inc. and its consolidated subsidiaries.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Overview</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XWELL is a global wellness organization dedicated to delivering restorative and health-focused products and services to travelers. Through its three reportable operating segments: XpresSpa®, XpresTest®, and Naples Wax Center®. As of the date of this prospectus, XWELL currently has three reportable operating segments: XpresSpa®, XpresTest® and Naples Wax Center</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25, 2022, the Company changed its name to XWELL, Inc. (“XWELL” or the “Company”) from XpresSpa Group, Inc. The Company’s Common Stock, which had previously been listed under the trading symbol “XSPA” on Nasdaq, now trades under the trading symbol “XWEL”. The Company filed an amended and restated certificate of incorporation with the Delaware Secretary of State on October 24, 2022 (as amended, the “Amended and Restated Certificate”) reflecting the name change. Rebranding to XWELL aligned the Company’s corporate strategy to build a pure-play wellness services company, in both the airport and off-airport marketplaces.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amounts are in thousands, except share, per share, or as otherwise specifically noted.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XpresSpa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XWELL’s subsidiary, XpresSpa Holdings, LLC (“XpresSpa”) has been a global airport retailer of spa services through its XpresSpa spa locations, offering travelers premium spa services, including massage, nail and skin care, as well as spa and travel products.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there were 16 domestic XpresSpa locations in total. The Company also had 9 international locations operating as of December 31, 2025, including 2 XpresSpa locations in the Dubai International Airport in the United Arab Emirates, 1 XpresSpa location in the Zayad International Airport in Abu Dhabi, United Arab Emirates, 2 XpresSpa locations in the Schiphol Amsterdam Airport in the Netherlands and 4 XpresSpa locations in the Istanbul Airport in Turkey.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Treat, which is operating through XWELL’s subsidiary Treat, Inc. (“Treat”) is a wellness brand that provides access to wellness services for travelers at on-site centers. In April 2024, the decision was made to close the location in the Salt Lake City International Airport. In the first quarter of 2025, the decision was made to convert the final remaining Treat location at JFK International Airport in New York City to an XWELL location. As of December 31, 2025, all Treat locations have been converted to XWELL.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XpresTest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in partnership with certain COVID-19 testing partners, successfully launched its XpresCheck Wellness Centers, in June of 2020, through its XpresTest, Inc. subsidiary (“XpresTest”), which offered COVID-19 and other medical testing to the traveling public, as well as airline, airport and concessionaire employees, and TSA and U.S. Customs and Border Protection agents during the pandemic. As of December 31, 2023, the Company closed all XpresCheck locations and XpresTest no longer provides diagnostic testing services XpresTest began conducting bio surveillance monitoring with the Centers for Disease Control and Prevention (CDC) in collaboration with Concentric by Ginkgo Bioworks Holdings, Inc. (“Ginkgo Bioworks”) in 2021.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program was renewed through August 2024. The revenue to XpresTest from such one-year extension totaled approximately $7,044. In January 2024, the program funding and scope were expanded, a revenue increase of $4,000, to an estimated $11,044 in revenue for XpresTest with new collection locations at U.S. international airports and the roll out of multi-pathogen testing across the program. In July 2024, the contract was further amended to extend the time period for services by two weeks (extension period August 12, 2024 to August 25, 2024). An increase of $293 in revenue for the two week extension brought total revenue to $11,337. The program was again extended in August 2024 through February 25, 2025. The funding was expanded with a revenue increase of $3,763, to an estimated $15,100 in revenue for XpresTest. In February 2025, the program was extended through a three-year contract with a total base value of $22,200 over three years, and a maximum ceiling value of $24,800 within the same timeframe.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Naples Wax Center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XWELL’s subsidiary Naples Wax, LLC, d/b/a Naples Wax Centers (“Naples Wax Center” or “Naples Wax”) which was acquired on September 12, 2023, for a purchase price of $1,624, operates a group of upscale hair removal locations with core products and service offerings from face and body waxing to a range of skincare and cosmetic products. The acquisition of Naples Wax Center is intended to enable us to move beyond our airport client base with a business that can be adapted to a larger wellness platform while also growing our retail footprint to serve our long-term financial goals.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we recognize four segments of business, we believe there is opportunity to leverage a segment of our products and services across our platform of brands. Additionally, we are expanding our retail strategy, not only adding more products for sale but aligning those products more efficiently to our service offerings. This product strategy includes, for example, adding muscle relaxation patches to a neck or back massage to continue treatment after the delivery of the service.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plan to build our capability for delivering health and wellness services outside of the airport. We believe operating outside of the airport complements our offering and represents the fastest way to scale the XWELL family of brands.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be looking to further expand internationally. We believe a strategy for international expansion further advances our ability to expand our other brands including bio surveillance outside of the 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Private Placement of Preferred Shares and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24, 2026, we entered into the Purchase Agreement with the Investor, pursuant to which we issued and sold in a private placement, (A) in an initial closing on February 27, 2026 (the “Initial Closing Date”), (i) 30,832 Preferred Shares, initially convertible into up to 65,600,000 shares of the Company’s Common Stock at an initial conversion price of $0.47 per share (subject to customary adjustments, the “Conversion Price”) and (ii) Investor Warrants to acquire up to an aggregate of 65,600,000 shares of Common Stock at an initial exercise price of $0.345 per share (subject to customary adjustments, the “Exercise Price”) (B) in a subsequent closing on March 3, 2026 (the “Second Closing Date”), (i) 501 Preferred Shares, initially convertible into up to 1,065,957 shares of the Company’s Common Stock at the Conversion Price and (ii) Investor Warrants to acquire up to an aggregate of 1,065,957 shares of Common Stock at the Exercise Price.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terms of the Preferred Shares are as set forth in the Certificate of Designations of the Series H Convertible Preferred Stock (the “Preferred Stock”) of XWELL, Inc. (the “Certificate of Designations”), which was filed and became effective with the Secretary of State of the State of Delaware on February 26, 2026. The Investor Warrants are immediately exercisable and expire three years from the date of issuance.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Private Placement, pursuant to the Engagement Agreement, the Company engaged the Placement Agent to act as exclusive placement agent in connection with the Private Placement, pursuant to which, the Company agreed to (i) pay the Placement Agent a cash fee equal to 8% of the gross proceeds of the Private Placement, (ii) reimbursement and payment of certain expenses, including non-accountable expense allowance equal to 1% of the gross proceeds raised in the Private Placement and reasonable out-of-pocket expenses, not to exceed $250,000, and (iii) issue to the Placement Agent the Placement Agent Warrants to purchase up to an aggregate number of shares of Common Stock equal to 8.0% of the aggregate number of shares of Common Stock underlying the Preferred Shares issued in the Private Placement, with terms identical to the Investor Warrants, except that the Placement Agent Warrants have a term of five years from the date of issuance.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Private Placement was exempt from the registration requirements of the Securities Act pursuant to the exemption for transactions by an issuer not involving any public offering under Section 4(a)(2) of the Securities Act and Rule 506 of Regulation D of the Securities Act and in reliance on similar exemptions under applicable state laws. The Investor in the Private Placement has represented to us that it is an accredited investor within the meaning of Rule 501(a) of Regulation D and that it is acquiring the securities for investment only and not with a view towards, or for resale in connection with, the public sale or distribution thereof. The Preferred Shares and Investor Warrants were offered without any general solicitation by us or our representatives.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Registration Rights Agreements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Private Placement, we entered into the Registration Rights Agreement, pursuant to which we are obligated, among other things, to (A) file a resale registration statement (the “Registration Statement”) with the SEC to register for resale promptly following the Second Closing Date, but in no event later than the earlier of (i) 50 days after (1) the Second Closing Date or (2) the Escrow Release Date (as defined in the Purchase Agreement) and (ii) the second trading day following the date on which the Company files its Annual Report on Form 10-K for the year ended December 31, 2025, the sum of (i) the Conversion Shares issuable upon conversion of the Preferred Shares ((x) assuming for purposes hereof that the Preferred Shares are convertible at the initial Conversion Price and (y) any such conversion shall not take into account any limitations on the conversion of the Preferred Shares set forth in the Certificate of Designations), (ii) the Warrant Shares issuable upon exercise of the Investor Warrants (assuming for purposes hereof that any such exercise shall not take into account any limitations on the exercise of such Investor Warrants as set forth therein), and (iii) the Warrant Shares issuable upon exercise of the Placement Agent Warrants (assuming for purposes hereof that any such exercise shall not take into account any limitations on the exercise of such Placement Agent Warrants as set forth therein), in each case subject to customary adjustments set forth in the Certificate of Designations and the Warrants, (B) have such Registration Statement declared effective by the Effective Date (as defined in the Registration Rights Agreement and as may be amended from time to time), and (C) maintain the registration until the date on which the Conversion Shares or Warrant Shares (i) have been sold pursuant to the Registration Statement or pursuant to Rule 144, or (ii) may be sold without volume or manner-of-sale restrictions pursuant to Rule 144 and without the requirement for the Company to be in compliance with the current public information requirement under Rule 144.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will be obligated to pay certain liquidated damages to the Investor and the Placement Agent if the Company fails to file the Registration Statement when required, fails to cause the Registration Statement to be declared effective by the SEC when required, or fails to maintain the effectiveness of the Registration Statement pursuant to the terms of the Registration Rights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Preferred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shares of capital stock of the Company rank junior to the Preferred Shares, with respect to the preferences as to dividends, distributions and payments upon the liquidation, dissolution and winding up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Preferred Shares are convertible into Common Stock at the election of the holders of the Preferred Stock (the “Holders”) at any time at an initial Conversion Price of $0.47. The Conversion Price is subject to customary adjustments for stock dividends, stock splits, reclassifications, stock combinations and the like.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Holder of the Preferred Stock may not convert any portion of the Preferred Stock to the extent that the Holder, together with its affiliates, would beneficially own more than 4.99% of the Company’s outstanding shares of Common Stock immediately after conversion, except that upon at least 61 days’ prior notice from the Holder to the Company, the Holder may increase the beneficial ownership limitation to up to 9.99% of the number of shares of Common Stock outstanding immediately after giving effect to the conversion.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Certificate of Designations, so long as any Preferred Shares are outstanding, the Company may not, directly or indirectly, redeem, or declare or pay any cash dividend or distribution on, any securities of the Company without the prior express written consent of the Required Holders (as defined in the Certificate of Designations). In the event that dividends are consented to by the Required Holders, the Holders of the Preferred Shares shall be entitled to receive dividends on the Preferred Shares equal (on an as-if-converted-to-Common-Stock basis) to and in the same form as dividends actually paid on shares of the Common Stock when, as and if such dividends are paid on shares of the Common Stock. No other dividends may be paid on the Preferred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otherwise provided in the Certificate of Designations or as otherwise required by law, the Preferred Stock will have no voting rights except as provided by law. However, as long as any Preferred Shares are outstanding, the Company may not, without the affirmative vote at a meeting duly called for such purpose, or the written consent without a meeting, of the Required Holders, voting together as a single class, (a) amend or repeal any provision of, or add any provision to, its charter documents, including, without limitation, its Certificate of Incorporation or bylaws, the Certificate of Designation, or file any certificate of designations or articles of amendment of any series of shares of preferred stock, in each case, only if such action would adversely alter or change in any respect the preferences, rights, privileges or powers, or restrictions provided for the benefit, of the Preferred Stock, regardless of whether any such action shall be by means of amendment to the Certificate of Incorporation or by merger, consolidation or otherwise; (b) increase or decrease (other than by conversion) the authorized number of shares of the Preferred Stock; (c) create or authorize (by reclassification or otherwise) any new class or series of shares that has a preference over the Preferred Stock with respect to dividends or the distribution of assets on the liquidation, dissolution or winding up of the Company; (d) pay dividends or make any other distribution on any shares of any capital stock of the Company junior in rank to the Preferred Stock; (e) issue any shares of Preferred Stock other than as set forth in the Certificate of Designations; or (f) whether or not prohibited by the terms of the Preferred Stock, circumvent a right of the Preferred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Warrants are exercisable for shares of Common Stock immediately, at the Exercise Price. The Investor Warrants expire three years from the date of issuance and the Placement Agent Warrants expire five years from the date of issuance. The Exercise Price of the Warrants is subject to customary adjustments for stock dividends, stock splits, reclassifications, stock combinations and the like. The Exercise Price may also be voluntarily reduced by the Company to any amount and for any period of time deemed appropriate by the board of directors of the Company, subject to the rules and regulations of the Nasdaq Capital Market. The Warrants may be exercised for cash, provided that, if there is no effective registration statement available registering the exercise of the Warrants, the Warrants may be exercised on a cashless basis.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holder of the Warrants may not exercise any portion of such holder’s Warrants to the extent that the holder, together with its affiliates, would beneficially own more than 4.99% of the Company’s outstanding shares of Common Stock immediately after exercise, except that upon at least 61 days’ prior notice from the holder to the Company, the holder may increase the beneficial ownership limitation to up to 9.99% of the number of shares of Common Stock outstanding immediately after giving effect to the exercise.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Implications of Being a Smaller Reporting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“smaller reporting company” and accordingly may provide less public disclosure than larger public companies. As a result, the information that we provide to our stockholders may be different than you might receive from other public reporting companies in which you hold equity interests.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Corporate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were incorporated in Delaware as a corporation on January 9, 2006, and completed an initial public offering in June 2010. Our Common Stock, which was previously listed since January 8, 2018, under the trading symbol “XSPA” on Nasdaq, has been listed under the trading symbol “XWEL” since October 25, 2022. Our principal executive offices are located at 254 West 31st Street, 11th Floor, New York, New York 10001. Our telephone number is (212) 750-9595 and our website address is www.xwell.com. We also operate the websites www.xpresspa.com, www.xprescheck.com, www.hyperpointe.com and www.napleswaxcenter.com. Through our website, we will make available, free of charge, our annual report on Form 10-K, quarterly reports on Form 10-Q, current reports on Form 8-K and any amendments to those reports, as soon as reasonably practicable after such material is electronically filed with, or furnished to, the SEC. Information contained on, or that can be accessed through, our website is not and shall not be deemed to be a part of this prospectus or incorporated by reference hereto.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4" w:name="m_003"/>
      <w:bookmarkEnd w:id="4"/>
      <w:r>
        <w:rPr>
          <w:rFonts w:ascii="Times New Roman;Times;Serif" w:hAnsi="Times New Roman;Times;Serif"/>
          <w:b/>
          <w:i w:val="false"/>
          <w:caps/>
          <w:sz w:val="20"/>
        </w:rPr>
        <w:t>The Offering</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95"/>
        <w:gridCol w:w="60"/>
        <w:gridCol w:w="8550"/>
      </w:tblGrid>
      <w:tr>
        <w:trPr/>
        <w:tc>
          <w:tcPr>
            <w:tcW w:w="1595" w:type="dxa"/>
            <w:tcBorders/>
            <w:vAlign w:val="center"/>
          </w:tcPr>
          <w:p>
            <w:pPr>
              <w:pStyle w:val="TableContents"/>
              <w:bidi w:val="0"/>
              <w:spacing w:before="0" w:after="283"/>
              <w:jc w:val="left"/>
              <w:rPr>
                <w:b/>
                <w:sz w:val="20"/>
              </w:rPr>
            </w:pPr>
            <w:r>
              <w:rPr>
                <w:b/>
                <w:sz w:val="20"/>
              </w:rPr>
              <w:t>Common Stock to be Offered by the Selling Stockholders</w:t>
            </w:r>
          </w:p>
        </w:tc>
        <w:tc>
          <w:tcPr>
            <w:tcW w:w="60" w:type="dxa"/>
            <w:tcBorders/>
            <w:vAlign w:val="center"/>
          </w:tcPr>
          <w:p>
            <w:pPr>
              <w:pStyle w:val="TableContents"/>
              <w:bidi w:val="0"/>
              <w:spacing w:before="0" w:after="283"/>
              <w:jc w:val="both"/>
              <w:rPr/>
            </w:pPr>
            <w:r>
              <w:rPr/>
              <w:t> </w:t>
            </w:r>
          </w:p>
        </w:tc>
        <w:tc>
          <w:tcPr>
            <w:tcW w:w="8550" w:type="dxa"/>
            <w:tcBorders/>
            <w:vAlign w:val="center"/>
          </w:tcPr>
          <w:p>
            <w:pPr>
              <w:pStyle w:val="TableContents"/>
              <w:bidi w:val="0"/>
              <w:spacing w:before="0" w:after="283"/>
              <w:jc w:val="both"/>
              <w:rPr/>
            </w:pPr>
            <w:r>
              <w:rPr/>
              <w:t>Up to an aggregate of 138,665,191 shares of Common Stock, which are issuable to such selling stockholders pursuant to the terms of the Preferred Shares and Warrants.  </w:t>
            </w:r>
          </w:p>
        </w:tc>
      </w:tr>
      <w:tr>
        <w:trPr/>
        <w:tc>
          <w:tcPr>
            <w:tcW w:w="15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8550" w:type="dxa"/>
            <w:tcBorders/>
            <w:vAlign w:val="center"/>
          </w:tcPr>
          <w:p>
            <w:pPr>
              <w:pStyle w:val="TableContents"/>
              <w:bidi w:val="0"/>
              <w:spacing w:before="0" w:after="283"/>
              <w:jc w:val="both"/>
              <w:rPr/>
            </w:pPr>
            <w:r>
              <w:rPr/>
              <w:t> </w:t>
            </w:r>
          </w:p>
        </w:tc>
      </w:tr>
      <w:tr>
        <w:trPr/>
        <w:tc>
          <w:tcPr>
            <w:tcW w:w="1595" w:type="dxa"/>
            <w:tcBorders/>
            <w:vAlign w:val="center"/>
          </w:tcPr>
          <w:p>
            <w:pPr>
              <w:pStyle w:val="TableContents"/>
              <w:bidi w:val="0"/>
              <w:spacing w:before="0" w:after="283"/>
              <w:jc w:val="left"/>
              <w:rPr>
                <w:b/>
                <w:sz w:val="20"/>
              </w:rPr>
            </w:pPr>
            <w:r>
              <w:rPr>
                <w:b/>
                <w:sz w:val="20"/>
              </w:rPr>
              <w:t>Use of Proceeds</w:t>
            </w:r>
          </w:p>
        </w:tc>
        <w:tc>
          <w:tcPr>
            <w:tcW w:w="60" w:type="dxa"/>
            <w:tcBorders/>
            <w:vAlign w:val="center"/>
          </w:tcPr>
          <w:p>
            <w:pPr>
              <w:pStyle w:val="TableContents"/>
              <w:bidi w:val="0"/>
              <w:spacing w:before="0" w:after="283"/>
              <w:jc w:val="both"/>
              <w:rPr/>
            </w:pPr>
            <w:r>
              <w:rPr/>
              <w:t> </w:t>
            </w:r>
          </w:p>
        </w:tc>
        <w:tc>
          <w:tcPr>
            <w:tcW w:w="8550" w:type="dxa"/>
            <w:tcBorders/>
            <w:vAlign w:val="center"/>
          </w:tcPr>
          <w:p>
            <w:pPr>
              <w:pStyle w:val="TableContents"/>
              <w:bidi w:val="0"/>
              <w:spacing w:before="0" w:after="283"/>
              <w:jc w:val="both"/>
              <w:rPr>
                <w:sz w:val="20"/>
              </w:rPr>
            </w:pPr>
            <w:r>
              <w:rPr>
                <w:sz w:val="20"/>
              </w:rPr>
              <w:t>We will not receive any proceeds from the sale of the Conversion Shares and Warrant Shares by the selling stockholders. However, we will receive proceeds from the exercise of the Warrants if such Warrants, if any, are exercised for cash. We currently intend to use such proceeds for general corporate purposes.</w:t>
            </w:r>
          </w:p>
        </w:tc>
      </w:tr>
      <w:tr>
        <w:trPr/>
        <w:tc>
          <w:tcPr>
            <w:tcW w:w="15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8550" w:type="dxa"/>
            <w:tcBorders/>
            <w:vAlign w:val="center"/>
          </w:tcPr>
          <w:p>
            <w:pPr>
              <w:pStyle w:val="TableContents"/>
              <w:bidi w:val="0"/>
              <w:spacing w:before="0" w:after="283"/>
              <w:jc w:val="both"/>
              <w:rPr/>
            </w:pPr>
            <w:r>
              <w:rPr/>
              <w:t> </w:t>
            </w:r>
          </w:p>
        </w:tc>
      </w:tr>
      <w:tr>
        <w:trPr/>
        <w:tc>
          <w:tcPr>
            <w:tcW w:w="1595" w:type="dxa"/>
            <w:tcBorders/>
            <w:vAlign w:val="center"/>
          </w:tcPr>
          <w:p>
            <w:pPr>
              <w:pStyle w:val="TableContents"/>
              <w:bidi w:val="0"/>
              <w:spacing w:before="0" w:after="283"/>
              <w:jc w:val="left"/>
              <w:rPr>
                <w:b/>
                <w:sz w:val="20"/>
              </w:rPr>
            </w:pPr>
            <w:r>
              <w:rPr>
                <w:b/>
                <w:sz w:val="20"/>
              </w:rPr>
              <w:t>Plan of Distribution</w:t>
            </w:r>
          </w:p>
        </w:tc>
        <w:tc>
          <w:tcPr>
            <w:tcW w:w="60" w:type="dxa"/>
            <w:tcBorders/>
            <w:vAlign w:val="center"/>
          </w:tcPr>
          <w:p>
            <w:pPr>
              <w:pStyle w:val="TableContents"/>
              <w:bidi w:val="0"/>
              <w:spacing w:before="0" w:after="283"/>
              <w:jc w:val="both"/>
              <w:rPr/>
            </w:pPr>
            <w:r>
              <w:rPr/>
              <w:t> </w:t>
            </w:r>
          </w:p>
        </w:tc>
        <w:tc>
          <w:tcPr>
            <w:tcW w:w="8550" w:type="dxa"/>
            <w:tcBorders/>
            <w:vAlign w:val="center"/>
          </w:tcPr>
          <w:p>
            <w:pPr>
              <w:pStyle w:val="TableContents"/>
              <w:bidi w:val="0"/>
              <w:spacing w:before="0" w:after="283"/>
              <w:jc w:val="both"/>
              <w:rPr/>
            </w:pPr>
            <w:r>
              <w:rPr/>
              <w:t>The selling stockholders named in this prospectus, or their pledgees, donees, transferees, distributees, beneficiaries or other successors-in-interest, may offer or sell the shares of Common Stock from time to time through public or private transactions at prevailing market prices, at prices related to prevailing market prices or at privately negotiated prices. The selling stockholders may also resell the shares of Common Stock to or through underwriters, broker-dealers or agents, who may receive compensation in the form of discounts, concessions or commissions.</w:t>
              <w:br/>
              <w:br/>
              <w:t>See “Plan of Distribution” beginning on page 15 of this prospectus for additional information on the methods of sale that may be used by the selling stockholders.</w:t>
            </w:r>
          </w:p>
        </w:tc>
      </w:tr>
      <w:tr>
        <w:trPr/>
        <w:tc>
          <w:tcPr>
            <w:tcW w:w="15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8550" w:type="dxa"/>
            <w:tcBorders/>
            <w:vAlign w:val="center"/>
          </w:tcPr>
          <w:p>
            <w:pPr>
              <w:pStyle w:val="TableContents"/>
              <w:bidi w:val="0"/>
              <w:spacing w:before="0" w:after="283"/>
              <w:jc w:val="both"/>
              <w:rPr/>
            </w:pPr>
            <w:r>
              <w:rPr/>
              <w:t> </w:t>
            </w:r>
          </w:p>
        </w:tc>
      </w:tr>
      <w:tr>
        <w:trPr/>
        <w:tc>
          <w:tcPr>
            <w:tcW w:w="1595" w:type="dxa"/>
            <w:tcBorders/>
            <w:vAlign w:val="center"/>
          </w:tcPr>
          <w:p>
            <w:pPr>
              <w:pStyle w:val="TableContents"/>
              <w:bidi w:val="0"/>
              <w:spacing w:before="0" w:after="283"/>
              <w:jc w:val="left"/>
              <w:rPr>
                <w:b/>
                <w:sz w:val="20"/>
              </w:rPr>
            </w:pPr>
            <w:r>
              <w:rPr>
                <w:b/>
                <w:sz w:val="20"/>
              </w:rPr>
              <w:t>Nasdaq Capital  Market Symbol</w:t>
            </w:r>
          </w:p>
        </w:tc>
        <w:tc>
          <w:tcPr>
            <w:tcW w:w="60" w:type="dxa"/>
            <w:tcBorders/>
            <w:vAlign w:val="center"/>
          </w:tcPr>
          <w:p>
            <w:pPr>
              <w:pStyle w:val="TableContents"/>
              <w:bidi w:val="0"/>
              <w:spacing w:before="0" w:after="283"/>
              <w:jc w:val="both"/>
              <w:rPr/>
            </w:pPr>
            <w:r>
              <w:rPr/>
              <w:t> </w:t>
            </w:r>
          </w:p>
        </w:tc>
        <w:tc>
          <w:tcPr>
            <w:tcW w:w="8550" w:type="dxa"/>
            <w:tcBorders/>
            <w:vAlign w:val="center"/>
          </w:tcPr>
          <w:p>
            <w:pPr>
              <w:pStyle w:val="TableContents"/>
              <w:bidi w:val="0"/>
              <w:spacing w:before="0" w:after="283"/>
              <w:jc w:val="both"/>
              <w:rPr>
                <w:sz w:val="20"/>
              </w:rPr>
            </w:pPr>
            <w:r>
              <w:rPr>
                <w:sz w:val="20"/>
              </w:rPr>
              <w:t>Our Common Stock is listed on the Nasdaq Capital Market under the symbol “XWEL.”</w:t>
            </w:r>
          </w:p>
        </w:tc>
      </w:tr>
      <w:tr>
        <w:trPr/>
        <w:tc>
          <w:tcPr>
            <w:tcW w:w="15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8550" w:type="dxa"/>
            <w:tcBorders/>
            <w:vAlign w:val="center"/>
          </w:tcPr>
          <w:p>
            <w:pPr>
              <w:pStyle w:val="TableContents"/>
              <w:bidi w:val="0"/>
              <w:spacing w:before="0" w:after="283"/>
              <w:jc w:val="both"/>
              <w:rPr/>
            </w:pPr>
            <w:r>
              <w:rPr/>
              <w:t> </w:t>
            </w:r>
          </w:p>
        </w:tc>
      </w:tr>
      <w:tr>
        <w:trPr/>
        <w:tc>
          <w:tcPr>
            <w:tcW w:w="1595" w:type="dxa"/>
            <w:tcBorders/>
            <w:vAlign w:val="center"/>
          </w:tcPr>
          <w:p>
            <w:pPr>
              <w:pStyle w:val="TableContents"/>
              <w:bidi w:val="0"/>
              <w:spacing w:before="0" w:after="283"/>
              <w:jc w:val="left"/>
              <w:rPr>
                <w:b/>
                <w:sz w:val="20"/>
              </w:rPr>
            </w:pPr>
            <w:r>
              <w:rPr>
                <w:b/>
                <w:sz w:val="20"/>
              </w:rPr>
              <w:t>Risk Factors</w:t>
            </w:r>
          </w:p>
        </w:tc>
        <w:tc>
          <w:tcPr>
            <w:tcW w:w="60" w:type="dxa"/>
            <w:tcBorders/>
            <w:vAlign w:val="center"/>
          </w:tcPr>
          <w:p>
            <w:pPr>
              <w:pStyle w:val="TableContents"/>
              <w:bidi w:val="0"/>
              <w:spacing w:before="0" w:after="283"/>
              <w:jc w:val="both"/>
              <w:rPr/>
            </w:pPr>
            <w:r>
              <w:rPr/>
              <w:t> </w:t>
            </w:r>
          </w:p>
        </w:tc>
        <w:tc>
          <w:tcPr>
            <w:tcW w:w="8550" w:type="dxa"/>
            <w:tcBorders/>
            <w:vAlign w:val="center"/>
          </w:tcPr>
          <w:p>
            <w:pPr>
              <w:pStyle w:val="TableContents"/>
              <w:bidi w:val="0"/>
              <w:spacing w:before="0" w:after="283"/>
              <w:jc w:val="both"/>
              <w:rPr>
                <w:sz w:val="20"/>
              </w:rPr>
            </w:pPr>
            <w:r>
              <w:rPr>
                <w:sz w:val="20"/>
              </w:rPr>
              <w:t>Investing in our Common Stock involves significant risks. See “Risk Factors” beginning on page 8 of this prospectus and the documents incorporated by reference in this prospectus.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5" w:name="m_004"/>
      <w:bookmarkEnd w:id="5"/>
      <w:r>
        <w:rPr>
          <w:rFonts w:ascii="Times New Roman;Times;Serif" w:hAnsi="Times New Roman;Times;Serif"/>
          <w:b/>
          <w:i w:val="false"/>
          <w:caps/>
          <w:sz w:val="20"/>
        </w:rPr>
        <w:t>Risk Factors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pPr>
      <w:r>
        <w:rPr>
          <w:rFonts w:ascii="Times New Roman;Times;Serif" w:hAnsi="Times New Roman;Times;Serif"/>
          <w:b w:val="false"/>
          <w:i/>
          <w:caps w:val="false"/>
          <w:smallCaps w:val="false"/>
          <w:sz w:val="20"/>
        </w:rPr>
        <w:t xml:space="preserve">Investing in our securities involves a high degree of risk. In addition to the other information contained in this prospectus and any prospectus supplement and in the documents we incorporate by reference, you should carefully consider the risks discussed below and under the heading “Risk Factors” in our </w:t>
      </w:r>
      <w:hyperlink r:id="rId2">
        <w:r>
          <w:rPr>
            <w:rStyle w:val="InternetLink"/>
            <w:rFonts w:ascii="Times New Roman;Times;Serif" w:hAnsi="Times New Roman;Times;Serif"/>
            <w:b w:val="false"/>
            <w:i/>
            <w:caps w:val="false"/>
            <w:smallCaps w:val="false"/>
            <w:sz w:val="20"/>
          </w:rPr>
          <w:t>Annual Report on Form 10-K for the fiscal year ended December 31, 2025</w:t>
        </w:r>
      </w:hyperlink>
      <w:r>
        <w:rPr>
          <w:rFonts w:ascii="Times New Roman;Times;Serif" w:hAnsi="Times New Roman;Times;Serif"/>
          <w:b w:val="false"/>
          <w:i/>
          <w:caps w:val="false"/>
          <w:smallCaps w:val="false"/>
          <w:sz w:val="20"/>
        </w:rPr>
        <w:t xml:space="preserve">, as well as any amendment or update to our risk factors reflected in subsequent filings with the SEC, before making a decision about investing in our securities. The risks and uncertainties discussed below and in the documents incorporated by reference are not the only ones facing us. Additional risks and uncertainties not presently known to us, or that we currently see as immaterial, may also harm our business. If any of these risks occur, our business, financial condition and operating results could be harmed, the trading price of our Common Stock could decline and you could lose part or all of your investment.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this Offering and Our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issuance of the shares of Common Stock covered by this prospectus could significantly increase the total number of shares of Common Stock issued and outstanding and thereby cause our existing stockholders to experience substantial dilution.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shares of Common Stock being offered pursuant to this prospectus represent Conversion Shares issuable upon the conversion of our Preferred Shares and Warrant Shares issuable upon the exercise of the Warrants. As of March 31, 2026, there were 7,926,766 shares of Common Stock issued and outstanding (prior to any deemed issuance of any Conversion Shares or Warrant Shares). If we are required to issue the maximum number of Conversion Shares and Warrant Shares that are being registered hereunder, the number of shares of Common Stock issued and outstanding after such issuance would represent approximately 1,849.33% of the number of shares of Common Stock issued and outstanding as of the date of this prospectus. As a result, an existing stockholder’s proportionate interest in us will be substantially diluted. The actual number of shares of Common Stock that we issue to the selling stockholders may be less than the aggregate number of shares covered by this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Substantial future sales or other issuances of our Common Stock could depress the market for our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of a substantial number of shares of our Common Stock and any future sales of a substantial number of shares of Common Stock in the public market, including the issuance of shares or any shares issuable upon conversion of the Preferred Shares or exercise of the Warrants, or the perception by the market that those sales could occur, could cause the market price of our Common Stock to decline or could make it more difficult for us to raise funds through the sale of equity and equity-related securities in the future at a time and price that our management deems acceptable, or at all. In addition, as opportunities present themselves, we may enter into financing or similar arrangements in the future, including the issuance of debt securities, preferred stock or Common Stock, which could also depress the market for our Common Stock. We cannot predict the effect, if any, that market sales of those shares of Common Stock or the availability of those shares for sale will have on the market price of our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You may experience future dilution as a result of future equity offerings and other issuances of our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raise additional capital, we may in the future offer additional shares of Common Stock or other securities convertible into or exchangeable for our Common Stock prices that may not be the same as the price per share paid by the investors in this offering. We may not be able to sell shares or other securities in any other offering at a price per share that is equal to or greater than the price per share paid by the investor in this offering, and investors purchasing shares or other securities in the future could have rights superior to existing stockholders. The price per share at which we sell additional shares of Common Stock or securities convertible into shares of Common Stock in future transactions may be higher or lower than the price per share paid to the applicable selling stockholders. Our stockholders will incur dilution upon exercise of any outstanding stock options, warrants or other convertible securities or upon the issuance of shares of Common Stock under our stock incentive programs.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additional capital raised through the sale of equity or equity-backed securities may dilute our stockholders’ ownership percentages and could also result in a decrease in the market value of our equity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terms of any securities issued by us in future capital transactions may be more favorable to new investors, and may include preferences, superior voting rights and the issuance of warrants or other derivative securities, which may have a further dilutive effect on the holders of any of our securities then outstanding.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we may incur substantial costs in pursuing future capital financing, including investment banking fees, legal fees, accounting fees, securities law compliance fees, printing and distribution expenses and other costs. We may also be required to recognize non-cash expenses in connection with certain securities we issue, such as convertible notes and warrants, which may adversely impact our financial condition.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Certificate of Designations contains restrictive covenants and terms that may make it difficult to procure additional financing and that may affect our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Certificate of Designations contains certain restrictive covenants including but not limited to, restrictions on directly or indirectly, redeeming, repurchasing or declaring or paying any cash dividend or distribution on any of our capital stock. Additionally, the Preferred Shares also contain certain purchase rights (the “Purchase Rights”) permitting the holders of the Preferred Shares to acquire upon the terms applicable to such Purchase Rights, the aggregate Purchase Rights which such holder could have acquired if such holder had held the number of shares of Common Stock acquirable upon complete conversion of all of its Preferred Shares. These restrictive covenants may limit our flexibility in raising capital or incurring any indebtedness, which may have an adverse effect on our financial condition.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There is currently no trading market for the Preferred Shares or the Warrants. If an active trading market does not develop, then preferred stockholders and warrant holders may be unable to sell their Preferred Shares or Warrants, as applicable, at desired times or prices, or at all.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market for the Preferred Shares or the Warrants currently exists. We do not currently intend to apply to list the Preferred Shares or the Warrants on any securities exchange or for quotation on any inter-dealer quotation system. Accordingly, an active market for the Preferred Shares or the Warrants may never develop, and, even if one develops, it may not be maintained. If an active trading market for the Preferred Shares or the Warrants does not develop or is not maintained, then the market price and liquidity of the Preferred Shares and the Warrants will be adversely affected and holders of the Preferred Shares or the Warrants may not be able to sell their Preferred Shares or Warrants at desired times or prices, or at all.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liquidity of the trading market, if any, and future value or trading price, if any, of the Preferred Shares or the Warrants will depend on many factors, including, among other things, the trading price and volatility of our common stock, prevailing interest rates, financial condition, results of operations, business, prospects and credit quality relative to our competitors, the market for similar securities and the overall securities market. Many of these factors are beyond our control. Market volatility could significantly harm the market for the Preferred Shares or the Warrants, regardless of our financial condition, results of operations, business, prospects or credit quality.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9</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6" w:name="m_005"/>
      <w:bookmarkEnd w:id="6"/>
      <w:r>
        <w:rPr>
          <w:rFonts w:ascii="Times New Roman;Times;Serif" w:hAnsi="Times New Roman;Times;Serif"/>
          <w:b/>
          <w:i w:val="false"/>
          <w:caps/>
          <w:sz w:val="20"/>
        </w:rPr>
        <w:t>Special Note Regarding Forward-Looking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and the information incorporated by reference in this prospectus contain “forward-looking statements,” which include information relating to future events, future financial performance, strategies, expectations, competitive environment and regulation. Our use of the words “may,” “will,” “would,” “could,” “should,” “believes,” “estimates,” “projects,” “potential,” “expects,” “plans,” “seeks,” “intends,” “evaluates,” “pursues,” “anticipates,” “continues,” “designs,” “impacts,” “forecasts,” “target,” “outlook,” “initiative,” “objective,” “designed,” “priorities,” “goal” or the negative of those words or other similar expressions is intended to identify forward-looking statements that represent our current judgment about possible future events. Forward-looking statements should not be read as a guarantee of future performance or results and will probably not be accurate indications of when such performance or results will be achieved. All statements included or incorporated by reference in this prospectus, and in related comments by our management, other than statements of historical facts, including without limitation, statements about future events or financial performance, are forward-looking statements that involve certain risks and uncertainties.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statements are based on certain assumptions and analyses made in light of our experience and perception of historical trends, current conditions and expected future developments as well as other factors that we believe are appropriate in the circumstances. While these statements represent our judgment on what the future may hold, and we believe these judgments are reasonable, these statements are not guarantees of any events or financial results. Whether actual future results and developments will conform with our expectations and predictions is subject to a number of risks and uncertainties, including the risks and uncertainties discussed in this prospectus, any applicable prospectus supplement and the documents incorporated by reference under the captions “Risk Factors” and “Special Note Regarding Forward-Looking Statements” and elsewhere in those documents.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Consequently, all of the forward-looking statements made in this prospectus as well as all of the forward-looking statements incorporated by reference to our filings under the Securities Exchange Act of 1934, as amended (the “Exchange Act”), are qualified by these cautionary statements and there can be no assurance that the actual results or developments that we anticipate will be realized or, even if realized, that they will have the expected consequences to or effects on us and our subsidiaries or our businesses or operations. We caution investors not to place undue reliance on forward-looking statements. We undertake no obligation to update publicly or otherwise revise any forward-looking statements, whether as a result of new information, future events, or other such factors that affect the subject of these statements, except where we are expressly required to do so by law.</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10</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7" w:name="m_006"/>
      <w:bookmarkEnd w:id="7"/>
      <w:r>
        <w:rPr>
          <w:rFonts w:ascii="Times New Roman;Times;Serif" w:hAnsi="Times New Roman;Times;Serif"/>
          <w:b/>
          <w:i w:val="false"/>
          <w:caps/>
          <w:sz w:val="20"/>
        </w:rPr>
        <w:t>Use of Proceeds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shares of our Common Stock offered by this prospectus are being registered for the accounts of the selling stockholders and we will not receive any proceeds from the sale of these shares. However, we will receive proceeds from the exercise of the Warrants if the Warrants are exercised for cash. Unless we inform you otherwise in a prospectus supplement or free writing prospectus, we intend to use those proceeds, if any, for general corporate purposes. The holders of the Warrants are not obligated to exercise their Warrants for cash, and we cannot predict whether holders of the Warrants will choose to exercise all or any of their Warrants for cash.</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11</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8" w:name="m_007"/>
      <w:bookmarkEnd w:id="8"/>
      <w:r>
        <w:rPr>
          <w:rFonts w:ascii="Times New Roman;Times;Serif" w:hAnsi="Times New Roman;Times;Serif"/>
          <w:b/>
          <w:i w:val="false"/>
          <w:caps/>
          <w:sz w:val="20"/>
        </w:rPr>
        <w:t>Selling Stockholders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the context otherwise requires, as used in this prospectus, “selling stockholders” includes the selling stockholders listed below and donees, pledgees, transferees or other successors-in-interest selling shares received after the date of this prospectus from the selling stockholders as a gift, pledge or other non-sale related transfer.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prepared this prospectus to allow the selling stockholders or their successors, assignees or other permitted transferees to sell or otherwise dispose of, from time to time, up to 138,665,191 shares of our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Common Stock being offered by the selling stockholders are those issuable to the selling stockholders upon conversion of the Preferred Shares and exercise of the Warrants. For additional information regarding the issuance of the Preferred Shares and the Warrants, see “</w:t>
      </w:r>
      <w:r>
        <w:rPr>
          <w:rFonts w:ascii="Times New Roman;Times;Serif" w:hAnsi="Times New Roman;Times;Serif"/>
          <w:b w:val="false"/>
          <w:i/>
          <w:caps w:val="false"/>
          <w:smallCaps w:val="false"/>
          <w:sz w:val="20"/>
        </w:rPr>
        <w:t xml:space="preserve">Private Placement of Preferred Shares and Warrants” </w:t>
      </w:r>
      <w:r>
        <w:rPr>
          <w:rFonts w:ascii="Times New Roman;Times;Serif" w:hAnsi="Times New Roman;Times;Serif"/>
          <w:b w:val="false"/>
          <w:i w:val="false"/>
          <w:caps w:val="false"/>
          <w:smallCaps w:val="false"/>
          <w:sz w:val="20"/>
        </w:rPr>
        <w:t>above. We are registering the Conversion Shares and the Warrant Shares in order to permit the selling stockholders to offer the shares for resale from time to time. The selling stockholders may also sell, transfer or otherwise dispose of all or a portion of their shares in transactions exempt from the registration requirements of the Securities Act, or pursuant to another effective registration statement covering those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Relationships with the Selling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for the ownership of the Preferred Shares and the Warrants issued pursuant to the Purchase Agreement and the Engagement Agreement, as applicable, and except as described in our periodic reports and current reports filed with the SEC from time to time, the selling stockholders have not had any material relationship with us within the past three years.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Information About Selling Stockholders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below lists the selling stockholders and other information regarding the beneficial ownership (as determined under Section 13(d) of the Exchange Act and the rules and regulations thereunder) of the shares of Common Stock held by each of the selling stockholders. The second column (titled “Number of Shares of Common Stock Owned Prior to Offering”) lists the number of shares of Common Stock beneficially owned by the selling stockholders, based on their respective ownership of shares of Common Stock, Preferred Shares and Warrants as of March 31, 2026, assuming (i) conversion of the Preferred Shares, (ii) exercise of the Warrants, and (iii) any other warrants held by each such selling stockholder on that date, but taking account of any limitations on conversion and exercise set forth therein.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third column (titled “Maximum Number of Shares of Common Stock to be Sold Pursuant to this Prospectus”) lists the shares of Common Stock being offered by this prospectus by the selling stockholders and does not take in account any limitations on (i) conversion of the Preferred Shares set forth therein or (ii) exercise of the Warrants set forth therein.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fourth and fifth columns (titled “Number of Shares of Common Stock Owned After Offering” and “Percentage of Common Stock Owned After Offering”) assume the conversion of the Preferred Shares at the initial Conversion Price and exercise of the Warrants at the Exercise Price and the sale of all such shares offered by the selling stockholders pursuant to this 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terms of the Registration Rights Agreement require us to register the number of shares of Common Stock equal to the sum of (i) the Conversion Shares issuable upon conversion of the Preferred Shares ((x) assuming for purposes hereof that the Preferred Shares are convertible at the initial Conversion Price and (y) any such conversion shall not take into account any limitations on the conversion of the Preferred Shares set forth in the Certificate of Designations), (ii) the Warrant Shares issuable upon exercise of the Investor Warrants (assuming for purposes hereof that any such exercise shall not take into account any limitations on the exercise of such Investor Warrants as set forth therein), and (iii) the Warrant Shares issuable upon exercise of the Placement Agent Warrants (assuming for purposes hereof that any such exercise shall not take into account any limitations on the exercise of such Placement Agent Warrants as set forth therein), in each case subject to customary adjustments set forth in the Certificate of Designations and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12</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terms of the Certificate of Designations and the Warrants, a selling stockholder may not convert the Preferred Shares or exercise the Investor Warrants to the extent (but only to the extent) such selling stockholder or any of its affiliates would beneficially own a number of shares of our shares of Common Stock which would exceed 4.99% of the outstanding shares of the Company, except that upon at least 61 days’ prior notice from the holder to the Company, the holder may increase the beneficial ownership limitation to up to 9.99% of the number of shares of Common Stock outstanding. Under the terms of the Placement Agent Warrants, a selling stockholder may not convert the Placement Agent Warrants to the extent (but only to the extent) such selling stockholder or any of its affiliates would beneficially own a number of shares of our shares of Common Stock which would exceed 4.99%, or, at the election of the selling stockholder, 9.99% of the outstanding shares of the Company. The number of shares in the second column reflects these limitations. The selling stockholders may sell all, some or none of their shares in this offering. See “Plan of Distribution.”</w:t>
      </w:r>
    </w:p>
    <w:p>
      <w:pPr>
        <w:pStyle w:val="TextBody"/>
        <w:bidi w:val="0"/>
        <w:spacing w:before="0" w:after="0"/>
        <w:ind w:left="0" w:right="0" w:hanging="0"/>
        <w:jc w:val="both"/>
        <w:rPr>
          <w:caps w:val="false"/>
          <w:smallCaps w:val="false"/>
        </w:rPr>
      </w:pPr>
      <w:r>
        <w:rPr>
          <w:caps w:val="false"/>
          <w:smallCaps w:val="false"/>
        </w:rPr>
        <w:t> </w:t>
      </w:r>
    </w:p>
    <w:tbl>
      <w:tblPr>
        <w:tblW w:w="9336" w:type="dxa"/>
        <w:jc w:val="left"/>
        <w:tblInd w:w="0" w:type="dxa"/>
        <w:tblLayout w:type="fixed"/>
        <w:tblCellMar>
          <w:top w:w="0" w:type="dxa"/>
          <w:left w:w="0" w:type="dxa"/>
          <w:bottom w:w="28" w:type="dxa"/>
          <w:right w:w="0" w:type="dxa"/>
        </w:tblCellMar>
      </w:tblPr>
      <w:tblGrid>
        <w:gridCol w:w="4025"/>
        <w:gridCol w:w="60"/>
        <w:gridCol w:w="91"/>
        <w:gridCol w:w="1068"/>
        <w:gridCol w:w="60"/>
        <w:gridCol w:w="60"/>
        <w:gridCol w:w="68"/>
        <w:gridCol w:w="1211"/>
        <w:gridCol w:w="60"/>
        <w:gridCol w:w="60"/>
        <w:gridCol w:w="495"/>
        <w:gridCol w:w="664"/>
        <w:gridCol w:w="60"/>
        <w:gridCol w:w="60"/>
        <w:gridCol w:w="394"/>
        <w:gridCol w:w="825"/>
        <w:gridCol w:w="75"/>
      </w:tblGrid>
      <w:tr>
        <w:trPr/>
        <w:tc>
          <w:tcPr>
            <w:tcW w:w="4025" w:type="dxa"/>
            <w:tcBorders>
              <w:bottom w:val="single" w:sz="8" w:space="0" w:color="000000"/>
            </w:tcBorders>
            <w:vAlign w:val="center"/>
          </w:tcPr>
          <w:p>
            <w:pPr>
              <w:pStyle w:val="TableContents"/>
              <w:bidi w:val="0"/>
              <w:spacing w:before="0" w:after="283"/>
              <w:jc w:val="left"/>
              <w:rPr>
                <w:b/>
                <w:sz w:val="20"/>
              </w:rPr>
            </w:pPr>
            <w:r>
              <w:rPr>
                <w:b/>
                <w:sz w:val="20"/>
              </w:rPr>
              <w:t>Name of Selling Stockholder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59"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Number of</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br/>
              <w:t>Shares of</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br/>
              <w:t>Common</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br/>
              <w:t>Stock Owned</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br/>
              <w:t>Prior to</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br/>
              <w:t>Offering (1)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79"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Maximum</w:t>
              <w:br/>
              <w:t>Number of</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br/>
              <w:t>Shares of</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br/>
              <w:t>Common</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br/>
              <w:t>Stock to be</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br/>
              <w:t>Sold</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br/>
              <w:t>Pursuant to</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br/>
              <w:t>this Prospectus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59"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Number of</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br/>
              <w:t>shares of</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br/>
              <w:t>Common</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br/>
              <w:t>Stock Owned</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br/>
              <w:t>After</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br/>
              <w:t>Offering</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19"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Percentage of</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br/>
              <w:t>Common</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br/>
              <w:t>Stock Owned</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br/>
              <w:t>After</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br/>
              <w:t>Offering</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4025" w:type="dxa"/>
            <w:tcBorders/>
            <w:shd w:fill="CCEEFF" w:val="clear"/>
            <w:tcMar>
              <w:bottom w:w="0" w:type="dxa"/>
            </w:tcMar>
            <w:vAlign w:val="center"/>
          </w:tcPr>
          <w:p>
            <w:pPr>
              <w:pStyle w:val="TableContents"/>
              <w:bidi w:val="0"/>
              <w:spacing w:before="0" w:after="283"/>
              <w:jc w:val="left"/>
              <w:rPr>
                <w:sz w:val="20"/>
              </w:rPr>
            </w:pPr>
            <w:r>
              <w:rPr>
                <w:sz w:val="20"/>
              </w:rPr>
              <w:t>American Ventures LLC Series XXIV XWELL (2)</w:t>
            </w:r>
          </w:p>
        </w:tc>
        <w:tc>
          <w:tcPr>
            <w:tcW w:w="60" w:type="dxa"/>
            <w:tcBorders/>
            <w:shd w:fill="CCEEFF" w:val="clear"/>
            <w:tcMar>
              <w:bottom w:w="0" w:type="dxa"/>
            </w:tcMar>
            <w:vAlign w:val="center"/>
          </w:tcPr>
          <w:p>
            <w:pPr>
              <w:pStyle w:val="TableContents"/>
              <w:bidi w:val="0"/>
              <w:spacing w:before="0" w:after="283"/>
              <w:jc w:val="left"/>
              <w:rPr/>
            </w:pPr>
            <w:r>
              <w:rPr/>
              <w:t> </w:t>
            </w:r>
          </w:p>
        </w:tc>
        <w:tc>
          <w:tcPr>
            <w:tcW w:w="91" w:type="dxa"/>
            <w:tcBorders/>
            <w:shd w:fill="CCEEFF" w:val="clear"/>
            <w:tcMar>
              <w:bottom w:w="0" w:type="dxa"/>
            </w:tcMar>
            <w:vAlign w:val="center"/>
          </w:tcPr>
          <w:p>
            <w:pPr>
              <w:pStyle w:val="TableContents"/>
              <w:bidi w:val="0"/>
              <w:spacing w:before="0" w:after="283"/>
              <w:jc w:val="left"/>
              <w:rPr/>
            </w:pPr>
            <w:r>
              <w:rPr/>
              <w:t> </w:t>
            </w:r>
          </w:p>
        </w:tc>
        <w:tc>
          <w:tcPr>
            <w:tcW w:w="1068" w:type="dxa"/>
            <w:tcBorders/>
            <w:shd w:fill="CCEEFF" w:val="clear"/>
            <w:tcMar>
              <w:bottom w:w="0" w:type="dxa"/>
            </w:tcMar>
            <w:vAlign w:val="center"/>
          </w:tcPr>
          <w:p>
            <w:pPr>
              <w:pStyle w:val="TableContents"/>
              <w:bidi w:val="0"/>
              <w:spacing w:before="0" w:after="283"/>
              <w:jc w:val="right"/>
              <w:rPr>
                <w:sz w:val="20"/>
              </w:rPr>
            </w:pPr>
            <w:r>
              <w:rPr>
                <w:sz w:val="20"/>
              </w:rPr>
              <w:t>416,320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 w:type="dxa"/>
            <w:tcBorders/>
            <w:shd w:fill="CCEEFF" w:val="clear"/>
            <w:tcMar>
              <w:bottom w:w="0" w:type="dxa"/>
            </w:tcMar>
            <w:vAlign w:val="center"/>
          </w:tcPr>
          <w:p>
            <w:pPr>
              <w:pStyle w:val="TableContents"/>
              <w:bidi w:val="0"/>
              <w:spacing w:before="0" w:after="283"/>
              <w:jc w:val="left"/>
              <w:rPr/>
            </w:pPr>
            <w:r>
              <w:rPr/>
              <w:t> </w:t>
            </w:r>
          </w:p>
        </w:tc>
        <w:tc>
          <w:tcPr>
            <w:tcW w:w="1211" w:type="dxa"/>
            <w:tcBorders/>
            <w:shd w:fill="CCEEFF" w:val="clear"/>
            <w:tcMar>
              <w:bottom w:w="0" w:type="dxa"/>
            </w:tcMar>
            <w:vAlign w:val="center"/>
          </w:tcPr>
          <w:p>
            <w:pPr>
              <w:pStyle w:val="TableContents"/>
              <w:bidi w:val="0"/>
              <w:spacing w:before="0" w:after="283"/>
              <w:jc w:val="right"/>
              <w:rPr>
                <w:sz w:val="20"/>
              </w:rPr>
            </w:pPr>
            <w:r>
              <w:rPr>
                <w:sz w:val="20"/>
              </w:rPr>
              <w:t>133,331,914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95" w:type="dxa"/>
            <w:tcBorders/>
            <w:shd w:fill="CCEEFF" w:val="clear"/>
            <w:tcMar>
              <w:bottom w:w="0" w:type="dxa"/>
            </w:tcMar>
            <w:vAlign w:val="center"/>
          </w:tcPr>
          <w:p>
            <w:pPr>
              <w:pStyle w:val="TableContents"/>
              <w:bidi w:val="0"/>
              <w:spacing w:before="0" w:after="283"/>
              <w:jc w:val="left"/>
              <w:rPr/>
            </w:pPr>
            <w:r>
              <w:rPr/>
              <w:t> </w:t>
            </w:r>
          </w:p>
        </w:tc>
        <w:tc>
          <w:tcPr>
            <w:tcW w:w="664" w:type="dxa"/>
            <w:tcBorders/>
            <w:shd w:fill="CCEEFF" w:val="clear"/>
            <w:tcMar>
              <w:bottom w:w="0" w:type="dxa"/>
            </w:tcMar>
            <w:vAlign w:val="center"/>
          </w:tcPr>
          <w:p>
            <w:pPr>
              <w:pStyle w:val="TableContents"/>
              <w:bidi w:val="0"/>
              <w:spacing w:before="0" w:after="283"/>
              <w:jc w:val="right"/>
              <w:rPr>
                <w:sz w:val="20"/>
              </w:rPr>
            </w:pPr>
            <w:r>
              <w:rPr>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94" w:type="dxa"/>
            <w:tcBorders/>
            <w:shd w:fill="CCEEFF" w:val="clear"/>
            <w:tcMar>
              <w:bottom w:w="0" w:type="dxa"/>
            </w:tcMar>
            <w:vAlign w:val="center"/>
          </w:tcPr>
          <w:p>
            <w:pPr>
              <w:pStyle w:val="TableContents"/>
              <w:bidi w:val="0"/>
              <w:spacing w:before="0" w:after="283"/>
              <w:jc w:val="left"/>
              <w:rPr/>
            </w:pPr>
            <w:r>
              <w:rPr/>
              <w:t> </w:t>
            </w:r>
          </w:p>
        </w:tc>
        <w:tc>
          <w:tcPr>
            <w:tcW w:w="825" w:type="dxa"/>
            <w:tcBorders/>
            <w:shd w:fill="CCEEFF" w:val="clear"/>
            <w:tcMar>
              <w:bottom w:w="0" w:type="dxa"/>
            </w:tcMar>
            <w:vAlign w:val="center"/>
          </w:tcPr>
          <w:p>
            <w:pPr>
              <w:pStyle w:val="TableContents"/>
              <w:bidi w:val="0"/>
              <w:spacing w:before="0" w:after="283"/>
              <w:jc w:val="right"/>
              <w:rPr>
                <w:sz w:val="20"/>
              </w:rPr>
            </w:pPr>
            <w:r>
              <w:rPr>
                <w:sz w:val="20"/>
              </w:rPr>
              <w:t>*</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4025" w:type="dxa"/>
            <w:tcBorders/>
            <w:shd w:fill="FFFFFF" w:val="clear"/>
            <w:tcMar>
              <w:bottom w:w="0" w:type="dxa"/>
            </w:tcMar>
            <w:vAlign w:val="center"/>
          </w:tcPr>
          <w:p>
            <w:pPr>
              <w:pStyle w:val="TableContents"/>
              <w:bidi w:val="0"/>
              <w:spacing w:before="0" w:after="283"/>
              <w:jc w:val="left"/>
              <w:rPr>
                <w:sz w:val="20"/>
              </w:rPr>
            </w:pPr>
            <w:r>
              <w:rPr>
                <w:sz w:val="20"/>
              </w:rPr>
              <w:t>Dominari Securities LLC (3)</w:t>
            </w:r>
          </w:p>
        </w:tc>
        <w:tc>
          <w:tcPr>
            <w:tcW w:w="60" w:type="dxa"/>
            <w:tcBorders/>
            <w:shd w:fill="FFFFFF" w:val="clear"/>
            <w:tcMar>
              <w:bottom w:w="0" w:type="dxa"/>
            </w:tcMar>
            <w:vAlign w:val="center"/>
          </w:tcPr>
          <w:p>
            <w:pPr>
              <w:pStyle w:val="TableContents"/>
              <w:bidi w:val="0"/>
              <w:spacing w:before="0" w:after="283"/>
              <w:jc w:val="left"/>
              <w:rPr/>
            </w:pPr>
            <w:r>
              <w:rPr/>
              <w:t> </w:t>
            </w:r>
          </w:p>
        </w:tc>
        <w:tc>
          <w:tcPr>
            <w:tcW w:w="91" w:type="dxa"/>
            <w:tcBorders/>
            <w:shd w:fill="FFFFFF" w:val="clear"/>
            <w:tcMar>
              <w:bottom w:w="0" w:type="dxa"/>
            </w:tcMar>
            <w:vAlign w:val="center"/>
          </w:tcPr>
          <w:p>
            <w:pPr>
              <w:pStyle w:val="TableContents"/>
              <w:bidi w:val="0"/>
              <w:spacing w:before="0" w:after="283"/>
              <w:jc w:val="left"/>
              <w:rPr/>
            </w:pPr>
            <w:r>
              <w:rPr/>
              <w:t> </w:t>
            </w:r>
          </w:p>
        </w:tc>
        <w:tc>
          <w:tcPr>
            <w:tcW w:w="1068" w:type="dxa"/>
            <w:tcBorders/>
            <w:shd w:fill="FFFFFF" w:val="clear"/>
            <w:tcMar>
              <w:bottom w:w="0" w:type="dxa"/>
            </w:tcMar>
            <w:vAlign w:val="center"/>
          </w:tcPr>
          <w:p>
            <w:pPr>
              <w:pStyle w:val="TableContents"/>
              <w:bidi w:val="0"/>
              <w:spacing w:before="0" w:after="283"/>
              <w:jc w:val="right"/>
              <w:rPr>
                <w:sz w:val="20"/>
              </w:rPr>
            </w:pPr>
            <w:r>
              <w:rPr>
                <w:sz w:val="20"/>
              </w:rPr>
              <w:t>416,320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 w:type="dxa"/>
            <w:tcBorders/>
            <w:shd w:fill="FFFFFF" w:val="clear"/>
            <w:tcMar>
              <w:bottom w:w="0" w:type="dxa"/>
            </w:tcMar>
            <w:vAlign w:val="center"/>
          </w:tcPr>
          <w:p>
            <w:pPr>
              <w:pStyle w:val="TableContents"/>
              <w:bidi w:val="0"/>
              <w:spacing w:before="0" w:after="283"/>
              <w:jc w:val="left"/>
              <w:rPr/>
            </w:pPr>
            <w:r>
              <w:rPr/>
              <w:t> </w:t>
            </w:r>
          </w:p>
        </w:tc>
        <w:tc>
          <w:tcPr>
            <w:tcW w:w="1211" w:type="dxa"/>
            <w:tcBorders/>
            <w:shd w:fill="FFFFFF" w:val="clear"/>
            <w:tcMar>
              <w:bottom w:w="0" w:type="dxa"/>
            </w:tcMar>
            <w:vAlign w:val="center"/>
          </w:tcPr>
          <w:p>
            <w:pPr>
              <w:pStyle w:val="TableContents"/>
              <w:bidi w:val="0"/>
              <w:spacing w:before="0" w:after="283"/>
              <w:jc w:val="right"/>
              <w:rPr>
                <w:sz w:val="20"/>
              </w:rPr>
            </w:pPr>
            <w:r>
              <w:rPr>
                <w:sz w:val="20"/>
              </w:rPr>
              <w:t>5,333,277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95" w:type="dxa"/>
            <w:tcBorders/>
            <w:shd w:fill="FFFFFF" w:val="clear"/>
            <w:tcMar>
              <w:bottom w:w="0" w:type="dxa"/>
            </w:tcMar>
            <w:vAlign w:val="center"/>
          </w:tcPr>
          <w:p>
            <w:pPr>
              <w:pStyle w:val="TableContents"/>
              <w:bidi w:val="0"/>
              <w:spacing w:before="0" w:after="283"/>
              <w:jc w:val="left"/>
              <w:rPr/>
            </w:pPr>
            <w:r>
              <w:rPr/>
              <w:t> </w:t>
            </w:r>
          </w:p>
        </w:tc>
        <w:tc>
          <w:tcPr>
            <w:tcW w:w="664" w:type="dxa"/>
            <w:tcBorders/>
            <w:shd w:fill="FFFFFF" w:val="clear"/>
            <w:tcMar>
              <w:bottom w:w="0" w:type="dxa"/>
            </w:tcMar>
            <w:vAlign w:val="center"/>
          </w:tcPr>
          <w:p>
            <w:pPr>
              <w:pStyle w:val="TableContents"/>
              <w:bidi w:val="0"/>
              <w:spacing w:before="0" w:after="283"/>
              <w:jc w:val="right"/>
              <w:rPr>
                <w:sz w:val="20"/>
              </w:rPr>
            </w:pPr>
            <w:r>
              <w:rPr>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94" w:type="dxa"/>
            <w:tcBorders/>
            <w:shd w:fill="FFFFFF" w:val="clear"/>
            <w:tcMar>
              <w:bottom w:w="0" w:type="dxa"/>
            </w:tcMar>
            <w:vAlign w:val="center"/>
          </w:tcPr>
          <w:p>
            <w:pPr>
              <w:pStyle w:val="TableContents"/>
              <w:bidi w:val="0"/>
              <w:spacing w:before="0" w:after="283"/>
              <w:jc w:val="left"/>
              <w:rPr/>
            </w:pPr>
            <w:r>
              <w:rPr/>
              <w:t> </w:t>
            </w:r>
          </w:p>
        </w:tc>
        <w:tc>
          <w:tcPr>
            <w:tcW w:w="825" w:type="dxa"/>
            <w:tcBorders/>
            <w:shd w:fill="FFFFFF" w:val="clear"/>
            <w:tcMar>
              <w:bottom w:w="0" w:type="dxa"/>
            </w:tcMar>
            <w:vAlign w:val="center"/>
          </w:tcPr>
          <w:p>
            <w:pPr>
              <w:pStyle w:val="TableContents"/>
              <w:bidi w:val="0"/>
              <w:spacing w:before="0" w:after="283"/>
              <w:jc w:val="right"/>
              <w:rPr>
                <w:sz w:val="20"/>
              </w:rPr>
            </w:pPr>
            <w:r>
              <w:rPr>
                <w:sz w:val="20"/>
              </w:rPr>
              <w:t>*</w:t>
            </w:r>
          </w:p>
        </w:tc>
        <w:tc>
          <w:tcPr>
            <w:tcW w:w="75"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345" w:type="dxa"/>
        <w:jc w:val="left"/>
        <w:tblInd w:w="0" w:type="dxa"/>
        <w:tblLayout w:type="fixed"/>
        <w:tblCellMar>
          <w:top w:w="0" w:type="dxa"/>
          <w:left w:w="0" w:type="dxa"/>
          <w:bottom w:w="0" w:type="dxa"/>
          <w:right w:w="0" w:type="dxa"/>
        </w:tblCellMar>
      </w:tblPr>
      <w:tblGrid>
        <w:gridCol w:w="140"/>
        <w:gridCol w:w="1205"/>
      </w:tblGrid>
      <w:tr>
        <w:trPr/>
        <w:tc>
          <w:tcPr>
            <w:tcW w:w="140" w:type="dxa"/>
            <w:tcBorders/>
            <w:vAlign w:val="center"/>
          </w:tcPr>
          <w:p>
            <w:pPr>
              <w:pStyle w:val="TableContents"/>
              <w:bidi w:val="0"/>
              <w:spacing w:before="0" w:after="283"/>
              <w:jc w:val="left"/>
              <w:rPr>
                <w:sz w:val="20"/>
              </w:rPr>
            </w:pPr>
            <w:r>
              <w:rPr>
                <w:sz w:val="20"/>
              </w:rPr>
              <w:t>*</w:t>
            </w:r>
          </w:p>
        </w:tc>
        <w:tc>
          <w:tcPr>
            <w:tcW w:w="1205" w:type="dxa"/>
            <w:tcBorders/>
            <w:vAlign w:val="center"/>
          </w:tcPr>
          <w:p>
            <w:pPr>
              <w:pStyle w:val="TableContents"/>
              <w:bidi w:val="0"/>
              <w:spacing w:before="0" w:after="283"/>
              <w:jc w:val="both"/>
              <w:rPr>
                <w:sz w:val="20"/>
              </w:rPr>
            </w:pPr>
            <w:r>
              <w:rPr>
                <w:sz w:val="20"/>
              </w:rPr>
              <w:t>Less than 1%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1"/>
        <w:gridCol w:w="9976"/>
      </w:tblGrid>
      <w:tr>
        <w:trPr/>
        <w:tc>
          <w:tcPr>
            <w:tcW w:w="3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20"/>
              </w:rPr>
            </w:pPr>
            <w:r>
              <w:rPr>
                <w:sz w:val="20"/>
              </w:rPr>
              <w:t>(1)</w:t>
            </w:r>
          </w:p>
        </w:tc>
        <w:tc>
          <w:tcPr>
            <w:tcW w:w="9976" w:type="dxa"/>
            <w:tcBorders/>
            <w:vAlign w:val="center"/>
          </w:tcPr>
          <w:p>
            <w:pPr>
              <w:pStyle w:val="TableContents"/>
              <w:bidi w:val="0"/>
              <w:spacing w:before="0" w:after="283"/>
              <w:jc w:val="both"/>
              <w:rPr>
                <w:sz w:val="20"/>
              </w:rPr>
            </w:pPr>
            <w:r>
              <w:rPr>
                <w:sz w:val="20"/>
              </w:rPr>
              <w:t>This table and the information in the notes below are based upon information available to the Company and upon 7,926,766 shares of Common Stock issued and outstanding as of March 31, 2026. Any securities not outstanding which are subject to options, warrants, rights or conversion privileges are deemed to be outstanding for the purpose of computing the percentage of outstanding securities of the class owned by such selling stockholder but are not deemed to be outstanding for the purpose of computing the percentage of the class by any other selling stockholder. Except as expressly noted in the footnotes below, beneficial ownership has been determined in accordance with Rule 13d-3 under the Exchange Act. The amounts set forth in this column reflect the application of various limitations on the issuance of Conversion Shares and Warrant Shares in the Certificate of Designations and the Warrants, respectively, including beneficial ownership limitations and limitations under the rules or regulations of Nasdaq.</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13</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8"/>
        <w:gridCol w:w="9939"/>
      </w:tblGrid>
      <w:tr>
        <w:trPr/>
        <w:tc>
          <w:tcPr>
            <w:tcW w:w="3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20"/>
              </w:rPr>
            </w:pPr>
            <w:r>
              <w:rPr>
                <w:sz w:val="20"/>
              </w:rPr>
              <w:t>(2)</w:t>
            </w:r>
          </w:p>
        </w:tc>
        <w:tc>
          <w:tcPr>
            <w:tcW w:w="9939" w:type="dxa"/>
            <w:tcBorders/>
            <w:vAlign w:val="center"/>
          </w:tcPr>
          <w:p>
            <w:pPr>
              <w:pStyle w:val="TableContents"/>
              <w:bidi w:val="0"/>
              <w:spacing w:before="0" w:after="283"/>
              <w:jc w:val="both"/>
              <w:rPr>
                <w:sz w:val="20"/>
              </w:rPr>
            </w:pPr>
            <w:r>
              <w:rPr>
                <w:sz w:val="20"/>
              </w:rPr>
              <w:t>The aggregate total amount of shares that may be sold under this prospectus are comprised of (i) 66,665,957 Conversion Shares and (ii) 66,665,957 Warrant Shares.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Eric Newman, as manager of American Ventures LLC Series XXIV XWELL, has voting and dispositive control with respect to the securities being offered. As such, Eric Newman may be deemed to be the beneficial owner (as determined under Section 13(d) of the Exchange Act) of the securities held by American Ventures LLC Series XXIV XWELL. The address of American Ventures LLC Series XXIV XWELL is 3835 PGA Blvd, Suite 103, Palm Beach Gardens, FL 33410.</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7"/>
        <w:gridCol w:w="9970"/>
      </w:tblGrid>
      <w:tr>
        <w:trPr/>
        <w:tc>
          <w:tcPr>
            <w:tcW w:w="38"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20"/>
              </w:rPr>
            </w:pPr>
            <w:r>
              <w:rPr>
                <w:sz w:val="20"/>
              </w:rPr>
              <w:t>(3)</w:t>
            </w:r>
          </w:p>
        </w:tc>
        <w:tc>
          <w:tcPr>
            <w:tcW w:w="9970" w:type="dxa"/>
            <w:tcBorders/>
            <w:vAlign w:val="center"/>
          </w:tcPr>
          <w:p>
            <w:pPr>
              <w:pStyle w:val="TableContents"/>
              <w:bidi w:val="0"/>
              <w:spacing w:before="0" w:after="283"/>
              <w:jc w:val="both"/>
              <w:rPr>
                <w:sz w:val="20"/>
              </w:rPr>
            </w:pPr>
            <w:r>
              <w:rPr>
                <w:sz w:val="20"/>
              </w:rPr>
              <w:t>Shares of Common Stock to be sold pursuant to this prospectus represent 5,333,277 shares of Common Stock that may be issued, in the aggregate, upon exercise of any Placement Agent Warrants beneficially owned by the selling stockholder. Dominari Securities LLC is a Delaware limited liability company with an address at 725 Fifth Avenue, 23rd Floor, New York, NY 10022. Soo Yu, the Chief Operating Officer of Dominari Securities LLC, exercises voting and dispositive power over the securities held by Dominari Securities LLC.</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14</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9" w:name="m_008"/>
      <w:bookmarkEnd w:id="9"/>
      <w:r>
        <w:rPr>
          <w:rFonts w:ascii="Times New Roman;Times;Serif" w:hAnsi="Times New Roman;Times;Serif"/>
          <w:b/>
          <w:i w:val="false"/>
          <w:caps/>
          <w:sz w:val="20"/>
        </w:rPr>
        <w:t>Plan of Distribution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registering the shares of Common Stock issuable upon conversion of the Preferred Shares and exercise of the Warrants to permit the resale of these shares of Common Stock by the holders of the Preferred Shares and Warrants from time to time after the date of this prospectus. We will not receive any of the proceeds from the sale by the selling stockholders of the shares of Common Stock, although we will receive the exercise price of any Warrants not exercised by the selling stockholders on a cashless exercise basis. We will bear all fees and expenses incident to our obligation to register the shares of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selling stockholder of the securities and any of their pledgees, assignees and successors-in-interest may sell all or a portion of the shares of Common Stock held by them and offered hereby from time to time directly or through one or more underwriters, broker-dealers or agents. If the shares of Common Stock are sold through underwriters or broker-dealers, the selling stockholders will be responsible for underwriting discounts or commissions or agent’s commissions. The shares of Common Stock may be sold in one or more transactions at fixed prices, at prevailing market prices at the time of the sale, at prices related to prevailing market prices, varying prices determined at the time of sale or at negotiated prices. These sales may be effected in transactions, which may involve crosses or block transactions, pursuant to one or more of the following methods: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95" w:type="dxa"/>
            <w:tcBorders/>
            <w:vAlign w:val="center"/>
          </w:tcPr>
          <w:p>
            <w:pPr>
              <w:pStyle w:val="TableContents"/>
              <w:bidi w:val="0"/>
              <w:spacing w:before="0" w:after="283"/>
              <w:jc w:val="both"/>
              <w:rPr>
                <w:sz w:val="20"/>
              </w:rPr>
            </w:pPr>
            <w:r>
              <w:rPr>
                <w:sz w:val="20"/>
              </w:rPr>
              <w:t>on any national securities exchange or quotation service on which the securities may be listed or quoted at the time of sale;</w:t>
            </w:r>
          </w:p>
        </w:tc>
      </w:tr>
      <w:tr>
        <w:trPr/>
        <w:tc>
          <w:tcPr>
            <w:tcW w:w="110" w:type="dxa"/>
            <w:tcBorders/>
            <w:vAlign w:val="center"/>
          </w:tcPr>
          <w:p>
            <w:pPr>
              <w:pStyle w:val="TableContents"/>
              <w:bidi w:val="0"/>
              <w:spacing w:before="0" w:after="283"/>
              <w:jc w:val="left"/>
              <w:rPr/>
            </w:pPr>
            <w:r>
              <w:rPr/>
              <w:t> </w:t>
            </w:r>
          </w:p>
        </w:tc>
        <w:tc>
          <w:tcPr>
            <w:tcW w:w="10095" w:type="dxa"/>
            <w:tcBorders/>
            <w:vAlign w:val="center"/>
          </w:tcPr>
          <w:p>
            <w:pPr>
              <w:pStyle w:val="TableContents"/>
              <w:bidi w:val="0"/>
              <w:spacing w:before="0" w:after="283"/>
              <w:jc w:val="both"/>
              <w:rPr/>
            </w:pPr>
            <w:r>
              <w:rPr/>
              <w:t> </w:t>
            </w:r>
          </w:p>
        </w:tc>
      </w:tr>
      <w:tr>
        <w:trPr/>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95" w:type="dxa"/>
            <w:tcBorders/>
            <w:vAlign w:val="center"/>
          </w:tcPr>
          <w:p>
            <w:pPr>
              <w:pStyle w:val="TableContents"/>
              <w:bidi w:val="0"/>
              <w:spacing w:before="0" w:after="283"/>
              <w:jc w:val="both"/>
              <w:rPr>
                <w:sz w:val="20"/>
              </w:rPr>
            </w:pPr>
            <w:r>
              <w:rPr>
                <w:sz w:val="20"/>
              </w:rPr>
              <w:t>in the over-the-counter market;</w:t>
            </w:r>
          </w:p>
        </w:tc>
      </w:tr>
      <w:tr>
        <w:trPr/>
        <w:tc>
          <w:tcPr>
            <w:tcW w:w="110" w:type="dxa"/>
            <w:tcBorders/>
            <w:vAlign w:val="center"/>
          </w:tcPr>
          <w:p>
            <w:pPr>
              <w:pStyle w:val="TableContents"/>
              <w:bidi w:val="0"/>
              <w:spacing w:before="0" w:after="283"/>
              <w:jc w:val="left"/>
              <w:rPr/>
            </w:pPr>
            <w:r>
              <w:rPr/>
              <w:t> </w:t>
            </w:r>
          </w:p>
        </w:tc>
        <w:tc>
          <w:tcPr>
            <w:tcW w:w="10095" w:type="dxa"/>
            <w:tcBorders/>
            <w:vAlign w:val="center"/>
          </w:tcPr>
          <w:p>
            <w:pPr>
              <w:pStyle w:val="TableContents"/>
              <w:bidi w:val="0"/>
              <w:spacing w:before="0" w:after="283"/>
              <w:jc w:val="both"/>
              <w:rPr/>
            </w:pPr>
            <w:r>
              <w:rPr/>
              <w:t> </w:t>
            </w:r>
          </w:p>
        </w:tc>
      </w:tr>
      <w:tr>
        <w:trPr/>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95" w:type="dxa"/>
            <w:tcBorders/>
            <w:vAlign w:val="center"/>
          </w:tcPr>
          <w:p>
            <w:pPr>
              <w:pStyle w:val="TableContents"/>
              <w:bidi w:val="0"/>
              <w:spacing w:before="0" w:after="283"/>
              <w:jc w:val="both"/>
              <w:rPr>
                <w:sz w:val="20"/>
              </w:rPr>
            </w:pPr>
            <w:r>
              <w:rPr>
                <w:sz w:val="20"/>
              </w:rPr>
              <w:t>in transactions otherwise than on these exchanges or systems or in the over-the-counter market;</w:t>
            </w:r>
          </w:p>
        </w:tc>
      </w:tr>
      <w:tr>
        <w:trPr/>
        <w:tc>
          <w:tcPr>
            <w:tcW w:w="110" w:type="dxa"/>
            <w:tcBorders/>
            <w:vAlign w:val="center"/>
          </w:tcPr>
          <w:p>
            <w:pPr>
              <w:pStyle w:val="TableContents"/>
              <w:bidi w:val="0"/>
              <w:spacing w:before="0" w:after="283"/>
              <w:jc w:val="left"/>
              <w:rPr/>
            </w:pPr>
            <w:r>
              <w:rPr/>
              <w:t> </w:t>
            </w:r>
          </w:p>
        </w:tc>
        <w:tc>
          <w:tcPr>
            <w:tcW w:w="10095" w:type="dxa"/>
            <w:tcBorders/>
            <w:vAlign w:val="center"/>
          </w:tcPr>
          <w:p>
            <w:pPr>
              <w:pStyle w:val="TableContents"/>
              <w:bidi w:val="0"/>
              <w:spacing w:before="0" w:after="283"/>
              <w:jc w:val="both"/>
              <w:rPr/>
            </w:pPr>
            <w:r>
              <w:rPr/>
              <w:t> </w:t>
            </w:r>
          </w:p>
        </w:tc>
      </w:tr>
      <w:tr>
        <w:trPr/>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95" w:type="dxa"/>
            <w:tcBorders/>
            <w:vAlign w:val="center"/>
          </w:tcPr>
          <w:p>
            <w:pPr>
              <w:pStyle w:val="TableContents"/>
              <w:bidi w:val="0"/>
              <w:spacing w:before="0" w:after="283"/>
              <w:jc w:val="both"/>
              <w:rPr>
                <w:sz w:val="20"/>
              </w:rPr>
            </w:pPr>
            <w:r>
              <w:rPr>
                <w:sz w:val="20"/>
              </w:rPr>
              <w:t>through the writing or settlement of options, whether such options are listed on an options exchange or otherwise;</w:t>
            </w:r>
          </w:p>
        </w:tc>
      </w:tr>
      <w:tr>
        <w:trPr/>
        <w:tc>
          <w:tcPr>
            <w:tcW w:w="110" w:type="dxa"/>
            <w:tcBorders/>
            <w:vAlign w:val="center"/>
          </w:tcPr>
          <w:p>
            <w:pPr>
              <w:pStyle w:val="TableContents"/>
              <w:bidi w:val="0"/>
              <w:spacing w:before="0" w:after="283"/>
              <w:jc w:val="left"/>
              <w:rPr/>
            </w:pPr>
            <w:r>
              <w:rPr/>
              <w:t> </w:t>
            </w:r>
          </w:p>
        </w:tc>
        <w:tc>
          <w:tcPr>
            <w:tcW w:w="10095" w:type="dxa"/>
            <w:tcBorders/>
            <w:vAlign w:val="center"/>
          </w:tcPr>
          <w:p>
            <w:pPr>
              <w:pStyle w:val="TableContents"/>
              <w:bidi w:val="0"/>
              <w:spacing w:before="0" w:after="283"/>
              <w:jc w:val="both"/>
              <w:rPr/>
            </w:pPr>
            <w:r>
              <w:rPr/>
              <w:t> </w:t>
            </w:r>
          </w:p>
        </w:tc>
      </w:tr>
      <w:tr>
        <w:trPr/>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95" w:type="dxa"/>
            <w:tcBorders/>
            <w:vAlign w:val="center"/>
          </w:tcPr>
          <w:p>
            <w:pPr>
              <w:pStyle w:val="TableContents"/>
              <w:bidi w:val="0"/>
              <w:spacing w:before="0" w:after="283"/>
              <w:jc w:val="both"/>
              <w:rPr>
                <w:sz w:val="20"/>
              </w:rPr>
            </w:pPr>
            <w:r>
              <w:rPr>
                <w:sz w:val="20"/>
              </w:rPr>
              <w:t>ordinary brokerage transactions and transactions in which the broker-dealer solicits purchasers;</w:t>
            </w:r>
          </w:p>
        </w:tc>
      </w:tr>
      <w:tr>
        <w:trPr/>
        <w:tc>
          <w:tcPr>
            <w:tcW w:w="110" w:type="dxa"/>
            <w:tcBorders/>
            <w:vAlign w:val="center"/>
          </w:tcPr>
          <w:p>
            <w:pPr>
              <w:pStyle w:val="TableContents"/>
              <w:bidi w:val="0"/>
              <w:spacing w:before="0" w:after="283"/>
              <w:jc w:val="left"/>
              <w:rPr/>
            </w:pPr>
            <w:r>
              <w:rPr/>
              <w:t> </w:t>
            </w:r>
          </w:p>
        </w:tc>
        <w:tc>
          <w:tcPr>
            <w:tcW w:w="10095" w:type="dxa"/>
            <w:tcBorders/>
            <w:vAlign w:val="center"/>
          </w:tcPr>
          <w:p>
            <w:pPr>
              <w:pStyle w:val="TableContents"/>
              <w:bidi w:val="0"/>
              <w:spacing w:before="0" w:after="283"/>
              <w:jc w:val="both"/>
              <w:rPr/>
            </w:pPr>
            <w:r>
              <w:rPr/>
              <w:t> </w:t>
            </w:r>
          </w:p>
        </w:tc>
      </w:tr>
      <w:tr>
        <w:trPr/>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95" w:type="dxa"/>
            <w:tcBorders/>
            <w:vAlign w:val="center"/>
          </w:tcPr>
          <w:p>
            <w:pPr>
              <w:pStyle w:val="TableContents"/>
              <w:bidi w:val="0"/>
              <w:spacing w:before="0" w:after="283"/>
              <w:jc w:val="both"/>
              <w:rPr>
                <w:sz w:val="20"/>
              </w:rPr>
            </w:pPr>
            <w:r>
              <w:rPr>
                <w:sz w:val="20"/>
              </w:rPr>
              <w:t>block trades in which the broker-dealer will attempt to sell the securities as agent but may position and resell a portion of the block as principal to facilitate the transaction;</w:t>
            </w:r>
          </w:p>
        </w:tc>
      </w:tr>
      <w:tr>
        <w:trPr/>
        <w:tc>
          <w:tcPr>
            <w:tcW w:w="110" w:type="dxa"/>
            <w:tcBorders/>
            <w:vAlign w:val="center"/>
          </w:tcPr>
          <w:p>
            <w:pPr>
              <w:pStyle w:val="TableContents"/>
              <w:bidi w:val="0"/>
              <w:spacing w:before="0" w:after="283"/>
              <w:jc w:val="left"/>
              <w:rPr/>
            </w:pPr>
            <w:r>
              <w:rPr/>
              <w:t> </w:t>
            </w:r>
          </w:p>
        </w:tc>
        <w:tc>
          <w:tcPr>
            <w:tcW w:w="10095" w:type="dxa"/>
            <w:tcBorders/>
            <w:vAlign w:val="center"/>
          </w:tcPr>
          <w:p>
            <w:pPr>
              <w:pStyle w:val="TableContents"/>
              <w:bidi w:val="0"/>
              <w:spacing w:before="0" w:after="283"/>
              <w:jc w:val="both"/>
              <w:rPr/>
            </w:pPr>
            <w:r>
              <w:rPr/>
              <w:t> </w:t>
            </w:r>
          </w:p>
        </w:tc>
      </w:tr>
      <w:tr>
        <w:trPr/>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95" w:type="dxa"/>
            <w:tcBorders/>
            <w:vAlign w:val="center"/>
          </w:tcPr>
          <w:p>
            <w:pPr>
              <w:pStyle w:val="TableContents"/>
              <w:bidi w:val="0"/>
              <w:spacing w:before="0" w:after="283"/>
              <w:jc w:val="both"/>
              <w:rPr>
                <w:sz w:val="20"/>
              </w:rPr>
            </w:pPr>
            <w:r>
              <w:rPr>
                <w:sz w:val="20"/>
              </w:rPr>
              <w:t>purchases by a broker-dealer as principal and resale by the broker-dealer for its account;</w:t>
            </w:r>
          </w:p>
        </w:tc>
      </w:tr>
      <w:tr>
        <w:trPr/>
        <w:tc>
          <w:tcPr>
            <w:tcW w:w="110" w:type="dxa"/>
            <w:tcBorders/>
            <w:vAlign w:val="center"/>
          </w:tcPr>
          <w:p>
            <w:pPr>
              <w:pStyle w:val="TableContents"/>
              <w:bidi w:val="0"/>
              <w:spacing w:before="0" w:after="283"/>
              <w:jc w:val="left"/>
              <w:rPr/>
            </w:pPr>
            <w:r>
              <w:rPr/>
              <w:t> </w:t>
            </w:r>
          </w:p>
        </w:tc>
        <w:tc>
          <w:tcPr>
            <w:tcW w:w="10095" w:type="dxa"/>
            <w:tcBorders/>
            <w:vAlign w:val="center"/>
          </w:tcPr>
          <w:p>
            <w:pPr>
              <w:pStyle w:val="TableContents"/>
              <w:bidi w:val="0"/>
              <w:spacing w:before="0" w:after="283"/>
              <w:jc w:val="both"/>
              <w:rPr/>
            </w:pPr>
            <w:r>
              <w:rPr/>
              <w:t> </w:t>
            </w:r>
          </w:p>
        </w:tc>
      </w:tr>
      <w:tr>
        <w:trPr/>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95" w:type="dxa"/>
            <w:tcBorders/>
            <w:vAlign w:val="center"/>
          </w:tcPr>
          <w:p>
            <w:pPr>
              <w:pStyle w:val="TableContents"/>
              <w:bidi w:val="0"/>
              <w:spacing w:before="0" w:after="283"/>
              <w:jc w:val="both"/>
              <w:rPr>
                <w:sz w:val="20"/>
              </w:rPr>
            </w:pPr>
            <w:r>
              <w:rPr>
                <w:sz w:val="20"/>
              </w:rPr>
              <w:t>an exchange distribution in accordance with the rules of the applicable exchange;</w:t>
            </w:r>
          </w:p>
        </w:tc>
      </w:tr>
      <w:tr>
        <w:trPr/>
        <w:tc>
          <w:tcPr>
            <w:tcW w:w="110" w:type="dxa"/>
            <w:tcBorders/>
            <w:vAlign w:val="center"/>
          </w:tcPr>
          <w:p>
            <w:pPr>
              <w:pStyle w:val="TableContents"/>
              <w:bidi w:val="0"/>
              <w:spacing w:before="0" w:after="283"/>
              <w:jc w:val="left"/>
              <w:rPr/>
            </w:pPr>
            <w:r>
              <w:rPr/>
              <w:t> </w:t>
            </w:r>
          </w:p>
        </w:tc>
        <w:tc>
          <w:tcPr>
            <w:tcW w:w="10095" w:type="dxa"/>
            <w:tcBorders/>
            <w:vAlign w:val="center"/>
          </w:tcPr>
          <w:p>
            <w:pPr>
              <w:pStyle w:val="TableContents"/>
              <w:bidi w:val="0"/>
              <w:spacing w:before="0" w:after="283"/>
              <w:jc w:val="both"/>
              <w:rPr/>
            </w:pPr>
            <w:r>
              <w:rPr/>
              <w:t> </w:t>
            </w:r>
          </w:p>
        </w:tc>
      </w:tr>
      <w:tr>
        <w:trPr/>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95" w:type="dxa"/>
            <w:tcBorders/>
            <w:vAlign w:val="center"/>
          </w:tcPr>
          <w:p>
            <w:pPr>
              <w:pStyle w:val="TableContents"/>
              <w:bidi w:val="0"/>
              <w:spacing w:before="0" w:after="283"/>
              <w:jc w:val="both"/>
              <w:rPr>
                <w:sz w:val="20"/>
              </w:rPr>
            </w:pPr>
            <w:r>
              <w:rPr>
                <w:sz w:val="20"/>
              </w:rPr>
              <w:t>privately negotiated transactions;</w:t>
            </w:r>
          </w:p>
        </w:tc>
      </w:tr>
      <w:tr>
        <w:trPr/>
        <w:tc>
          <w:tcPr>
            <w:tcW w:w="110" w:type="dxa"/>
            <w:tcBorders/>
            <w:vAlign w:val="center"/>
          </w:tcPr>
          <w:p>
            <w:pPr>
              <w:pStyle w:val="TableContents"/>
              <w:bidi w:val="0"/>
              <w:spacing w:before="0" w:after="283"/>
              <w:jc w:val="left"/>
              <w:rPr/>
            </w:pPr>
            <w:r>
              <w:rPr/>
              <w:t> </w:t>
            </w:r>
          </w:p>
        </w:tc>
        <w:tc>
          <w:tcPr>
            <w:tcW w:w="10095" w:type="dxa"/>
            <w:tcBorders/>
            <w:vAlign w:val="center"/>
          </w:tcPr>
          <w:p>
            <w:pPr>
              <w:pStyle w:val="TableContents"/>
              <w:bidi w:val="0"/>
              <w:spacing w:before="0" w:after="283"/>
              <w:jc w:val="both"/>
              <w:rPr/>
            </w:pPr>
            <w:r>
              <w:rPr/>
              <w:t> </w:t>
            </w:r>
          </w:p>
        </w:tc>
      </w:tr>
      <w:tr>
        <w:trPr/>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95" w:type="dxa"/>
            <w:tcBorders/>
            <w:vAlign w:val="center"/>
          </w:tcPr>
          <w:p>
            <w:pPr>
              <w:pStyle w:val="TableContents"/>
              <w:bidi w:val="0"/>
              <w:spacing w:before="0" w:after="283"/>
              <w:jc w:val="both"/>
              <w:rPr>
                <w:sz w:val="20"/>
              </w:rPr>
            </w:pPr>
            <w:r>
              <w:rPr>
                <w:sz w:val="20"/>
              </w:rPr>
              <w:t>short sales made after the date the Registration Statement is declared effective by the SEC;</w:t>
            </w:r>
          </w:p>
        </w:tc>
      </w:tr>
      <w:tr>
        <w:trPr/>
        <w:tc>
          <w:tcPr>
            <w:tcW w:w="110" w:type="dxa"/>
            <w:tcBorders/>
            <w:vAlign w:val="center"/>
          </w:tcPr>
          <w:p>
            <w:pPr>
              <w:pStyle w:val="TableContents"/>
              <w:bidi w:val="0"/>
              <w:spacing w:before="0" w:after="283"/>
              <w:jc w:val="left"/>
              <w:rPr/>
            </w:pPr>
            <w:r>
              <w:rPr/>
              <w:t> </w:t>
            </w:r>
          </w:p>
        </w:tc>
        <w:tc>
          <w:tcPr>
            <w:tcW w:w="10095" w:type="dxa"/>
            <w:tcBorders/>
            <w:vAlign w:val="center"/>
          </w:tcPr>
          <w:p>
            <w:pPr>
              <w:pStyle w:val="TableContents"/>
              <w:bidi w:val="0"/>
              <w:spacing w:before="0" w:after="283"/>
              <w:jc w:val="both"/>
              <w:rPr/>
            </w:pPr>
            <w:r>
              <w:rPr/>
              <w:t> </w:t>
            </w:r>
          </w:p>
        </w:tc>
      </w:tr>
      <w:tr>
        <w:trPr/>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95" w:type="dxa"/>
            <w:tcBorders/>
            <w:vAlign w:val="center"/>
          </w:tcPr>
          <w:p>
            <w:pPr>
              <w:pStyle w:val="TableContents"/>
              <w:bidi w:val="0"/>
              <w:spacing w:before="0" w:after="283"/>
              <w:jc w:val="both"/>
              <w:rPr>
                <w:sz w:val="20"/>
              </w:rPr>
            </w:pPr>
            <w:r>
              <w:rPr>
                <w:sz w:val="20"/>
              </w:rPr>
              <w:t>broker-dealers may agree with a selling security holder to sell a specified number of such shares at a stipulated price per share;</w:t>
            </w:r>
          </w:p>
        </w:tc>
      </w:tr>
      <w:tr>
        <w:trPr/>
        <w:tc>
          <w:tcPr>
            <w:tcW w:w="110" w:type="dxa"/>
            <w:tcBorders/>
            <w:vAlign w:val="center"/>
          </w:tcPr>
          <w:p>
            <w:pPr>
              <w:pStyle w:val="TableContents"/>
              <w:bidi w:val="0"/>
              <w:spacing w:before="0" w:after="283"/>
              <w:jc w:val="left"/>
              <w:rPr/>
            </w:pPr>
            <w:r>
              <w:rPr/>
              <w:t> </w:t>
            </w:r>
          </w:p>
        </w:tc>
        <w:tc>
          <w:tcPr>
            <w:tcW w:w="10095" w:type="dxa"/>
            <w:tcBorders/>
            <w:vAlign w:val="center"/>
          </w:tcPr>
          <w:p>
            <w:pPr>
              <w:pStyle w:val="TableContents"/>
              <w:bidi w:val="0"/>
              <w:spacing w:before="0" w:after="283"/>
              <w:jc w:val="both"/>
              <w:rPr/>
            </w:pPr>
            <w:r>
              <w:rPr/>
              <w:t> </w:t>
            </w:r>
          </w:p>
        </w:tc>
      </w:tr>
      <w:tr>
        <w:trPr/>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95" w:type="dxa"/>
            <w:tcBorders/>
            <w:vAlign w:val="center"/>
          </w:tcPr>
          <w:p>
            <w:pPr>
              <w:pStyle w:val="TableContents"/>
              <w:bidi w:val="0"/>
              <w:spacing w:before="0" w:after="283"/>
              <w:jc w:val="both"/>
              <w:rPr>
                <w:sz w:val="20"/>
              </w:rPr>
            </w:pPr>
            <w:r>
              <w:rPr>
                <w:sz w:val="20"/>
              </w:rPr>
              <w:t>a combination of any such methods of sale; and</w:t>
            </w:r>
          </w:p>
        </w:tc>
      </w:tr>
      <w:tr>
        <w:trPr/>
        <w:tc>
          <w:tcPr>
            <w:tcW w:w="110" w:type="dxa"/>
            <w:tcBorders/>
            <w:vAlign w:val="center"/>
          </w:tcPr>
          <w:p>
            <w:pPr>
              <w:pStyle w:val="TableContents"/>
              <w:bidi w:val="0"/>
              <w:spacing w:before="0" w:after="283"/>
              <w:jc w:val="left"/>
              <w:rPr/>
            </w:pPr>
            <w:r>
              <w:rPr/>
              <w:t> </w:t>
            </w:r>
          </w:p>
        </w:tc>
        <w:tc>
          <w:tcPr>
            <w:tcW w:w="10095" w:type="dxa"/>
            <w:tcBorders/>
            <w:vAlign w:val="center"/>
          </w:tcPr>
          <w:p>
            <w:pPr>
              <w:pStyle w:val="TableContents"/>
              <w:bidi w:val="0"/>
              <w:spacing w:before="0" w:after="283"/>
              <w:jc w:val="both"/>
              <w:rPr/>
            </w:pPr>
            <w:r>
              <w:rPr/>
              <w:t> </w:t>
            </w:r>
          </w:p>
        </w:tc>
      </w:tr>
      <w:tr>
        <w:trPr/>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95" w:type="dxa"/>
            <w:tcBorders/>
            <w:vAlign w:val="center"/>
          </w:tcPr>
          <w:p>
            <w:pPr>
              <w:pStyle w:val="TableContents"/>
              <w:bidi w:val="0"/>
              <w:spacing w:before="0" w:after="283"/>
              <w:jc w:val="both"/>
              <w:rPr>
                <w:sz w:val="20"/>
              </w:rPr>
            </w:pPr>
            <w:r>
              <w:rPr>
                <w:sz w:val="20"/>
              </w:rPr>
              <w:t>any other method permitted pursuant to applicable law</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stockholders may also sell securities under Rule 144 or any other exemption from registration under the Securities Act, if available, rather than under this 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15</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selling stockholders may transfer the securities by other means not described in this prospectus. If the selling stockholders effect such transactions by selling securities to or through underwriters, broker-dealers or agents, such underwriters, broker-dealers or agents may receive commissions in the form of discounts, concessions or commissions from the selling stockholders or commissions from purchasers of the securities for whom they may act as agent or to whom they may sell as principal (which discounts, concessions or commissions as to particular underwriters, broker-dealers or agents may be in excess of those customary in the types of transactions involved). In connection with sales of the securities or otherwise, the selling stockholders may enter into hedging transactions with broker-dealers, which may in turn engage in short sales of the securities in the course of hedging in positions they assume. The selling stockholders may also sell securities short and deliver securities covered by this prospectus to close out short positions and to return borrowed shares in connection with such short sales. The selling stockholders may also loan or pledge securities to broker-dealers that in turn may sell such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stockholders may pledge or grant a security interest in some or all of the securities owned by them and, if they default in the performance of their secured obligations, the pledgees or secured parties may offer and sell the securities from time to time pursuant to this prospectus or any amendment to this prospectus under Rule 424(b)(3) or other applicable provision of the Securities Act amending, if necessary, the list of selling stockholders to include the pledgee, transferee or other successors in interest as selling stockholders under this prospectus. The selling stockholders also may transfer and donate the securities in other circumstances in which case the transferees, donees, pledgees or other successors in interest will be the selling beneficial owners for purposes of this 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required by the Securities Act and the rules and regulations thereunder, the selling stockholders and any broker-dealer participating in the distribution of the securities may be deemed to be “underwriters” within the meaning of the Securities Act, and any commission paid, or any discounts or concessions allowed to, any such broker-dealer may be deemed to be underwriting commissions or discounts under the Securities Act. At the time a particular offering of securities is made, a prospectus supplement, if required, will be distributed, which will set forth the aggregate amount of securities being offered and the terms of the offering, including the name or names of any broker-dealers or agents, any discounts, commissions and other terms constituting compensation from the selling stockholders and any discounts, commissions or concessions allowed or re-allowed or paid to broker-dealers.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securities laws of some states, the securities may be sold in such states only through registered or licensed brokers or dealers. In addition, in some states the securities may not be sold unless such shares have been registered or qualified for sale in such state or an exemption from registration or qualification is available and is complied with.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can be no assurance that any selling stockholder will sell any or all of the securities registered pursuant to the registration statement of which this prospectus forms a part.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stockholders and any other person participating in such distribution will be subject to applicable provisions of the Exchange Act, and the rules and regulations thereunder, including, without limitation, to the extent applicable, Regulation M of the Exchange Act, which may limit the timing of purchases and sales of any of the shares of securities by the selling stockholders and any other participating person. To the extent applicable, Regulation M may also restrict the ability of any person engaged in the distribution of the securities to engage in market-making activities with respect to such securities. All of the foregoing may affect the marketability of the securities and the ability of any person or entity to engage in market-making activities with respect to the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pay all expenses of the registration of the securities pursuant to the Registration Rights Agreement, including, without limitation, SEC filing fees and expenses of compliance with state securities or “blue sky” laws; provided, however, a selling stockholder will pay all underwriting discounts and selling commissions, if any. We will indemnify the selling stockholders against liabilities, including some liabilities under the Securities Act in accordance with the Registration Rights Agreement or the selling stockholders will be entitled to contribution. We may be indemnified by the selling stockholders against civil liabilities, including liabilities under the Securities Act that may arise from any written information furnished to us by the selling stockholder specifically for use in this prospectus, in accordance with the related registration rights agreement or we may be entitled to contribution.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Once sold under the registration statement, of which this prospectus forms a part, the securities will be freely tradable in the hands of persons other than our affiliates.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16</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10" w:name="m_009"/>
      <w:bookmarkEnd w:id="10"/>
      <w:r>
        <w:rPr>
          <w:rFonts w:ascii="Times New Roman;Times;Serif" w:hAnsi="Times New Roman;Times;Serif"/>
          <w:b/>
          <w:i w:val="false"/>
          <w:caps/>
          <w:sz w:val="20"/>
        </w:rPr>
        <w:t xml:space="preserve">Legal Matters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validity of the securities offered by this prospectus will be passed upon for us by Haynes and Boone, LLP, New York, New York.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11" w:name="m_010"/>
      <w:bookmarkEnd w:id="11"/>
      <w:r>
        <w:rPr>
          <w:rFonts w:ascii="Times New Roman;Times;Serif" w:hAnsi="Times New Roman;Times;Serif"/>
          <w:b/>
          <w:i w:val="false"/>
          <w:caps/>
          <w:sz w:val="20"/>
        </w:rPr>
        <w:t>Experts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pPr>
      <w:r>
        <w:rPr>
          <w:rFonts w:ascii="Times New Roman;Times;Serif" w:hAnsi="Times New Roman;Times;Serif"/>
          <w:b w:val="false"/>
          <w:i w:val="false"/>
          <w:caps w:val="false"/>
          <w:smallCaps w:val="false"/>
          <w:sz w:val="20"/>
        </w:rPr>
        <w:t xml:space="preserve">The financial statements incorporated in this Prospectus by reference to the </w:t>
      </w:r>
      <w:hyperlink r:id="rId3">
        <w:r>
          <w:rPr>
            <w:rStyle w:val="InternetLink"/>
            <w:rFonts w:ascii="Times New Roman;Times;Serif" w:hAnsi="Times New Roman;Times;Serif"/>
            <w:b w:val="false"/>
            <w:i w:val="false"/>
            <w:caps w:val="false"/>
            <w:smallCaps w:val="false"/>
            <w:sz w:val="20"/>
          </w:rPr>
          <w:t>Annual Report on Form 10-K for the year ended December 31, 2025</w:t>
        </w:r>
      </w:hyperlink>
      <w:r>
        <w:rPr>
          <w:rFonts w:ascii="Times New Roman;Times;Serif" w:hAnsi="Times New Roman;Times;Serif"/>
          <w:b w:val="false"/>
          <w:i w:val="false"/>
          <w:caps w:val="false"/>
          <w:smallCaps w:val="false"/>
          <w:sz w:val="20"/>
        </w:rPr>
        <w:t>, have been so incorporated in reliance on the report of CBIZ CPAs P.C., and independent registered public accounting firm, given on the authority of said firm as experts in auditing and accounting.</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pPr>
      <w:r>
        <w:rPr>
          <w:rFonts w:ascii="Times New Roman;Times;Serif" w:hAnsi="Times New Roman;Times;Serif"/>
          <w:b w:val="false"/>
          <w:i w:val="false"/>
          <w:caps w:val="false"/>
          <w:smallCaps w:val="false"/>
          <w:sz w:val="20"/>
        </w:rPr>
        <w:t>The financial statements incorporated in this Prospectus by reference to the</w:t>
      </w:r>
      <w:hyperlink r:id="rId4">
        <w:r>
          <w:rPr>
            <w:rStyle w:val="InternetLink"/>
            <w:rFonts w:ascii="Times New Roman;Times;Serif" w:hAnsi="Times New Roman;Times;Serif"/>
            <w:b w:val="false"/>
            <w:i w:val="false"/>
            <w:caps w:val="false"/>
            <w:smallCaps w:val="false"/>
            <w:sz w:val="20"/>
          </w:rPr>
          <w:t xml:space="preserve"> Annual Report on Form 10-K for the year ended December 31, 2024</w:t>
        </w:r>
      </w:hyperlink>
      <w:r>
        <w:rPr>
          <w:rFonts w:ascii="Times New Roman;Times;Serif" w:hAnsi="Times New Roman;Times;Serif"/>
          <w:b w:val="false"/>
          <w:i w:val="false"/>
          <w:caps w:val="false"/>
          <w:smallCaps w:val="false"/>
          <w:sz w:val="20"/>
        </w:rPr>
        <w:t>, have been so incorporated in reliance on the report (which contains an explanatory paragraph relating to the Company’s ability to continue as a going concern) of Marcum LLP, and independent registered public accounting firm, given on the authority of said firm as experts in auditing and accounting.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12" w:name="m_011"/>
      <w:bookmarkEnd w:id="12"/>
      <w:r>
        <w:rPr>
          <w:rFonts w:ascii="Times New Roman;Times;Serif" w:hAnsi="Times New Roman;Times;Serif"/>
          <w:b/>
          <w:i w:val="false"/>
          <w:caps/>
          <w:sz w:val="20"/>
        </w:rPr>
        <w:t>Where You Can Find More Information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filed with the SEC a registration statement on Form S-3 under the Securities Act with respect to the securities offered by this prospectus. This prospectus, filed as part of the registration statement, does not contain all the information set forth in the registration statement and its exhibits and schedules, portions of which have been omitted as permitted by the rules and regulations of the SEC. For further information about us, we refer you to the registration statement and to its exhibits and schedules.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file annual, quarterly and current reports and other information with the SEC. The SEC maintains an internet website at www.sec.gov that contains periodic and current reports, proxy and information statements, and other information regarding registrants that are filed electronically with the SEC.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documents are also available, free of charge, through the Investors section of our website, which is located at www.xwell.com. Information contained on our website is not incorporated by reference into this prospectus and you should not consider information on our website to be part of this 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17</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13" w:name="m_012"/>
      <w:bookmarkEnd w:id="13"/>
      <w:r>
        <w:rPr>
          <w:rFonts w:ascii="Times New Roman;Times;Serif" w:hAnsi="Times New Roman;Times;Serif"/>
          <w:b/>
          <w:i w:val="false"/>
          <w:caps/>
          <w:sz w:val="20"/>
        </w:rPr>
        <w:t>Incorporation of Certain Information by Reference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 allows us to “incorporate by reference” information into this prospectus and any accompanying prospectus supplement, which means that we can disclose important information to you by referring you to another document filed separately with the SEC. The information incorporated by reference is deemed to be part of this prospectus and any accompanying prospectus supplement, except for any information superseded by information contained directly in this prospectus, any accompanying prospectus supplement, any subsequently filed document deemed incorporated by reference or a free writing prospectus prepared by or on behalf of us. This prospectus and any accompanying prospectus supplement incorporates by reference the documents set forth below that we have previously filed with the SEC (other than information deemed furnished and not filed in accordance with SEC rules, including Items 2.02 and 7.01 of Form 8-K or certain exhibits furnished pursuant to Item 9.01 of Form 8-K). These documents contain important information about us and our finances.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incorporate by reference in this prospectus the following documents or information filed or to be filed with the SEC:</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283"/>
              <w:jc w:val="both"/>
              <w:rPr/>
            </w:pPr>
            <w:hyperlink r:id="rId5">
              <w:r>
                <w:rPr>
                  <w:rStyle w:val="InternetLink"/>
                  <w:rFonts w:ascii="Symbol" w:hAnsi="Symbol"/>
                  <w:sz w:val="20"/>
                </w:rPr>
                <w:t>·</w:t>
              </w:r>
            </w:hyperlink>
          </w:p>
        </w:tc>
        <w:tc>
          <w:tcPr>
            <w:tcW w:w="10095" w:type="dxa"/>
            <w:tcBorders/>
            <w:vAlign w:val="center"/>
          </w:tcPr>
          <w:p>
            <w:pPr>
              <w:pStyle w:val="TableContents"/>
              <w:bidi w:val="0"/>
              <w:spacing w:before="0" w:after="283"/>
              <w:jc w:val="both"/>
              <w:rPr/>
            </w:pPr>
            <w:hyperlink r:id="rId6">
              <w:r>
                <w:rPr>
                  <w:rStyle w:val="InternetLink"/>
                  <w:sz w:val="20"/>
                </w:rPr>
                <w:t xml:space="preserve">our Annual Report on Form 10-K for the year ended December 31, 2025, filed with the SEC on April 1, 2026; </w:t>
              </w:r>
            </w:hyperlink>
          </w:p>
        </w:tc>
      </w:tr>
      <w:tr>
        <w:trPr/>
        <w:tc>
          <w:tcPr>
            <w:tcW w:w="110" w:type="dxa"/>
            <w:tcBorders/>
            <w:vAlign w:val="center"/>
          </w:tcPr>
          <w:p>
            <w:pPr>
              <w:pStyle w:val="TableContents"/>
              <w:bidi w:val="0"/>
              <w:spacing w:before="0" w:after="283"/>
              <w:jc w:val="both"/>
              <w:rPr/>
            </w:pPr>
            <w:r>
              <w:rPr/>
              <w:t> </w:t>
            </w:r>
          </w:p>
        </w:tc>
        <w:tc>
          <w:tcPr>
            <w:tcW w:w="10095" w:type="dxa"/>
            <w:tcBorders/>
            <w:vAlign w:val="center"/>
          </w:tcPr>
          <w:p>
            <w:pPr>
              <w:pStyle w:val="TableContents"/>
              <w:bidi w:val="0"/>
              <w:spacing w:before="0" w:after="283"/>
              <w:jc w:val="both"/>
              <w:rPr/>
            </w:pPr>
            <w:r>
              <w:rPr/>
              <w:t> </w:t>
            </w:r>
          </w:p>
        </w:tc>
      </w:tr>
      <w:tr>
        <w:trPr/>
        <w:tc>
          <w:tcPr>
            <w:tcW w:w="110"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10095" w:type="dxa"/>
            <w:tcBorders/>
            <w:vAlign w:val="center"/>
          </w:tcPr>
          <w:p>
            <w:pPr>
              <w:pStyle w:val="TableContents"/>
              <w:bidi w:val="0"/>
              <w:spacing w:before="0" w:after="283"/>
              <w:jc w:val="both"/>
              <w:rPr/>
            </w:pPr>
            <w:r>
              <w:rPr>
                <w:sz w:val="20"/>
              </w:rPr>
              <w:t xml:space="preserve">our Current Reports on Form 8-K and Form 8-K/A filed with the SEC on </w:t>
            </w:r>
            <w:hyperlink r:id="rId7">
              <w:r>
                <w:rPr>
                  <w:rStyle w:val="InternetLink"/>
                  <w:sz w:val="20"/>
                </w:rPr>
                <w:t>February 25, 2026</w:t>
              </w:r>
            </w:hyperlink>
            <w:r>
              <w:rPr>
                <w:sz w:val="20"/>
              </w:rPr>
              <w:t xml:space="preserve">, </w:t>
            </w:r>
            <w:hyperlink r:id="rId8">
              <w:r>
                <w:rPr>
                  <w:rStyle w:val="InternetLink"/>
                  <w:sz w:val="20"/>
                </w:rPr>
                <w:t>March 4, 2026</w:t>
              </w:r>
            </w:hyperlink>
            <w:r>
              <w:rPr>
                <w:sz w:val="20"/>
              </w:rPr>
              <w:t xml:space="preserve"> and </w:t>
            </w:r>
            <w:hyperlink r:id="rId9">
              <w:r>
                <w:rPr>
                  <w:rStyle w:val="InternetLink"/>
                  <w:sz w:val="20"/>
                </w:rPr>
                <w:t>April 10, 2026</w:t>
              </w:r>
            </w:hyperlink>
            <w:r>
              <w:rPr>
                <w:sz w:val="20"/>
              </w:rPr>
              <w:t>; and</w:t>
            </w:r>
          </w:p>
        </w:tc>
      </w:tr>
      <w:tr>
        <w:trPr/>
        <w:tc>
          <w:tcPr>
            <w:tcW w:w="110" w:type="dxa"/>
            <w:tcBorders/>
            <w:vAlign w:val="center"/>
          </w:tcPr>
          <w:p>
            <w:pPr>
              <w:pStyle w:val="TableContents"/>
              <w:bidi w:val="0"/>
              <w:spacing w:before="0" w:after="283"/>
              <w:jc w:val="both"/>
              <w:rPr/>
            </w:pPr>
            <w:r>
              <w:rPr/>
              <w:t> </w:t>
            </w:r>
          </w:p>
        </w:tc>
        <w:tc>
          <w:tcPr>
            <w:tcW w:w="10095" w:type="dxa"/>
            <w:tcBorders/>
            <w:vAlign w:val="center"/>
          </w:tcPr>
          <w:p>
            <w:pPr>
              <w:pStyle w:val="TableContents"/>
              <w:bidi w:val="0"/>
              <w:spacing w:before="0" w:after="283"/>
              <w:jc w:val="both"/>
              <w:rPr/>
            </w:pPr>
            <w:r>
              <w:rPr/>
              <w:t> </w:t>
            </w:r>
          </w:p>
        </w:tc>
      </w:tr>
      <w:tr>
        <w:trPr/>
        <w:tc>
          <w:tcPr>
            <w:tcW w:w="110"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10095" w:type="dxa"/>
            <w:tcBorders/>
            <w:vAlign w:val="center"/>
          </w:tcPr>
          <w:p>
            <w:pPr>
              <w:pStyle w:val="TableContents"/>
              <w:bidi w:val="0"/>
              <w:spacing w:before="0" w:after="283"/>
              <w:jc w:val="both"/>
              <w:rPr/>
            </w:pPr>
            <w:r>
              <w:rPr>
                <w:sz w:val="20"/>
              </w:rPr>
              <w:t xml:space="preserve">the description of our Common Stock that is included as </w:t>
            </w:r>
            <w:hyperlink r:id="rId10">
              <w:r>
                <w:rPr>
                  <w:rStyle w:val="InternetLink"/>
                  <w:sz w:val="20"/>
                </w:rPr>
                <w:t>Exhibit 4.1</w:t>
              </w:r>
            </w:hyperlink>
            <w:r>
              <w:rPr>
                <w:sz w:val="20"/>
              </w:rPr>
              <w:t xml:space="preserve"> to our Annual Report on Form 10-K for the fiscal year ended December 31, 2025, filed with the SEC on April 1, 2026, including any amendments thereto or reports filed for the purposes of updating this description.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incorporate by reference into this prospectus all documents that are filed by us with the SEC pursuant to Sections 13(a), 13(c), 14 or 15(d) of the Exchange Act (i) after the date of the registration statement of which this prospectus forms a part and prior to effectiveness of the registration statement, and (ii) after the date of this prospectus and any accompanying prospectus supplement and before the termination of the offering shall also be deemed to be incorporated herein by reference. We are not, however, incorporating by reference any documents or portions thereof, whether specifically listed above or filed in the future, that are not deemed “filed” with the SEC, including our audit and compensation committee reports and performance graph or any information furnished pursuant to Items 2.02 or 7.01 of Form 8-K or certain exhibits furnished pursuant to Item 9.01 of Form 8-K.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rely only on the information incorporated by reference or provided in this prospectus. We have not authorized anyone else to provide you with different information. Any statement contained in a document incorporated by reference into this prospectus will be deemed to be modified or superseded for the purposes of this prospectus to the extent that a later statement contained in this prospectus or in any other document incorporated by reference into this prospectus modifies or supersedes the earlier statement. Any statement so modified or superseded will not be deemed, except as so modified or superseded, to constitute a part of this prospectus. You should not assume that the information in this prospectus is accurate as of any date other than the date of this prospectus or the date of the documents incorporated by reference in this 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provide without charge to each person to whom a copy of this prospectus is delivered, upon written or oral request, a copy of any or all of the reports or documents that have been incorporated by reference in this prospectus but not delivered with this prospectus (other than an exhibit to these filings, unless we have specifically incorporated that exhibit by reference in this prospectus). Any such request should be addressed to us at:</w:t>
      </w:r>
    </w:p>
    <w:p>
      <w:pPr>
        <w:pStyle w:val="TextBody"/>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XWELL, Inc.</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254 West 31st Street, 11th Floor</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New York 10001</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(212) 750-9595</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may also access the documents incorporated by reference in this prospectus through our website at www.xwell.com. Except for the specific incorporated documents listed above, no information available on or through our website shall be deemed to be incorporated in this prospectus or the registration statement of which it forms a part.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18</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138,665,191 Shares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XWELL,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STOCK</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PROSPECTUS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April 15,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19</w:t>
      </w:r>
    </w:p>
    <w:p>
      <w:pPr>
        <w:pStyle w:val="TextBody"/>
        <w:bidi w:val="0"/>
        <w:spacing w:before="0" w:after="0"/>
        <w:ind w:left="0" w:right="0" w:hanging="0"/>
        <w:jc w:val="center"/>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Symbo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ix?doc=/Archives/edgar/data/1410428/000110465926038330/xwel-20251231x10k.htm" TargetMode="External"/><Relationship Id="rId3" Type="http://schemas.openxmlformats.org/officeDocument/2006/relationships/hyperlink" Target="https://www.sec.gov/ix?doc=/Archives/edgar/data/1410428/000110465926038330/xwel-20251231x10k.htm" TargetMode="External"/><Relationship Id="rId4" Type="http://schemas.openxmlformats.org/officeDocument/2006/relationships/hyperlink" Target="https://www.sec.gov/ix?doc=/Archives/edgar/data/1410428/000155837025004851/xwel-20241231x10k.htm" TargetMode="External"/><Relationship Id="rId5" Type="http://schemas.openxmlformats.org/officeDocument/2006/relationships/hyperlink" Target="https://www.sec.gov/ix?doc=/Archives/edgar/data/1410428/000110465926038330/xwel-20251231x10k.htm" TargetMode="External"/><Relationship Id="rId6" Type="http://schemas.openxmlformats.org/officeDocument/2006/relationships/hyperlink" Target="https://www.sec.gov/ix?doc=/Archives/edgar/data/1410428/000110465926038330/xwel-20251231x10k.htm" TargetMode="External"/><Relationship Id="rId7" Type="http://schemas.openxmlformats.org/officeDocument/2006/relationships/hyperlink" Target="https://www.sec.gov/ix?doc=/Archives/edgar/data/1410428/000110465926019431/tm267239d1_8k.htm" TargetMode="External"/><Relationship Id="rId8" Type="http://schemas.openxmlformats.org/officeDocument/2006/relationships/hyperlink" Target="https://www.sec.gov/ix?doc=/Archives/edgar/data/1410428/000110465926023569/tm268017d1_8k.htm" TargetMode="External"/><Relationship Id="rId9" Type="http://schemas.openxmlformats.org/officeDocument/2006/relationships/hyperlink" Target="https://www.sec.gov/ix?doc=/Archives/edgar/data/1410428/000110465926042125/tm2611522d1_8ka.htm" TargetMode="External"/><Relationship Id="rId10" Type="http://schemas.openxmlformats.org/officeDocument/2006/relationships/hyperlink" Target="https://www.sec.gov/Archives/edgar/data/0001410428/000110465920048780/tm205324d1_ex4-22.htm" TargetMode="External"/><Relationship Id="rId11" Type="http://schemas.openxmlformats.org/officeDocument/2006/relationships/fontTable" Target="fontTable.xml"/><Relationship Id="rId1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10298</Words>
  <Characters>55369</Characters>
  <CharactersWithSpaces>65719</CharactersWithSpaces>
  <Paragraphs>515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