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Thomas 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XWELL,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XWELL,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XWEL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0000FF"/>
        </w:rPr>
        <w:t>CFO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01/06/2025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up to 37,000 shares of common stock, with such options vesting in four quarterly installments of 25% each on the first, second, third and fourth quarters after the grant date, provided that the reporting person is employed by or providing services to the Company through each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Ian Brown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01/24/2025</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3104"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2025-01-24T15:09:33Z</dcterms:created>
  <dcterms:modified xsi:type="dcterms:W3CDTF">2025-01-24T15:09:33Z</dcterms:modified>
</cp:coreProperties>
</file>