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in a Current Report on Form 8-K, filed with the Securities and Exchange Commission on January 14, 2025, on January 14, 2025, XWELL, Inc. (the “Company”) entered into a Securities Purchase Agreement (the “Purchase Agreement”) with certain accredited investors (the “Investors”), pursuant to which it agreed to sell to the Investors (i) an aggregate of 4,000 shares of the Company’s Series G Convertible Preferred Stock, with a par value of $0.01 per share and a stated value of $1,000 per share (“Stated Value”), with an initial conversion price equal to $1.496 (the “Series G Conversion Price”), (ii) Series A warrants to acquire shares of the Company’s common stock, par value $0.01 per share (“Common Stock”) at an exercise price of $1.496 per share (the “Series A Warrants”), and (iii) Series B warrants to acquire shares of Common Stock (the “Series B Warrants,” and collectively with the Series A Warrants, the “Warrants”) at an exercise price of $1.7952 per share (collectively, the “Private Placement”). The Private Placement closed on January 14, 2025 (the “Closing Date”).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3, 2025, the Company entered into a Securities Exchange and Amendment Agreement (the “Exchange Agreement”) with the Investors, pursuant to which, the Company agreed to exchange a portion of the Company’s outstanding shares of Series G Preferred Stock, including all accrued and unpaid dividends thereon equal to $1,553,806.00 in aggregate Stated Value, held by the Investors, for senior secured convertible notes (collectively, the “Notes”) in the aggregate principal amount of $3,387,138.80 (collectively, the “Exchange”). The Notes will be convertible into shares of the Company’s Common Stock in accordance with their terms and will be secured by a first priority security interest in the assets of the Company and its subsidiaries. The Exchange is being made in reliance on the exemption from registration under Section 3(a)(9) of the Securities Act of 1933, as amended (the “Securities Act”) and no additional consideration is being paid by the Investors in the exchange.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Exchange is expected to occur on or about November 5, 2025, subject to the satisfaction of customary closing conditions.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Exchange, the Company and the Investors agreed to (A) amend certain terms of the Company’s Series G Preferred Stock as set forth in a Certificate of Amendment (the “Certificate of Amendment”) to the Certificate of Designations of the Series G Convertible Preferred Stock (the “Certificate of Designations”) as described below, and (B) amend and restate the Investors’ (i) Series A warrants (the “Amended and Restated Series A Warrants”) and (ii) Series B Warrants (the “Amended and Restated Series B Warrants” and, collectively with the Amended and Restated Series A Warrants, the “Amended and Restated Warrants”) to (A) reduce the exercise price of the Warrants to $1.00, and (B)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Certificate of Amendment amends the Certificate of Designations to (i) reduce the Series G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Series G Conversion Price will be subject to price-based adjustment in the event of any issuances of Common Stock, or securities convertible, exercisable or exchangeable for Common Stock, at a price below the then-applicable Series G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The Exchange Agreement contains certain representations and warranties, covenants and indemnification provisions customary for similar transactions. The representations, warranties and covenants contained in the Exchange Agreement were made solely for the benefit of the applicable parties to the Exchange Agreement and may be subject to limitations agreed upon by the applicable contracting parties. Among other covenants, the Exchange Agreement requires the Company to hold a meeting of its stockholders not later than December 31, 2025, to seek approval (the “Stockholder Approval”) for (i) the issuance of the shares of Common Stock issuable upon conversion of the Notes under Nasdaq Stock Market Rule 5635(d) for the issuance of shares of Common Stock in excess of 19.99% of the Company’s issued and outstanding shares of Common Stock at prices below the “Minimum Price” (as defined in Rule 5635 of the Rules of the Nasdaq Stock Market) on the date of the Exchange Agreement pursuant to the terms of the Notes, (ii) the terms of the Certificate of Amendment, and (iii) the terms of the Amended and Restated Warrants.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relied upon the exemption from registration provided by Section 4(a)(2) of the Securities Act and Regulation D promulgated thereunder for transactions not involving a public offering and in reliance on Section 3(a)(9) of the Securities Act. The shares of Common Stock issuable upon Conversion of the Notes (the “Note Conversion Shares”) will be issued in transactions anticipated to be exempt from registration under the Securities Act by virtue of Section 3(a)(9) thereof because no commission or other remuneration is expected to be paid in connection with the conversion of the Notes and any resulting issuance of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Notes), and in each case subject to adjustment for stock splits, stock dividends, stock combinations, recapitalizations or other similar events.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color w:val="auto"/>
        </w:rPr>
        <w:t>The Notes include certain events of defaults,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restrictive covenants, including, among other things, requiring the Company to</w:t>
      </w:r>
    </w:p>
    <w:p>
      <w:pPr>
        <w:spacing w:after="0" w:line="1" w:lineRule="exact"/>
        <w:rPr>
          <w:sz w:val="20"/>
          <w:szCs w:val="20"/>
          <w:color w:val="auto"/>
        </w:rPr>
      </w:pPr>
    </w:p>
    <w:p>
      <w:pPr>
        <w:jc w:val="both"/>
        <w:ind w:firstLine="8"/>
        <w:spacing w:after="0" w:line="253"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unencumbered, unrestricted cash and cash equivalents on hand in amount equal to at least $1,000,000, and (B) deposit an amount equal to $1,350,000 into a newly established segregated deposit account, which may be reduced proportionally on a dollar-for-dollar basis as (i) the outstanding principal of the applicable Note is redeemed, converted or otherwise repaid in accordance with such Note, or (ii) the outstanding shares of Series G Preferred Stock are redeemed, converted or otherwise repaid in accordance with the Certificate of Designations.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Company’s ability to settle conversions using shares of Common Stock is subject to certain limitations set forth in the Notes, including a limit on the number of shares that may be issued until the time, if any, that the Company has obtained the Stockholder Approval. Further, a holder of a Note is prohibited from converting the Note into shares of Common Stock if, as a result of such conversion, the holder, together with its affiliates, would own more than 4.99% of the total number of shares of the Company’s Common Stock then issued and outstanding immediately after giving effect to the issuance of the shares of Common Stock issuable upon conversion of the Note. However, any holder may increase or decrease such percentage to any other percentage not in excess of 9.99%, provided that any increase in such percentage shall not be effective until 61 days after such notice to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Exchange Agreement, the Notes, the Certificate of Amendment, the Amended and Restated Series A Warrants and the Amended and Restated Series B Warrants do not purport to be complete and are qualified in their entirety by reference to the full text of such documents, forms of which are filed as Exhibits 10.1, 3.1, 4.1, 4.2 and 4.3, respectively,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described in Item 1.01 of this Current Report on Form 8-K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described in Item 1.01 of this Current Report on Form 8-K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described in Item 1.01 of this Current Report on Form 8-K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described in Item 1.01 of this Current Report on Form 8-K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8"/>
          <w:szCs w:val="18"/>
          <w:u w:val="single" w:color="auto"/>
          <w:color w:val="0000EE"/>
        </w:rPr>
        <w:t>Certificate of Amendment of Certificate of Designations of Series G Convertible Preferred Stock.</w:t>
      </w:r>
    </w:p>
    <w:p>
      <w:pPr>
        <w:spacing w:after="0" w:line="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u w:val="single" w:color="auto"/>
          <w:color w:val="0000EE"/>
        </w:rPr>
        <w:t>Form of Senior Secured Convertible Note.</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u w:val="single" w:color="auto"/>
          <w:color w:val="0000EE"/>
        </w:rPr>
        <w:t>Form of Amended and Restated Series A Warrant.</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4.3</w:t>
      </w:r>
      <w:r>
        <w:rPr>
          <w:sz w:val="20"/>
          <w:szCs w:val="20"/>
          <w:color w:val="auto"/>
        </w:rPr>
        <w:tab/>
      </w:r>
      <w:r>
        <w:rPr>
          <w:rFonts w:ascii="Times New Roman" w:cs="Times New Roman" w:eastAsia="Times New Roman" w:hAnsi="Times New Roman"/>
          <w:sz w:val="17"/>
          <w:szCs w:val="17"/>
          <w:u w:val="single" w:color="auto"/>
          <w:color w:val="0000EE"/>
        </w:rPr>
        <w:t>Form of Amended and Restated Series B Warrant.</w:t>
      </w:r>
    </w:p>
    <w:p>
      <w:pPr>
        <w:spacing w:after="0" w:line="9" w:lineRule="exact"/>
        <w:rPr>
          <w:sz w:val="20"/>
          <w:szCs w:val="20"/>
          <w:color w:val="auto"/>
        </w:rPr>
      </w:pPr>
    </w:p>
    <w:p>
      <w:pPr>
        <w:jc w:val="both"/>
        <w:ind w:left="640" w:right="20" w:hanging="633"/>
        <w:spacing w:after="0" w:line="250" w:lineRule="auto"/>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Form of Securities Exchange and Amendment Agreement, dated as of November 3, 2025, by and among the Company and the investors signatory thereto.</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of Amendment to the Certificate of Designations of Series G Convertible Preferred Stock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authority granted to it by the Company’s Certificate of Incorporation (as amended,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Section 151(g)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has previously fixed the rights, preferences, restrictions and other matters relating to a series of the Company’s preferred stock, consisting of 4,000 authorized shares of preferred stock, classified as Series G Convertible Preferred Stock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the Certificate of Designations of the Preferred Stock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was initially filed with the Secretary of State of the State of Delaware on January 14, 2025, evidencing such terms;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Section 31(b) of the Certificate of Designations, the Certificate of Designations or any provision thereof may be amended by obtaining the affirmative vote at a meeting duly called for such purpose, or written consent without a meeting in accordance with the DGCL, of the holders of at least a majority of the outstanding shares of Preferred Stock (the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voting separately as a single class, and with such other stockholder approval, if any, as may then be required pursuant to the DGCL and the Certificate of Incorporation;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Required Holders pursuant to the Certificate of Designations have consented, in accordance with the DGCL, on November 3, 2025, to this Amendment on the terms set forth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has duly adopted resolutions proposing to adopt this Amendment and declaring this Amendment to be advisable and in the best interest of the Company and its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this Amendment has been duly adopted in accordance with Section 242 of the DGCL and has been executed by a duly authorized officer of the Company as of the date first set forth above to amend the terms of the Certificate of Designations as follows: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4(b)(ii) of the Certificate of Designations is hereby amended and restated to read as follows:</w:t>
      </w:r>
    </w:p>
    <w:p>
      <w:pPr>
        <w:spacing w:after="0" w:line="221" w:lineRule="exact"/>
        <w:rPr>
          <w:rFonts w:ascii="Times New Roman" w:cs="Times New Roman" w:eastAsia="Times New Roman" w:hAnsi="Times New Roman"/>
          <w:sz w:val="18"/>
          <w:szCs w:val="18"/>
          <w:color w:val="auto"/>
        </w:rPr>
      </w:pPr>
    </w:p>
    <w:p>
      <w:pPr>
        <w:ind w:firstLine="656"/>
        <w:spacing w:after="0" w:line="286" w:lineRule="auto"/>
        <w:tabs>
          <w:tab w:leader="none" w:pos="91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with respect to each Preferred Share, as of any Conversion Date or other date of determination, $1.00, subject to adjustment as provided herein.</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8(a) of the Certificate of Designations is hereby amended and restated to read as follows (emphasis added):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of Conversion Price upon Issuance of Common Stock</w:t>
      </w:r>
      <w:r>
        <w:rPr>
          <w:rFonts w:ascii="Times New Roman" w:cs="Times New Roman" w:eastAsia="Times New Roman" w:hAnsi="Times New Roman"/>
          <w:sz w:val="18"/>
          <w:szCs w:val="18"/>
          <w:color w:val="auto"/>
        </w:rPr>
        <w:t>. If following the receipt of the November 2025 Stockholder Approval (as defined in that certain Securities Exchange and Amendment Agreement, dated as of [ ], 2025 by and among the Company and the Buyers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xml:space="preserve">”)), and whenever on or after the Subscription Date the Company grants, issues or sells (or enters into any agreement or publicly announces its intention to grant, issue or sell), or in accordance with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equal to the Conversion Price in effect immediately prior to such granting, issuance or sale or deemed granting, issuance or sale (such Conversion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xml:space="preserve">”), then, immediately after such Dilutive Issuance, the Conversion Price then in effect shall be reduced to an amount equal to the New Issuance Price; provided that, any adjustments that would have occurred hereunder prior to the November 2025 Stockholder Approval Date (as defined in the Exchange Agreement), shall be applied pursuant to this Section 8 on the November 2025 Stockholder Approval Date as if such event or Dilutive Issuance occurred on the November 2025 Stockholder Approval Date. For all purposes of the foregoing (including, without limitation, determining the adjusted Conversion Price and the New Issuance Price under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the following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xml:space="preserve">.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19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xml:space="preserve">.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w:t>
      </w:r>
      <w:r>
        <w:rPr>
          <w:rFonts w:ascii="Times New Roman" w:cs="Times New Roman" w:eastAsia="Times New Roman" w:hAnsi="Times New Roman"/>
          <w:sz w:val="18"/>
          <w:szCs w:val="18"/>
          <w:u w:val="single" w:color="auto"/>
          <w:color w:val="auto"/>
        </w:rPr>
        <w:t>Section 8(a)(ii)</w:t>
      </w:r>
      <w:r>
        <w:rPr>
          <w:rFonts w:ascii="Times New Roman" w:cs="Times New Roman" w:eastAsia="Times New Roman" w:hAnsi="Times New Roman"/>
          <w:sz w:val="18"/>
          <w:szCs w:val="18"/>
          <w:color w:val="auto"/>
        </w:rPr>
        <w:t xml:space="preserve">,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except as contemplated below, no further adjustment of the Conversion Price shall be made by reason of such issuance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424180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xml:space="preserve">.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rFonts w:ascii="Times New Roman" w:cs="Times New Roman" w:eastAsia="Times New Roman" w:hAnsi="Times New Roman"/>
          <w:sz w:val="18"/>
          <w:szCs w:val="18"/>
          <w:u w:val="single" w:color="auto"/>
          <w:color w:val="auto"/>
        </w:rPr>
        <w:t>Section 8(a)(iii)</w:t>
      </w:r>
      <w:r>
        <w:rPr>
          <w:rFonts w:ascii="Times New Roman" w:cs="Times New Roman" w:eastAsia="Times New Roman" w:hAnsi="Times New Roman"/>
          <w:sz w:val="18"/>
          <w:szCs w:val="18"/>
          <w:color w:val="auto"/>
        </w:rPr>
        <w:t xml:space="preserve">,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be made if such adjustment would result in an increase of the Conversion Price then in effect.</w:t>
      </w:r>
    </w:p>
    <w:p>
      <w:pPr>
        <w:spacing w:after="0" w:line="190" w:lineRule="exact"/>
        <w:rPr>
          <w:sz w:val="20"/>
          <w:szCs w:val="20"/>
          <w:color w:val="auto"/>
        </w:rPr>
      </w:pPr>
    </w:p>
    <w:p>
      <w:pPr>
        <w:jc w:val="both"/>
        <w:ind w:left="4" w:firstLine="1296"/>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Required Holders,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xml:space="preserve">”),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8(a)(ii)</w:t>
      </w:r>
      <w:r>
        <w:rPr>
          <w:rFonts w:ascii="Times New Roman" w:cs="Times New Roman" w:eastAsia="Times New Roman" w:hAnsi="Times New Roman"/>
          <w:sz w:val="18"/>
          <w:szCs w:val="18"/>
          <w:color w:val="auto"/>
        </w:rPr>
        <w:t xml:space="preserve"> above and (z) the lowest VWAP of the shares of Common Stock on any Trading Day during the five (5) Trading Day period (the “</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any Preferred Shares are converted, on any given Conversion Date during any such Adjustment Period, solely with respect to such Preferred Shares converted on such applicable Conversion Date, such applicable Adjustment Period shall be deemed to have ended on, and included, the Trading Day immediately prior to such Conversion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Holders. If such parties are unable to reach agreement within ten</w:t>
      </w:r>
    </w:p>
    <w:p>
      <w:pPr>
        <w:spacing w:after="0" w:line="8" w:lineRule="exact"/>
        <w:rPr>
          <w:sz w:val="20"/>
          <w:szCs w:val="20"/>
          <w:color w:val="auto"/>
        </w:rPr>
      </w:pPr>
    </w:p>
    <w:p>
      <w:pPr>
        <w:jc w:val="both"/>
        <w:ind w:left="4" w:hanging="4"/>
        <w:spacing w:after="0" w:line="253" w:lineRule="auto"/>
        <w:tabs>
          <w:tab w:leader="none" w:pos="3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Trading Days after the tenth (10th) day following such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 w:name="page9"/>
    <w:bookmarkEnd w:id="8"/>
    <w:p>
      <w:pPr>
        <w:ind w:left="196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Record Date</w:t>
      </w:r>
      <w:r>
        <w:rPr>
          <w:rFonts w:ascii="Times New Roman" w:cs="Times New Roman" w:eastAsia="Times New Roman" w:hAnsi="Times New Roman"/>
          <w:sz w:val="17"/>
          <w:szCs w:val="17"/>
          <w:color w:val="auto"/>
        </w:rPr>
        <w:t>. If the Company takes a record of the holders of shares of Common Stock for the purpose of entitling them</w:t>
      </w:r>
    </w:p>
    <w:p>
      <w:pPr>
        <w:spacing w:after="0" w:line="39" w:lineRule="exact"/>
        <w:rPr>
          <w:sz w:val="20"/>
          <w:szCs w:val="20"/>
          <w:color w:val="auto"/>
        </w:rPr>
      </w:pPr>
    </w:p>
    <w:p>
      <w:pPr>
        <w:jc w:val="both"/>
        <w:ind w:left="660" w:hanging="4"/>
        <w:spacing w:after="0" w:line="253"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Section 8(c) of the Certificate of Designations is hereby amended and restated to read as follows: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Holder’s Right of Adjusted Conversion Price</w:t>
      </w:r>
      <w:r>
        <w:rPr>
          <w:rFonts w:ascii="Times New Roman" w:cs="Times New Roman" w:eastAsia="Times New Roman" w:hAnsi="Times New Roman"/>
          <w:sz w:val="18"/>
          <w:szCs w:val="18"/>
          <w:color w:val="auto"/>
        </w:rPr>
        <w:t xml:space="preserve">. In addition to and not in limitation of the other provisions of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if the Company in any manner issues or sells or enters into any agreement to issue or sell, any Common Stock, Options or Convertible Securities (any such securities, “</w:t>
      </w:r>
      <w:r>
        <w:rPr>
          <w:rFonts w:ascii="Times New Roman" w:cs="Times New Roman" w:eastAsia="Times New Roman" w:hAnsi="Times New Roman"/>
          <w:sz w:val="18"/>
          <w:szCs w:val="18"/>
          <w:b w:val="1"/>
          <w:bCs w:val="1"/>
          <w:color w:val="auto"/>
        </w:rPr>
        <w:t>Variable Price Securities</w:t>
      </w:r>
      <w:r>
        <w:rPr>
          <w:rFonts w:ascii="Times New Roman" w:cs="Times New Roman" w:eastAsia="Times New Roman" w:hAnsi="Times New Roman"/>
          <w:sz w:val="18"/>
          <w:szCs w:val="18"/>
          <w:color w:val="auto"/>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cs="Times New Roman" w:eastAsia="Times New Roman" w:hAnsi="Times New Roman"/>
          <w:sz w:val="18"/>
          <w:szCs w:val="18"/>
          <w:b w:val="1"/>
          <w:bCs w:val="1"/>
          <w:color w:val="auto"/>
        </w:rPr>
        <w:t>Variable Price</w:t>
      </w:r>
      <w:r>
        <w:rPr>
          <w:rFonts w:ascii="Times New Roman" w:cs="Times New Roman" w:eastAsia="Times New Roman" w:hAnsi="Times New Roman"/>
          <w:sz w:val="18"/>
          <w:szCs w:val="18"/>
          <w:color w:val="auto"/>
        </w:rPr>
        <w:t>”), the Company shall provide written notice thereof via electronic mail and overnight courier to each Holder on the date of such agreement and/or the issuance of such shares of Common Stock, Convertible Securities or Options, as applicable. From and after the date the Company enters into such agreement or issues any such Variable Price Securities, each Holder shall have the right, but not the obligation, in its sole discretion to substitute the Variable Price for the Conversion Price upon conversion of the Preferred Shares by designating in the Conversion Notice delivered upon any conversion of Preferred Shares that solely for purposes of such conversion such Holder is relying on the Variable Price rather than the Conversion Price then in effect. A Holder’s election to rely on a Variable Price for a particular conversion of Preferred Shares shall not obligate such Holder to rely on a Variable Price for any future conversions of Preferred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Section 9(e) of the Certificate of Designations is hereby amended and restated to read as follows: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Acceleration of Installment Amounts</w:t>
      </w:r>
      <w:r>
        <w:rPr>
          <w:rFonts w:ascii="Times New Roman" w:cs="Times New Roman" w:eastAsia="Times New Roman" w:hAnsi="Times New Roman"/>
          <w:sz w:val="18"/>
          <w:szCs w:val="18"/>
          <w:color w:val="auto"/>
        </w:rPr>
        <w:t>. Notwithstanding any provision of this Section 9 to the contrary, but subject to Section 4(d), with respect to any given Installment Date (the “</w:t>
      </w:r>
      <w:r>
        <w:rPr>
          <w:rFonts w:ascii="Times New Roman" w:cs="Times New Roman" w:eastAsia="Times New Roman" w:hAnsi="Times New Roman"/>
          <w:sz w:val="18"/>
          <w:szCs w:val="18"/>
          <w:b w:val="1"/>
          <w:bCs w:val="1"/>
          <w:color w:val="auto"/>
        </w:rPr>
        <w:t>Current Installment Date</w:t>
      </w:r>
      <w:r>
        <w:rPr>
          <w:rFonts w:ascii="Times New Roman" w:cs="Times New Roman" w:eastAsia="Times New Roman" w:hAnsi="Times New Roman"/>
          <w:sz w:val="18"/>
          <w:szCs w:val="18"/>
          <w:color w:val="auto"/>
        </w:rPr>
        <w:t>”), during the period commencing on the Installment Notice Due Date immediately prior to such Current Installment Date and ending on the Trading Day immediately prior to the next Installment Date (each, an “</w:t>
      </w:r>
      <w:r>
        <w:rPr>
          <w:rFonts w:ascii="Times New Roman" w:cs="Times New Roman" w:eastAsia="Times New Roman" w:hAnsi="Times New Roman"/>
          <w:sz w:val="18"/>
          <w:szCs w:val="18"/>
          <w:b w:val="1"/>
          <w:bCs w:val="1"/>
          <w:color w:val="auto"/>
        </w:rPr>
        <w:t>Installment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each Holder and the Company may mutually agree, at one or more times in such Installment Period, to convert other Preferred Shares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and such aggregate number of Preferred Shares in an Acceleration, each, an “</w:t>
      </w:r>
      <w:r>
        <w:rPr>
          <w:rFonts w:ascii="Times New Roman" w:cs="Times New Roman" w:eastAsia="Times New Roman" w:hAnsi="Times New Roman"/>
          <w:sz w:val="18"/>
          <w:szCs w:val="18"/>
          <w:b w:val="1"/>
          <w:bCs w:val="1"/>
          <w:color w:val="auto"/>
        </w:rPr>
        <w:t>Acceleration Amount</w:t>
      </w:r>
      <w:r>
        <w:rPr>
          <w:rFonts w:ascii="Times New Roman" w:cs="Times New Roman" w:eastAsia="Times New Roman" w:hAnsi="Times New Roman"/>
          <w:sz w:val="18"/>
          <w:szCs w:val="18"/>
          <w:color w:val="auto"/>
        </w:rPr>
        <w:t>”, and the Conversion Date of any such Acceleration, each an “</w:t>
      </w:r>
      <w:r>
        <w:rPr>
          <w:rFonts w:ascii="Times New Roman" w:cs="Times New Roman" w:eastAsia="Times New Roman" w:hAnsi="Times New Roman"/>
          <w:sz w:val="18"/>
          <w:szCs w:val="18"/>
          <w:b w:val="1"/>
          <w:bCs w:val="1"/>
          <w:color w:val="auto"/>
        </w:rPr>
        <w:t>Acceleration Date</w:t>
      </w:r>
      <w:r>
        <w:rPr>
          <w:rFonts w:ascii="Times New Roman" w:cs="Times New Roman" w:eastAsia="Times New Roman" w:hAnsi="Times New Roman"/>
          <w:sz w:val="18"/>
          <w:szCs w:val="18"/>
          <w:color w:val="auto"/>
        </w:rPr>
        <w:t xml:space="preserve">”), including any Deferral Amounts with respect to such Current Installment Date, in whole or in part, at the Acceleration Conversion Price of such Current Installment Date in accordance with the conversion procedures set forth in Section 4 hereunder,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provided, that if a Conversion Floor Price Condition exists with respect to such Acceleration Date, with each Acceleration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deliver to the Holder the Acceleration Floor Amount on the applicable Share Delivery Deadline. For clarity, any Acceleration Amount shall be applied to the Installment Redemptions in inverse order from the Maturity Date unless otherwise indicated by the Holder. For purposes hereof,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with respect to any given Acceleration Date, the lower of (i) the Installment Conversion Price for such Current Installment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such Acceleration Date and (ii) the greater of (x) the Floor Price and (y) the lowest of (A) 80% of the VWAP of the shares of Common Stock as of the Trading Day immediately preceding the applicable Acceleration Date, and (B) 80% of the quotient of (I) the sum of the VWAP of the shares of Common Stock for each of the three (3) Trading Days with the lowest VWAP of the shares of Common Stock during the thirty (30) consecutive Trading Day period ending and including the Trading Day immediately prior to such Acceleration Date, divided by (II) three (3). All such determinations to be appropriately adjusted for any share split, share dividend, stock combination or other similar transaction during any such measuring period. For purposes hereof, “</w:t>
      </w:r>
      <w:r>
        <w:rPr>
          <w:rFonts w:ascii="Times New Roman" w:cs="Times New Roman" w:eastAsia="Times New Roman" w:hAnsi="Times New Roman"/>
          <w:sz w:val="18"/>
          <w:szCs w:val="18"/>
          <w:b w:val="1"/>
          <w:bCs w:val="1"/>
          <w:color w:val="auto"/>
        </w:rPr>
        <w:t>Acceleration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a Holder in writing, equal to the product obtained by multiplying (A) the higher of (I) the highest price that the Common Stock trades at on the Trading Day immediately preceding the relevant Acceleration Date with respect to such Acceleration and (II) the applicable Acceleration Conversion Price of such Acceleration Date and (B) the difference obtained by subtracting (I) the number of shares of Common Stock delivered (or to be delivered) to the Holder on the applicable Share Delivery Deadline with respect to such Acceleration from (II) the quotient obtain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4.              Section 14(p) of the Certificate of Designations is hereby amended and restated to read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Section 32(rr) of the Certificate of Designations is hereby amended and restated to read as follows:</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as of any given date and as applicable, in connection with any conversion, redemption or other repayment hereunder, an amount equal to the amount of additional Dividends that would accrue under this Certificate of Designations at the Dividend Rate then in effect assuming for calculation purposes that the Stated Value of this Certificate of Designations as of the Closing Date remained outstanding through and including the Maturity Date.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IN WITNESS WHEREOF, the Company has caused this Amendment to be signed by its duly authorized officer this [ ] day of [ ], 2025.</w:t>
      </w:r>
    </w:p>
    <w:p>
      <w:pPr>
        <w:sectPr>
          <w:pgSz w:w="11900" w:h="16838" w:orient="portrait"/>
          <w:cols w:equalWidth="0" w:num="1">
            <w:col w:w="10139"/>
          </w:cols>
          <w:pgMar w:left="320" w:top="904" w:right="1440" w:bottom="1440" w:gutter="0" w:footer="0" w:header="0"/>
        </w:sectPr>
      </w:pP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8890</wp:posOffset>
            </wp:positionV>
            <wp:extent cx="3060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SENIOR SECURED CONVERTIBLE NOTE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TRANSFEREE OF THIS NOTE SHOULD CAREFULLY REVIEW THE TERMS OF THIS NOTE, INCLUDING SECTIONS 3(c)</w:t>
      </w:r>
    </w:p>
    <w:p>
      <w:pPr>
        <w:spacing w:after="0" w:line="31" w:lineRule="exact"/>
        <w:rPr>
          <w:sz w:val="20"/>
          <w:szCs w:val="20"/>
          <w:color w:val="auto"/>
        </w:rPr>
      </w:pPr>
    </w:p>
    <w:p>
      <w:pPr>
        <w:jc w:val="both"/>
        <w:ind w:firstLine="8"/>
        <w:spacing w:after="0" w:line="255" w:lineRule="auto"/>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AND 20(a) HEREOF. THE PRINCIPAL AMOUNT REPRESENTED BY THIS NOTE AND, ACCORDINGLY, THE SECURITIES ISSUABLE UPON CONVERSION HEREOF MAY BE LESS THAN THE AMOUNTS SET FORTH ON THE FACE HEREOF PURSUANT TO SECTION 3(c)(iii) OF THIS NOTE.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p>
    <w:p>
      <w:pPr>
        <w:sectPr>
          <w:pgSz w:w="11900" w:h="16838" w:orient="portrait"/>
          <w:cols w:equalWidth="0" w:num="1">
            <w:col w:w="11240"/>
          </w:cols>
          <w:pgMar w:left="320" w:top="351" w:right="3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Issuance Date: [ ],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Original Principal Amount: US $[_]</w:t>
      </w:r>
    </w:p>
    <w:p>
      <w:pPr>
        <w:spacing w:after="0" w:line="200" w:lineRule="exact"/>
        <w:rPr>
          <w:sz w:val="20"/>
          <w:szCs w:val="20"/>
          <w:color w:val="auto"/>
        </w:rPr>
      </w:pPr>
    </w:p>
    <w:p>
      <w:pPr>
        <w:sectPr>
          <w:pgSz w:w="11900" w:h="16838" w:orient="portrait"/>
          <w:cols w:equalWidth="0" w:num="2">
            <w:col w:w="5120" w:space="720"/>
            <w:col w:w="5400"/>
          </w:cols>
          <w:pgMar w:left="320" w:top="351" w:right="339" w:bottom="1440" w:gutter="0" w:footer="0" w:header="0"/>
          <w:type w:val="continuous"/>
        </w:sectPr>
      </w:pP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____________ or its</w:t>
      </w:r>
    </w:p>
    <w:p>
      <w:pPr>
        <w:spacing w:after="0" w:line="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registered assigns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the Outstanding Principal Value of the amount set forth above as the Original Principal Amount (as may be reduced pursuant to the terms hereof pursuant to redemption, conversion or otherwise, the “</w:t>
      </w:r>
      <w:r>
        <w:rPr>
          <w:rFonts w:ascii="Times New Roman" w:cs="Times New Roman" w:eastAsia="Times New Roman" w:hAnsi="Times New Roman"/>
          <w:sz w:val="17"/>
          <w:szCs w:val="17"/>
          <w:b w:val="1"/>
          <w:bCs w:val="1"/>
          <w:color w:val="auto"/>
        </w:rPr>
        <w:t>Principal</w:t>
      </w:r>
      <w:r>
        <w:rPr>
          <w:rFonts w:ascii="Times New Roman" w:cs="Times New Roman" w:eastAsia="Times New Roman" w:hAnsi="Times New Roman"/>
          <w:sz w:val="17"/>
          <w:szCs w:val="17"/>
          <w:color w:val="auto"/>
        </w:rPr>
        <w:t>”) when due, whether upon the Maturity Date, on any Installment Date with respect to the Installment Amount due on such Installment Date (each as defined below), or upon acceleration, redemption or otherwise (in each case in accordance with the terms hereof) and to pay interest (“</w:t>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 on the Outstanding Principal Value of this Note at the applicable Interest Rate from the date set forth above as the Issuance Date (the “</w:t>
      </w:r>
      <w:r>
        <w:rPr>
          <w:rFonts w:ascii="Times New Roman" w:cs="Times New Roman" w:eastAsia="Times New Roman" w:hAnsi="Times New Roman"/>
          <w:sz w:val="17"/>
          <w:szCs w:val="17"/>
          <w:b w:val="1"/>
          <w:bCs w:val="1"/>
          <w:color w:val="auto"/>
        </w:rPr>
        <w:t>Issuance Date</w:t>
      </w:r>
      <w:r>
        <w:rPr>
          <w:rFonts w:ascii="Times New Roman" w:cs="Times New Roman" w:eastAsia="Times New Roman" w:hAnsi="Times New Roman"/>
          <w:sz w:val="17"/>
          <w:szCs w:val="17"/>
          <w:color w:val="auto"/>
        </w:rPr>
        <w:t>”) until the same becomes due and payable, whether upon the Maturity Date, on any Installment Date with respect to the Installment Amount due on such Installment Date, or upon acceleration, conversion, redemption or otherwise (in each case in accordance with the terms hereof). This Senior Secured Convertible Note (including all Senior Secured Convertible Notes issued in exchange, transfer or replacement hereof, this “</w:t>
      </w: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 is one of an issue of Senior Secured Convertible Notes issued pursuant to (i) the Securities Purchase Agreement (the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dated January 14, 2025, by and among the Company and the holders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referred to therein, and</w:t>
      </w:r>
    </w:p>
    <w:p>
      <w:pPr>
        <w:spacing w:after="0" w:line="1" w:lineRule="exact"/>
        <w:rPr>
          <w:sz w:val="20"/>
          <w:szCs w:val="20"/>
          <w:color w:val="auto"/>
        </w:rPr>
      </w:pPr>
    </w:p>
    <w:p>
      <w:pPr>
        <w:jc w:val="both"/>
        <w:ind w:firstLine="8"/>
        <w:spacing w:after="0" w:line="255" w:lineRule="auto"/>
        <w:tabs>
          <w:tab w:leader="none" w:pos="2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 and Amendment Agreement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dated as of November 3, 2025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by and among the Company and the Investors, as amended from time to time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Senior Secured Convertible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Certain capitalized terms used herein are defined in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On each Installment Date, the Company shall pay to the Holder an amount equal to the Installment Amount due on such Installment Date in accordance with Section 8. On the Maturity Date, the Company shall pay to the Holder an amount in cash (excluding any amounts paid in shares of Common Stock on the Maturity Date in accordance with Section 8) representing the Outstanding Value of this Note as of the Maturity Date. Other than as specifically permitted by this Note, the Company may not prepay any portion of the Outstanding Principal Value, accrued and unpaid Interest or accrued and unpaid Late Charges on Outstanding Principal Value and Interest. Notwithstanding anything herein to the contrary, with respect to any conversion or redemption hereunder, as applicable, the Company shall convert or redeem, as applicable,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accrued and unpaid Late Charges on any Outstanding Principal Value and Interest hereunder and under any Other Notes held by the Holder and all other amounts owed to the Holder under any other Transaction Document,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all accrued and unpaid Interest hereunder and under any Other Notes held by such Holder,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all other amounts (other than Outstanding Principal Value) outstanding under any Other Notes held by such Holder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all Outstanding Principal Value hereunder and under any Other Notes held by such Holder, in each case, allocated pro rata among this Note and such Other Notes held by such Holder.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INTEREST; INTEREST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Interest on this Note shall commence accruing on the Issuance Date and shall be computed on the Outstanding Principal Value of this Note and on basis of a 360-day year and twelve 30-day months and shall be payable in arrears on each Interest Date and shall compound each calendar quarter and shall be payable in accordance with the terms of this Note. Interest shall be paid (i) on each Interest Date occurring on an Installment Date in accordance with Section 8 as part of the applicable Installment Amount due on the applicable Installment Date and (ii) with respect to each other Interest Date not occurring on an Installment Date, on such Interest Date in cash.</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Prior to the payment of Interest on an Interest Date, Interest on this Note shall accrue at the Interest Rate and be payable by way of inclusion of the Interest in the Conversion Amount on each Conversion Date in accordance with Section 3(b)(i) or upon any redemption in accordance with Section 13 or any required payment upon any Bankruptcy Event of Default. From and after the occurrence and during the continuance of any Event of Default (regardless of whether the Company has delivered an Event of Default Notice to the Holder or if the Holder has delivered an Event of Default Redemption Notice to the Company or otherwise notified the Company that an Event of Default has occurred), the Interest Rate shall automatically be increased to fifteen percent (15.0%) per annum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In the event that such Event of Default is subsequently cured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Issuance Date, this Note shall be convertible into validly issued, fully paid and non-assessable shares of Common Stock (as defined below), on the terms and conditions set forth in this Section 3.</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shares of Common Stock upon conversion of any Conversion Amount.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320" w:firstLine="972"/>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portion of the Outstanding Principal Value of this Note to be converted, redeemed or otherwise with respect to which this determination is being made, (B) accrued and unpaid Interest with respect to such Outstanding Principal Value of this Note, (C) accrued and unpaid Late Charges with respect to such Outstanding Principal Value of this Note and Interest, (D) the Make-Whole Amount, and (E) any other unpaid amounts pursuant to the Transaction Documents, if any.</w:t>
      </w:r>
    </w:p>
    <w:p>
      <w:pPr>
        <w:spacing w:after="0" w:line="176" w:lineRule="exact"/>
        <w:rPr>
          <w:sz w:val="20"/>
          <w:szCs w:val="20"/>
          <w:color w:val="auto"/>
        </w:rPr>
      </w:pPr>
    </w:p>
    <w:p>
      <w:pPr>
        <w:jc w:val="both"/>
        <w:ind w:left="320" w:right="20" w:firstLine="972"/>
        <w:spacing w:after="0" w:line="28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$1.00, subject to adjustment as provided herein.</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320" w:firstLine="972"/>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Holder shall deliver (whether via electronic mail or otherwise), for receipt on or prior to 11:59 p.m., New York time, on such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to the Company. If required by Section 3(c)(iii), within two (2) Trading Days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or before the first (1st) Trading Day following the date of receipt of a Conversion Notice, the Company shall transmit by electronic mail an acknowledgment,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of confirmation of receipt of such Conversion Notice and representation as to whether such shares of Common Stock may then be resold pursuant to Rule 144 or an effective and available registration statement (each, an “</w:t>
      </w:r>
      <w:r>
        <w:rPr>
          <w:rFonts w:ascii="Times New Roman" w:cs="Times New Roman" w:eastAsia="Times New Roman" w:hAnsi="Times New Roman"/>
          <w:sz w:val="18"/>
          <w:szCs w:val="18"/>
          <w:b w:val="1"/>
          <w:bCs w:val="1"/>
          <w:color w:val="auto"/>
        </w:rPr>
        <w:t>Acknowledgment</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Exchange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Company shall (1) provided that the Transfer Agent is participating in The Depository Trust Company’s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Value of this Note is greater than the Outstanding Principal Value portion of the Conversion Amount being converted, then the Company shall as soon as practicable and in no event later than two (2) Business Days after receipt of this Note and at its own expense, issue and deliver to the Holder (or its designee) a new Note (in accordance with Section 19(d)) representing the Outstanding Principal Value of this Note not converted. The Person or Persons entitled to receive the shares of Common Stock issuable upon a conversion of this Note shall be treated for all purposes as the record holder or holders of such shares of Common Stock on the Conversion Date. In the event of a partial conversion of this Note pursuant hereto, the Outstanding Principal Value of this Note converted shall be deducted from the Installment Amount(s) relating to the Installment Date(s) as set forth in the applicable Conversion Notice.</w:t>
      </w: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Deadline,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 to the Holder on each day after such Share Delivery Deadline that the issuance of such shares of Common Stock is not timely effected an amount equal to 1.0% of the product of (A) the sum of the number of shares of Common Stock not issued to the Holder on or prior to the Share Delivery Deadline and to which the Holder is entitled, multiplied by (B) any trading price of the shares of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shares of Common Stock on any Trading Day during the period commencing on the date of the applicable Conversion Notice and ending on the date of such issuance and payment under this clause (II).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5" w:name="page16"/>
    <w:bookmarkEnd w:id="15"/>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Outstanding Principal Value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the Holder has provided the Company with prior written notice (which notice may be included in a Conversion Notice) requesting reissuance of this Note upon physical surrender of this Note. The Holder and the Company shall maintain records showing the Outstanding Principal Value,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Outstanding Principal Value,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9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 If a Conversion Notice delivered to the Company would result in the issuance of a number of shares of Common Stock in excess of the Maximum Percentage, and the Holder does not elect in writing to withdraw such Conversion Notice, the Company shall hold such Conversion Notice in abeyance until such time as such Conversion Notice may be satisfied without causing the issuance of a number of shares of Common Stock in excess of the Maximum Percentage (with such calculations thereunder made as of the date such Conversion Notice was initially delivered to the Company).</w:t>
      </w:r>
    </w:p>
    <w:p>
      <w:pPr>
        <w:spacing w:after="0" w:line="200" w:lineRule="exact"/>
        <w:rPr>
          <w:sz w:val="20"/>
          <w:szCs w:val="20"/>
          <w:color w:val="auto"/>
        </w:rPr>
      </w:pP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0"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Limitations on Conversions</w:t>
      </w:r>
      <w:r>
        <w:rPr>
          <w:rFonts w:ascii="Times New Roman" w:cs="Times New Roman" w:eastAsia="Times New Roman" w:hAnsi="Times New Roman"/>
          <w:sz w:val="17"/>
          <w:szCs w:val="17"/>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Exchange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Commission,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Outstanding Share Number</w:t>
      </w:r>
      <w:r>
        <w:rPr>
          <w:rFonts w:ascii="Times New Roman" w:cs="Times New Roman" w:eastAsia="Times New Roman" w:hAnsi="Times New Roman"/>
          <w:sz w:val="17"/>
          <w:szCs w:val="17"/>
          <w:color w:val="auto"/>
        </w:rPr>
        <w:t>”). If the Company receives a Conversion Notice from the Holder at a time when the actual number of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7"/>
          <w:szCs w:val="17"/>
          <w:b w:val="1"/>
          <w:bCs w:val="1"/>
          <w:color w:val="auto"/>
        </w:rPr>
        <w:t>Excess Shares</w:t>
      </w:r>
      <w:r>
        <w:rPr>
          <w:rFonts w:ascii="Times New Roman" w:cs="Times New Roman" w:eastAsia="Times New Roman" w:hAnsi="Times New Roman"/>
          <w:sz w:val="17"/>
          <w:szCs w:val="17"/>
          <w:color w:val="auto"/>
        </w:rPr>
        <w:t xml:space="preserve">”) shall be deemed null and void and shall be cancelled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the Holder shall not have the power to vote or to transfer the Excess Shares. Upon delivery of a written notice to the Company, the Holder may from time to time increase (with such increase</w:t>
      </w:r>
    </w:p>
    <w:p>
      <w:pPr>
        <w:spacing w:after="0" w:line="21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 until the sixty-</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Exchange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and shall apply to a successor holder of this Note.</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Exchange Regulations.</w:t>
      </w:r>
      <w:r>
        <w:rPr>
          <w:rFonts w:ascii="Times New Roman" w:cs="Times New Roman" w:eastAsia="Times New Roman" w:hAnsi="Times New Roman"/>
          <w:sz w:val="18"/>
          <w:szCs w:val="18"/>
          <w:color w:val="auto"/>
        </w:rPr>
        <w:t xml:space="preserve"> The Company shall not issue any shares of Common Stock upon the conversion of this Note if the issuance of such shares of Common Stock would exceed the aggregate number of shares of Common Stock which the Company may issue upon exercise or conversion or otherwise pursuant to the terms of the Notes without breaching the Company’s obligations under the rules or regulations of the Principal Market (the number of shares which may be issued without violating such rules and regulations,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November 2025 Stockholder Approval as required by the applicable rules of the Principal Market for issuances of shares of Common Stock in excess of the Exchange Cap or (B) obtains a written opinion from outside counsel to the Company that such approval is not required, which opinion shall be reasonably satisfactory to the Holder. Until such November 2025 Stockholder Approval or such written opinion is obtained, no Holder of the Notes shall be issued in the aggregate, upon conversion of any of the Notes, shares of Common Stock in an amount greater than the product of (i) the Exchange Cap as of the Issuance Date multiplied by (ii) the Holder Pro Rata Amount (with respect to each Holder,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the Holder shall sell or otherwise transfer this Note, the transferee shall be allocated a pro rata portion of such Holder’s Exchange Cap Allocation with respect to such portion of this Note so transferred, and the restrictions of the prior sentence shall apply to such transferee with respect to the portion of the Exchange Cap Allocation so allocated to such transferee. Upon conversion in full of this Note, the difference (if any) between such holder’s Exchange Cap Allocation and the number of shares of Common Stock to be actually issued to such holder upon such holder’s conversion in full of this Note shall be allocated, to the respective Exchange Cap Allocations of the remaining holders of the Other Notes on a pro rata basis in proportion to the shares of Common Stock underlying the Other Notes then held by each such holder of the Other Notes.</w:t>
      </w: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Right of Alternate Conversion Upon an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1620"/>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Section 3(d), at any time after the occurrence of an Event of Default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 w:cs="Times New Roman" w:eastAsia="Times New Roman" w:hAnsi="Times New Roman"/>
          <w:sz w:val="18"/>
          <w:szCs w:val="18"/>
          <w:b w:val="1"/>
          <w:bCs w:val="1"/>
          <w:color w:val="auto"/>
        </w:rPr>
        <w:t>Alternate Conversion</w:t>
      </w:r>
      <w:r>
        <w:rPr>
          <w:rFonts w:ascii="Times New Roman" w:cs="Times New Roman" w:eastAsia="Times New Roman" w:hAnsi="Times New Roman"/>
          <w:sz w:val="18"/>
          <w:szCs w:val="18"/>
          <w:color w:val="auto"/>
        </w:rPr>
        <w:t>”, and the date of such Alternate Conversion, each, an “</w:t>
      </w:r>
      <w:r>
        <w:rPr>
          <w:rFonts w:ascii="Times New Roman" w:cs="Times New Roman" w:eastAsia="Times New Roman" w:hAnsi="Times New Roman"/>
          <w:sz w:val="18"/>
          <w:szCs w:val="18"/>
          <w:b w:val="1"/>
          <w:b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all, or any part of, the Conversion Amount (such portion of the Conversion Amount subject to such Alternate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shares of Common Stock at the Alternate Conversion Price.</w:t>
      </w:r>
    </w:p>
    <w:p>
      <w:pPr>
        <w:spacing w:after="0" w:line="187" w:lineRule="exact"/>
        <w:rPr>
          <w:sz w:val="20"/>
          <w:szCs w:val="20"/>
          <w:color w:val="auto"/>
        </w:rPr>
      </w:pPr>
    </w:p>
    <w:p>
      <w:pPr>
        <w:jc w:val="both"/>
        <w:ind w:left="320" w:firstLine="1620"/>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Mechanics of Alternate Conversion</w:t>
      </w:r>
      <w:r>
        <w:rPr>
          <w:rFonts w:ascii="Times New Roman" w:cs="Times New Roman" w:eastAsia="Times New Roman" w:hAnsi="Times New Roman"/>
          <w:sz w:val="18"/>
          <w:szCs w:val="18"/>
          <w:color w:val="auto"/>
        </w:rPr>
        <w:t>. On any Alternate Conversion Date, the Holder may voluntarily convert any Alternate Conversion Amount pursuant to Section 3(c) (with “Alternate Conversion Price” replacing “Conversion Price” for all purposes hereunder with respect to such Alternate Conversion and with “Redemption Premium multiplied by the Conversion Amount” replacing “Conversion Amount” in clause (x) of the definition of Conversion Rate above with respect to such Alternate Conversion) by designating in the Conversion Notice delivered pursuant to this Section 3(f)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3(f),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RIGHTS UPON EVENT OF DEFAULT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clauses (viii), (x) and (ix)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320" w:right="20" w:firstLine="1620"/>
        <w:spacing w:after="0" w:line="282" w:lineRule="auto"/>
        <w:rPr>
          <w:sz w:val="20"/>
          <w:szCs w:val="20"/>
          <w:color w:val="auto"/>
        </w:rPr>
      </w:pPr>
      <w:r>
        <w:rPr>
          <w:rFonts w:ascii="Times New Roman" w:cs="Times New Roman" w:eastAsia="Times New Roman" w:hAnsi="Times New Roman"/>
          <w:sz w:val="18"/>
          <w:szCs w:val="18"/>
          <w:color w:val="auto"/>
        </w:rPr>
        <w:t>(i)            the suspension from trading or the failure of the Common Stock to be trading or listed (as applicable) on an Eligible Market for a period of five (5) consecutive Trading Days;</w:t>
      </w:r>
    </w:p>
    <w:p>
      <w:pPr>
        <w:spacing w:after="0" w:line="162" w:lineRule="exact"/>
        <w:rPr>
          <w:sz w:val="20"/>
          <w:szCs w:val="20"/>
          <w:color w:val="auto"/>
        </w:rPr>
      </w:pPr>
    </w:p>
    <w:p>
      <w:pPr>
        <w:jc w:val="both"/>
        <w:ind w:left="320" w:firstLine="1620"/>
        <w:spacing w:after="0" w:line="258" w:lineRule="auto"/>
        <w:rPr>
          <w:sz w:val="20"/>
          <w:szCs w:val="20"/>
          <w:color w:val="auto"/>
        </w:rPr>
      </w:pPr>
      <w:r>
        <w:rPr>
          <w:rFonts w:ascii="Times New Roman" w:cs="Times New Roman" w:eastAsia="Times New Roman" w:hAnsi="Times New Roman"/>
          <w:sz w:val="18"/>
          <w:szCs w:val="18"/>
          <w:color w:val="auto"/>
        </w:rPr>
        <w:t>(ii)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(iii)          the Company’s or any Subsidiary’s failure to pay to the Holder any amount of Outstanding Value of this Note or other amounts when and as due under this Note (including, without limitation, the Company’s or any Subsidiary’s failure to pay any Interest, Installment Amount, Late Charges, Make-Whole Amount, redemption payments or amounts hereunder) or any other Transaction Document (as defined in the Exchange Agreement) or any other agreement, document, certificate or other instrument delivered in connection with the transactions contemplated hereby and thereby, if such failure remains uncured for a period of at least five (5) Trading Days;</w:t>
      </w:r>
    </w:p>
    <w:p>
      <w:pPr>
        <w:spacing w:after="0" w:line="183"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(iv)          the Company fails to remove any restrictive legend on any certificate or any shares of Common Stock issued to the Holder upon conversion of the Notes as and when required by such Securities or the Exchange Agreement, unless otherwise then prohibited by applicable federal securities laws, and any such failure remains uncured for at least five (5) Trading Days;</w:t>
      </w:r>
    </w:p>
    <w:p>
      <w:pPr>
        <w:spacing w:after="0" w:line="176" w:lineRule="exact"/>
        <w:rPr>
          <w:sz w:val="20"/>
          <w:szCs w:val="20"/>
          <w:color w:val="auto"/>
        </w:rPr>
      </w:pPr>
    </w:p>
    <w:p>
      <w:pPr>
        <w:jc w:val="both"/>
        <w:ind w:right="20" w:firstLine="1620"/>
        <w:spacing w:after="0" w:line="282" w:lineRule="auto"/>
        <w:rPr>
          <w:sz w:val="20"/>
          <w:szCs w:val="20"/>
          <w:color w:val="auto"/>
        </w:rPr>
      </w:pPr>
      <w:r>
        <w:rPr>
          <w:rFonts w:ascii="Times New Roman" w:cs="Times New Roman" w:eastAsia="Times New Roman" w:hAnsi="Times New Roman"/>
          <w:sz w:val="18"/>
          <w:szCs w:val="18"/>
          <w:color w:val="auto"/>
        </w:rPr>
        <w:t>(v)           the occurrence of any default under, redemption of or acceleration prior to maturity of at least an aggregate of $500,000 of Indebtedness of the Company or any of its Subsidiaries, other than with respect to any Other Notes;</w:t>
      </w:r>
    </w:p>
    <w:p>
      <w:pPr>
        <w:spacing w:after="0" w:line="162"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(vi)          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176"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(vii)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90"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(viii)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200" w:lineRule="exact"/>
        <w:rPr>
          <w:sz w:val="20"/>
          <w:szCs w:val="20"/>
          <w:color w:val="auto"/>
        </w:rPr>
      </w:pPr>
    </w:p>
    <w:p>
      <w:pPr>
        <w:spacing w:after="0" w:line="20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0" w:name="page21"/>
    <w:bookmarkEnd w:id="20"/>
    <w:p>
      <w:pPr>
        <w:jc w:val="both"/>
        <w:ind w:firstLine="1620"/>
        <w:spacing w:after="0" w:line="254" w:lineRule="auto"/>
        <w:rPr>
          <w:sz w:val="20"/>
          <w:szCs w:val="20"/>
          <w:color w:val="auto"/>
        </w:rPr>
      </w:pPr>
      <w:r>
        <w:rPr>
          <w:rFonts w:ascii="Times New Roman" w:cs="Times New Roman" w:eastAsia="Times New Roman" w:hAnsi="Times New Roman"/>
          <w:sz w:val="18"/>
          <w:szCs w:val="18"/>
          <w:color w:val="auto"/>
        </w:rPr>
        <w:t>(ix)          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92"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18"/>
          <w:szCs w:val="18"/>
          <w:color w:val="auto"/>
        </w:rPr>
        <w:t>(x)           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but only if such failure or occurrence remains uncured for a period of at least five (5) days;</w:t>
      </w:r>
    </w:p>
    <w:p>
      <w:pPr>
        <w:spacing w:after="0" w:line="192"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18"/>
          <w:szCs w:val="18"/>
          <w:color w:val="auto"/>
        </w:rPr>
        <w:t>(xi)           other than as specifically set forth in another clause of this Section 4(a), the Company or any Subsidiary breaches any representation or warranty in any material respect (other than the representations or warranties subject to material adverse effect or materiality, which may not be breached in any respect) or any covenant or other term or condition, in each case, set forth in any of the Transaction Documents, except, in the case of a breach of a covenant or term or condition that is curable, only if such breach remains uncured for a period of five (5) consecutive Trading Days;</w:t>
      </w:r>
    </w:p>
    <w:p>
      <w:pPr>
        <w:spacing w:after="0" w:line="183" w:lineRule="exact"/>
        <w:rPr>
          <w:sz w:val="20"/>
          <w:szCs w:val="20"/>
          <w:color w:val="auto"/>
        </w:rPr>
      </w:pPr>
    </w:p>
    <w:p>
      <w:pPr>
        <w:jc w:val="both"/>
        <w:ind w:firstLine="1620"/>
        <w:spacing w:after="0" w:line="266" w:lineRule="auto"/>
        <w:rPr>
          <w:sz w:val="20"/>
          <w:szCs w:val="20"/>
          <w:color w:val="auto"/>
        </w:rPr>
      </w:pPr>
      <w:r>
        <w:rPr>
          <w:rFonts w:ascii="Times New Roman" w:cs="Times New Roman" w:eastAsia="Times New Roman" w:hAnsi="Times New Roman"/>
          <w:sz w:val="18"/>
          <w:szCs w:val="18"/>
          <w:color w:val="auto"/>
        </w:rPr>
        <w:t>(xii)          a false or inaccurate certification (including a false or inaccurate deemed certification) by the Company that either (A) the Equity Conditions are satisfied, (B) there has been no Equity Conditions Failure, or (C) as to whether any Event of Default has occurred;</w:t>
      </w:r>
    </w:p>
    <w:p>
      <w:pPr>
        <w:spacing w:after="0" w:line="176" w:lineRule="exact"/>
        <w:rPr>
          <w:sz w:val="20"/>
          <w:szCs w:val="20"/>
          <w:color w:val="auto"/>
        </w:rPr>
      </w:pPr>
    </w:p>
    <w:p>
      <w:pPr>
        <w:jc w:val="both"/>
        <w:ind w:firstLine="1620"/>
        <w:spacing w:after="0" w:line="282" w:lineRule="auto"/>
        <w:rPr>
          <w:sz w:val="20"/>
          <w:szCs w:val="20"/>
          <w:color w:val="auto"/>
        </w:rPr>
      </w:pPr>
      <w:r>
        <w:rPr>
          <w:rFonts w:ascii="Times New Roman" w:cs="Times New Roman" w:eastAsia="Times New Roman" w:hAnsi="Times New Roman"/>
          <w:sz w:val="18"/>
          <w:szCs w:val="18"/>
          <w:color w:val="auto"/>
        </w:rPr>
        <w:t>(xiii)         any breach or failure in any respect by the Company or any Subsidiary to comply with any provision of Section 15 of this Note;</w:t>
      </w:r>
    </w:p>
    <w:p>
      <w:pPr>
        <w:spacing w:after="0" w:line="3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1" w:name="page22"/>
    <w:bookmarkEnd w:id="21"/>
    <w:p>
      <w:pPr>
        <w:jc w:val="both"/>
        <w:ind w:left="320" w:firstLine="1620"/>
        <w:spacing w:after="0" w:line="282" w:lineRule="auto"/>
        <w:rPr>
          <w:sz w:val="20"/>
          <w:szCs w:val="20"/>
          <w:color w:val="auto"/>
        </w:rPr>
      </w:pPr>
      <w:r>
        <w:rPr>
          <w:rFonts w:ascii="Times New Roman" w:cs="Times New Roman" w:eastAsia="Times New Roman" w:hAnsi="Times New Roman"/>
          <w:sz w:val="18"/>
          <w:szCs w:val="18"/>
          <w:color w:val="auto"/>
        </w:rPr>
        <w:t>(xiv)        any Material Adverse Effect (as defined in the Securities Purchase Agreement) occurs that has not been cured, if capable of curing, within ten (10) Trading Days of the occurrence thereof;</w:t>
      </w:r>
    </w:p>
    <w:p>
      <w:pPr>
        <w:spacing w:after="0" w:line="162" w:lineRule="exact"/>
        <w:rPr>
          <w:sz w:val="20"/>
          <w:szCs w:val="20"/>
          <w:color w:val="auto"/>
        </w:rPr>
      </w:pPr>
    </w:p>
    <w:p>
      <w:pPr>
        <w:jc w:val="both"/>
        <w:ind w:left="320" w:firstLine="1620"/>
        <w:spacing w:after="0" w:line="258" w:lineRule="auto"/>
        <w:rPr>
          <w:sz w:val="20"/>
          <w:szCs w:val="20"/>
          <w:color w:val="auto"/>
        </w:rPr>
      </w:pPr>
      <w:r>
        <w:rPr>
          <w:rFonts w:ascii="Times New Roman" w:cs="Times New Roman" w:eastAsia="Times New Roman" w:hAnsi="Times New Roman"/>
          <w:sz w:val="18"/>
          <w:szCs w:val="18"/>
          <w:color w:val="auto"/>
        </w:rPr>
        <w:t>(xv)         any provision of any Transaction Document shall at any time for any reason (other than pursuant to the express terms thereof) cease to be valid and binding on or enforceable against the Company, or the validity or enforceability thereof shall be contested by the Company or any Subsidiary,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w:t>
      </w:r>
    </w:p>
    <w:p>
      <w:pPr>
        <w:spacing w:after="0" w:line="187" w:lineRule="exact"/>
        <w:rPr>
          <w:sz w:val="20"/>
          <w:szCs w:val="20"/>
          <w:color w:val="auto"/>
        </w:rPr>
      </w:pPr>
    </w:p>
    <w:p>
      <w:pPr>
        <w:jc w:val="both"/>
        <w:ind w:left="320" w:firstLine="1620"/>
        <w:spacing w:after="0" w:line="231" w:lineRule="auto"/>
        <w:rPr>
          <w:sz w:val="20"/>
          <w:szCs w:val="20"/>
          <w:color w:val="auto"/>
        </w:rPr>
      </w:pPr>
      <w:r>
        <w:rPr>
          <w:rFonts w:ascii="Times New Roman" w:cs="Times New Roman" w:eastAsia="Times New Roman" w:hAnsi="Times New Roman"/>
          <w:sz w:val="18"/>
          <w:szCs w:val="18"/>
          <w:color w:val="auto"/>
        </w:rPr>
        <w:t>(xvi)        at any time following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day that the Holder’s Authorized Share Allocation (as defined in Section 12(a) below) is less than the number of shares of Common Stock that the Holder would be entitled to receive upon a conversion of the full Conversion Amount of this Note (assuming a conversion at the Floor Price then in effect and without regard to any limitations on conversion set forth in Section 3(d), or otherwise); or</w:t>
      </w:r>
    </w:p>
    <w:p>
      <w:pPr>
        <w:spacing w:after="0" w:line="198"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color w:val="auto"/>
        </w:rPr>
        <w:t>(xvii)       any Event of Default (as defined in the Other Notes) occurs with respect to any Other Notes.</w:t>
      </w:r>
    </w:p>
    <w:p>
      <w:pPr>
        <w:spacing w:after="0" w:line="225" w:lineRule="exact"/>
        <w:rPr>
          <w:sz w:val="20"/>
          <w:szCs w:val="20"/>
          <w:color w:val="auto"/>
        </w:rPr>
      </w:pPr>
    </w:p>
    <w:p>
      <w:pPr>
        <w:jc w:val="both"/>
        <w:ind w:left="32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any judgment for the payment of money rendered against the Company and/or any of its Subsidiaries’ in connection with the arbitration proceedings among XpressSpa Holdings, LLC and Cordial Endeavor Concessions of Atlanta, LLC and any of its affiliates, shall not constitute an Event of Default unless such judgment is in excess of $1,500,000.</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regardless of whether such Event of Default has been cured, require the Company to redeem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13. For greater certainty, nothing in this Section 4(b) is intended to limit or prejudice Holder’s rights under Section 3(f) and all of the Holder’s rights and remedies set forth in this Section 4(b) are in addition to, and not in limitation of, the Holder’s rights and remedies under Section 3(f).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shares of Common Stock pursuant to the terms of this Note. In the event of a partial redemption of this Note pursuant hereto, the Outstanding Principal Value of this Note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 For the avoidance of doubt, the provisions of this Section 4(b) shall apply to successive Events of Default.</w:t>
      </w: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Mandatory Redemption upon Bankruptcy Event of Default</w:t>
      </w:r>
      <w:r>
        <w:rPr>
          <w:rFonts w:ascii="Times New Roman" w:cs="Times New Roman" w:eastAsia="Times New Roman" w:hAnsi="Times New Roman"/>
          <w:sz w:val="17"/>
          <w:szCs w:val="17"/>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the Outstanding Value of this Note, multiplied by</w:t>
      </w:r>
    </w:p>
    <w:p>
      <w:pPr>
        <w:spacing w:after="0" w:line="2" w:lineRule="exact"/>
        <w:rPr>
          <w:sz w:val="20"/>
          <w:szCs w:val="20"/>
          <w:color w:val="auto"/>
        </w:rPr>
      </w:pPr>
    </w:p>
    <w:p>
      <w:pPr>
        <w:jc w:val="both"/>
        <w:ind w:left="4" w:hanging="4"/>
        <w:spacing w:after="0" w:line="253" w:lineRule="auto"/>
        <w:tabs>
          <w:tab w:leader="none" w:pos="2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RIGHTS UPON FUNDAMENTAL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Assumption</w:t>
      </w:r>
      <w:r>
        <w:rPr>
          <w:rFonts w:ascii="Times New Roman" w:cs="Times New Roman" w:eastAsia="Times New Roman" w:hAnsi="Times New Roman"/>
          <w:sz w:val="18"/>
          <w:szCs w:val="18"/>
          <w:color w:val="auto"/>
        </w:rPr>
        <w:t>. The Company shall not enter into or be party to a Fundamental Transaction unless (i) the Successor Entity (if the Successor Entity is not the Company)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200" w:lineRule="exact"/>
        <w:rPr>
          <w:sz w:val="20"/>
          <w:szCs w:val="20"/>
          <w:color w:val="auto"/>
        </w:rPr>
      </w:pPr>
    </w:p>
    <w:p>
      <w:pPr>
        <w:spacing w:after="0" w:line="22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jc w:val="both"/>
        <w:ind w:left="4" w:firstLine="648"/>
        <w:spacing w:after="0" w:line="26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Notice of a Change of Control; Redemption Right</w:t>
      </w:r>
      <w:r>
        <w:rPr>
          <w:rFonts w:ascii="Times New Roman" w:cs="Times New Roman" w:eastAsia="Times New Roman" w:hAnsi="Times New Roman"/>
          <w:sz w:val="17"/>
          <w:szCs w:val="17"/>
          <w:color w:val="auto"/>
        </w:rPr>
        <w:t>. No sooner than twenty (20) Trading Days nor later than ten (10) Trading Days prior to the consummation of a Change of Control (the “</w:t>
      </w:r>
      <w:r>
        <w:rPr>
          <w:rFonts w:ascii="Times New Roman" w:cs="Times New Roman" w:eastAsia="Times New Roman" w:hAnsi="Times New Roman"/>
          <w:sz w:val="17"/>
          <w:szCs w:val="17"/>
          <w:b w:val="1"/>
          <w:bCs w:val="1"/>
          <w:color w:val="auto"/>
        </w:rPr>
        <w:t>Change of Control Date</w:t>
      </w:r>
      <w:r>
        <w:rPr>
          <w:rFonts w:ascii="Times New Roman" w:cs="Times New Roman" w:eastAsia="Times New Roman" w:hAnsi="Times New Roman"/>
          <w:sz w:val="17"/>
          <w:szCs w:val="17"/>
          <w:color w:val="auto"/>
        </w:rPr>
        <w:t>”),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17"/>
          <w:szCs w:val="17"/>
          <w:b w:val="1"/>
          <w:bCs w:val="1"/>
          <w:color w:val="auto"/>
        </w:rPr>
        <w:t>Change of Control Notice</w:t>
      </w:r>
      <w:r>
        <w:rPr>
          <w:rFonts w:ascii="Times New Roman" w:cs="Times New Roman" w:eastAsia="Times New Roman" w:hAnsi="Times New Roman"/>
          <w:sz w:val="17"/>
          <w:szCs w:val="17"/>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the later of (A) the date of consummation of such Change of Control or (B) twenty (20) Trading Days after the date of receipt of such Change of Control Notice or (C) twenty (20) Trading Days after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7"/>
          <w:szCs w:val="17"/>
          <w:b w:val="1"/>
          <w:bCs w:val="1"/>
          <w:color w:val="auto"/>
        </w:rPr>
        <w:t>Change of Control Redemption Notice</w:t>
      </w:r>
      <w:r>
        <w:rPr>
          <w:rFonts w:ascii="Times New Roman" w:cs="Times New Roman" w:eastAsia="Times New Roman" w:hAnsi="Times New Roman"/>
          <w:sz w:val="17"/>
          <w:szCs w:val="17"/>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greater of (i) the product of (w) the Change of Control Redemption Premium multiplied by (y) the Conversion Amount being redeemed, and (ii) the product of</w:t>
      </w:r>
    </w:p>
    <w:p>
      <w:pPr>
        <w:spacing w:after="0" w:line="2" w:lineRule="exact"/>
        <w:rPr>
          <w:sz w:val="20"/>
          <w:szCs w:val="20"/>
          <w:color w:val="auto"/>
        </w:rPr>
      </w:pPr>
    </w:p>
    <w:p>
      <w:pPr>
        <w:ind w:left="284" w:hanging="284"/>
        <w:spacing w:after="0"/>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Redemption Premium multiplied by (y) the product of (A) the Conversion Amount being redeemed multiplied by</w:t>
      </w:r>
    </w:p>
    <w:p>
      <w:pPr>
        <w:spacing w:after="0" w:line="9"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quotient determined by dividing (I) the greatest Closing Sale Price of the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b w:val="1"/>
          <w:bCs w:val="1"/>
          <w:color w:val="auto"/>
        </w:rPr>
        <w:t>Change of Control Redemption Price</w:t>
      </w:r>
      <w:r>
        <w:rPr>
          <w:rFonts w:ascii="Times New Roman" w:cs="Times New Roman" w:eastAsia="Times New Roman" w:hAnsi="Times New Roman"/>
          <w:sz w:val="18"/>
          <w:szCs w:val="18"/>
          <w:color w:val="auto"/>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shares of Common Stock pursuant to Section 3. In the event of a partial redemption of this Note pursuant hereto, the Outstanding Principal Value of this Note redeemed shall be deducted from the Installment Amount(s) relating to the applicable Installment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 The Company shall make payment of the applicable Change of Control Redemption Price concurrently with the consummation of such Change of Control if a Change of Control Redemption Notice is received prior to the consummation of such Change of Control and within two (2) Trading Days after the Company’s receipt of such notice otherwise (the “</w:t>
      </w:r>
      <w:r>
        <w:rPr>
          <w:rFonts w:ascii="Times New Roman" w:cs="Times New Roman" w:eastAsia="Times New Roman" w:hAnsi="Times New Roman"/>
          <w:sz w:val="18"/>
          <w:szCs w:val="18"/>
          <w:b w:val="1"/>
          <w:bCs w:val="1"/>
          <w:color w:val="auto"/>
        </w:rPr>
        <w:t>Change of Control Redemption Date</w:t>
      </w:r>
      <w:r>
        <w:rPr>
          <w:rFonts w:ascii="Times New Roman" w:cs="Times New Roman" w:eastAsia="Times New Roman" w:hAnsi="Times New Roman"/>
          <w:sz w:val="18"/>
          <w:szCs w:val="18"/>
          <w:color w:val="auto"/>
        </w:rPr>
        <w:t>”). Upon the Company’s receipt of a Change of Control Redemption Notice from any holder of the Notes for redemption as a result of an event or occurrence substantially similar to the events or occurrences described in this Section 5(b), the Company shall immediately, but no later than one (1) Business Day of its receipt thereof, forward to the Holder by electronic mail a copy of such notice. If the Company receives one or more Change of Control Redemption Notices, during the seven (7) Business Day period beginning on and including the date which is two (2) Business Days prior to the Company’s receipt of the initial Change of Control Redemption Notice and ending on and including the date which is two (2) Business Days after the Company’s receipt of the initial Change of Control Redemption Notice and the Company is unable to redeem all Outstanding Principal Value of this Note designated in such initial Change of Control Redemption Notice and such other Change of Control Redemption Notices received during such seven (7) Business Day period, then the Company shall redeem the Holder’s Pro Rata Amount based on the outstanding principal amount of the Notes submitted for redemption pursuant to such Change of Control Redemption Notices received by the Company during such seven (7) Business Day period.</w:t>
      </w:r>
    </w:p>
    <w:p>
      <w:pPr>
        <w:spacing w:after="0" w:line="200" w:lineRule="exact"/>
        <w:rPr>
          <w:sz w:val="20"/>
          <w:szCs w:val="20"/>
          <w:color w:val="auto"/>
        </w:rPr>
      </w:pP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Floor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RIGHTS UPON ISSUANCE OF OTHER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of Conversion Price upon Issuance of Shares of Common Stock</w:t>
      </w:r>
      <w:r>
        <w:rPr>
          <w:rFonts w:ascii="Times New Roman" w:cs="Times New Roman" w:eastAsia="Times New Roman" w:hAnsi="Times New Roman"/>
          <w:sz w:val="18"/>
          <w:szCs w:val="18"/>
          <w:color w:val="auto"/>
        </w:rPr>
        <w:t>. If following the November 2025 Stockholder Approval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equal to the Conversion Price in effect immediately prior to such granting, issuance or sale or deemed granting, issuance or sale (such Conversion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Conversion Price then in effect shall be reduced to an amount equal to the New Issuance Price; provided that, any adjustments that would have occurred hereunder prior to the November 2025 Stockholder Approval Date, shall be applied pursuant to this Section 7 on the November 2025 Stockholder Approval Date, as if such event or Dilutive Issuance occurred on the November 2025 Stockholder Approval Date. For all purposes of the foregoing (including, without limitation, determining the adjusted Conversion Price and the New Issuance Price under this Section 7(a)), the following shall be applicable:</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shares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18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7" w:name="page28"/>
    <w:bookmarkEnd w:id="27"/>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190"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Required Holders,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 Security,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xml:space="preserve">”),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w:t>
      </w:r>
      <w:r>
        <w:rPr>
          <w:rFonts w:ascii="Times New Roman" w:cs="Times New Roman" w:eastAsia="Times New Roman" w:hAnsi="Times New Roman"/>
          <w:sz w:val="18"/>
          <w:szCs w:val="18"/>
          <w:u w:val="single" w:color="auto"/>
          <w:color w:val="auto"/>
        </w:rPr>
        <w:t>Section 7(a)(i)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7(a)(ii)</w:t>
      </w:r>
      <w:r>
        <w:rPr>
          <w:rFonts w:ascii="Times New Roman" w:cs="Times New Roman" w:eastAsia="Times New Roman" w:hAnsi="Times New Roman"/>
          <w:sz w:val="18"/>
          <w:szCs w:val="18"/>
          <w:color w:val="auto"/>
        </w:rPr>
        <w:t xml:space="preserve"> above and (z) the lowest VWAP of the shares of Common Stock on any Trading Day during the five (5) Trading Day period (the “</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this Note is converted, on any given Conversion Date during any such Adjustment Period, solely with respect to this Note converted on such applicable Conversion Date, such applicable Adjustment Period shall be deemed to have ended on, and included, the Trading Day immediately prior to such Conversion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Holders.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Trading Days after the tenth (10th) day following such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w:t>
      </w:r>
    </w:p>
    <w:p>
      <w:pPr>
        <w:spacing w:after="0" w:line="27" w:lineRule="exact"/>
        <w:rPr>
          <w:sz w:val="20"/>
          <w:szCs w:val="20"/>
          <w:color w:val="auto"/>
        </w:rPr>
      </w:pPr>
    </w:p>
    <w:p>
      <w:pPr>
        <w:jc w:val="both"/>
        <w:ind w:left="320"/>
        <w:spacing w:after="0" w:line="253" w:lineRule="auto"/>
        <w:tabs>
          <w:tab w:leader="none" w:pos="6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 of Conversion Price upon Subdivision or Combination of Shares of Common Stock</w:t>
      </w:r>
      <w:r>
        <w:rPr>
          <w:rFonts w:ascii="Times New Roman" w:cs="Times New Roman" w:eastAsia="Times New Roman" w:hAnsi="Times New Roman"/>
          <w:sz w:val="18"/>
          <w:szCs w:val="18"/>
          <w:color w:val="auto"/>
        </w:rPr>
        <w:t>. Without limiting any provision of Section 6, Section 17 or Section 7(a), if the Company at any time on or after the Issuance Date subdivides (by any stock split, stock dividend, stock combination, recapitalization or other similar transaction) its outstanding shares of Common Stock into a greater number of shares, the Conversion Price in effect immediately prior to such subdivision will be proportionately reduced. Without limiting any provision of Section 6, Section 15 or Section 7(a), if the Company at any time on or after the Issuance Date combines (by any stock split, stock dividend, stock combination, recapitalization or other similar transaction)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Holder’s Right of Adjusted Conversion Price</w:t>
      </w:r>
      <w:r>
        <w:rPr>
          <w:rFonts w:ascii="Times New Roman" w:cs="Times New Roman" w:eastAsia="Times New Roman" w:hAnsi="Times New Roman"/>
          <w:sz w:val="18"/>
          <w:szCs w:val="18"/>
          <w:color w:val="auto"/>
        </w:rPr>
        <w:t>. In addition to and not in limitation of the other provisions of this Section 7 or in the Exchange Agreement, if the Company in any manner issues or sells or enters into any agreement to issue or sell, any shares of Common Stock, Options or Convertible Securities (any such securities, “</w:t>
      </w:r>
      <w:r>
        <w:rPr>
          <w:rFonts w:ascii="Times New Roman" w:cs="Times New Roman" w:eastAsia="Times New Roman" w:hAnsi="Times New Roman"/>
          <w:sz w:val="18"/>
          <w:szCs w:val="18"/>
          <w:b w:val="1"/>
          <w:bCs w:val="1"/>
          <w:color w:val="auto"/>
        </w:rPr>
        <w:t>Variable Price Securities</w:t>
      </w:r>
      <w:r>
        <w:rPr>
          <w:rFonts w:ascii="Times New Roman" w:cs="Times New Roman" w:eastAsia="Times New Roman" w:hAnsi="Times New Roman"/>
          <w:sz w:val="18"/>
          <w:szCs w:val="18"/>
          <w:color w:val="auto"/>
        </w:rPr>
        <w:t>”) after the Issuance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stock splits, stock combinations, stock dividends and similar transactions) (each of the formulations for such variable price being herein referred to as, the “</w:t>
      </w:r>
      <w:r>
        <w:rPr>
          <w:rFonts w:ascii="Times New Roman" w:cs="Times New Roman" w:eastAsia="Times New Roman" w:hAnsi="Times New Roman"/>
          <w:sz w:val="18"/>
          <w:szCs w:val="18"/>
          <w:b w:val="1"/>
          <w:bCs w:val="1"/>
          <w:color w:val="auto"/>
        </w:rPr>
        <w:t>Variable Price</w:t>
      </w:r>
      <w:r>
        <w:rPr>
          <w:rFonts w:ascii="Times New Roman" w:cs="Times New Roman" w:eastAsia="Times New Roman" w:hAnsi="Times New Roman"/>
          <w:sz w:val="18"/>
          <w:szCs w:val="18"/>
          <w:color w:val="auto"/>
        </w:rPr>
        <w:t>”), the Company shall provide written notice thereof via electronic mail and overnight courier to the Holder on the date of such agreement and the issuance of such shares of Common Stock, Convertible Securities or Options. From and after the date the Company enters into such agreement,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 In addition, from and after the date the Company enters into such agreement or issues any such Variable Price Securities, for purposes of calculating the Installment Conversion Price as of any time of determination, the “Conversion Price” as used therein shall mean the lower of (x) the Conversion Price as of such time of determination and (y) the Variable Price as of such time of determination.</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Stock Combination Event Adjustments</w:t>
      </w:r>
      <w:r>
        <w:rPr>
          <w:rFonts w:ascii="Times New Roman" w:cs="Times New Roman" w:eastAsia="Times New Roman" w:hAnsi="Times New Roman"/>
          <w:sz w:val="18"/>
          <w:szCs w:val="18"/>
          <w:color w:val="auto"/>
        </w:rPr>
        <w:t>. If at any time and from time to time on or after the Issuance Date there occurs any stock split, stock dividend, stock combination recapitalization or other similar transaction involving the shares of Common Stock (each, a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Conversion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in effect (after giving effect to the adjustment in Section 7(b) above), then on the sixteenth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following such</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Stock Combination Event Date, the Conversion Price then in effect on such sixteenth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Other Events</w:t>
      </w:r>
      <w:r>
        <w:rPr>
          <w:rFonts w:ascii="Times New Roman" w:cs="Times New Roman" w:eastAsia="Times New Roman" w:hAnsi="Times New Roman"/>
          <w:sz w:val="18"/>
          <w:szCs w:val="18"/>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shares of Common Stock.</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0" w:name="page31"/>
    <w:bookmarkEnd w:id="30"/>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INSTALLMENT CONVERSION OR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On each applicable Installment Date, provided no Equity Conditions Failure has occurred and is continuing, the Company shall pay to the Holder of this Note the applicable Installment Amount due on such date by converting such Installment Amount in accordance with this Section 8 (an “</w:t>
      </w:r>
      <w:r>
        <w:rPr>
          <w:rFonts w:ascii="Times New Roman" w:cs="Times New Roman" w:eastAsia="Times New Roman" w:hAnsi="Times New Roman"/>
          <w:sz w:val="18"/>
          <w:szCs w:val="18"/>
          <w:b w:val="1"/>
          <w:bCs w:val="1"/>
          <w:color w:val="auto"/>
        </w:rPr>
        <w:t>Installment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at its option following notice to the Holder as set forth below, pay the Installment Amount by redeeming such Installment Amount in cash (an “</w:t>
      </w:r>
      <w:r>
        <w:rPr>
          <w:rFonts w:ascii="Times New Roman" w:cs="Times New Roman" w:eastAsia="Times New Roman" w:hAnsi="Times New Roman"/>
          <w:sz w:val="18"/>
          <w:szCs w:val="18"/>
          <w:b w:val="1"/>
          <w:bCs w:val="1"/>
          <w:color w:val="auto"/>
        </w:rPr>
        <w:t>Installment Redemption</w:t>
      </w:r>
      <w:r>
        <w:rPr>
          <w:rFonts w:ascii="Times New Roman" w:cs="Times New Roman" w:eastAsia="Times New Roman" w:hAnsi="Times New Roman"/>
          <w:sz w:val="18"/>
          <w:szCs w:val="18"/>
          <w:color w:val="auto"/>
        </w:rPr>
        <w:t>”) or by any combination of an Installment Conversion and an Installment Redemption so long as all of the outstanding applicable Installment Amount due on any Installment Date shall be converted and/or redeemed by the Company on the applicable Installment Date, subject to the provisions of this</w:t>
      </w:r>
    </w:p>
    <w:p>
      <w:pPr>
        <w:spacing w:after="0" w:line="5" w:lineRule="exact"/>
        <w:rPr>
          <w:sz w:val="20"/>
          <w:szCs w:val="20"/>
          <w:color w:val="auto"/>
        </w:rPr>
      </w:pPr>
    </w:p>
    <w:p>
      <w:pPr>
        <w:jc w:val="both"/>
        <w:ind w:left="4"/>
        <w:spacing w:after="0" w:line="221" w:lineRule="auto"/>
        <w:rPr>
          <w:sz w:val="20"/>
          <w:szCs w:val="20"/>
          <w:color w:val="auto"/>
        </w:rPr>
      </w:pPr>
      <w:r>
        <w:rPr>
          <w:rFonts w:ascii="Times New Roman" w:cs="Times New Roman" w:eastAsia="Times New Roman" w:hAnsi="Times New Roman"/>
          <w:sz w:val="18"/>
          <w:szCs w:val="18"/>
          <w:color w:val="auto"/>
        </w:rPr>
        <w:t>Section 8. On the date which is between the twenty-fifth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and the twenty-third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prior to each Installment Date (each, an “</w:t>
      </w:r>
      <w:r>
        <w:rPr>
          <w:rFonts w:ascii="Times New Roman" w:cs="Times New Roman" w:eastAsia="Times New Roman" w:hAnsi="Times New Roman"/>
          <w:sz w:val="18"/>
          <w:szCs w:val="18"/>
          <w:b w:val="1"/>
          <w:bCs w:val="1"/>
          <w:color w:val="auto"/>
        </w:rPr>
        <w:t>Installment Notice Due Date</w:t>
      </w:r>
      <w:r>
        <w:rPr>
          <w:rFonts w:ascii="Times New Roman" w:cs="Times New Roman" w:eastAsia="Times New Roman" w:hAnsi="Times New Roman"/>
          <w:sz w:val="18"/>
          <w:szCs w:val="18"/>
          <w:color w:val="auto"/>
        </w:rPr>
        <w:t>”), the Company shall deliver written notice (each, an “</w:t>
      </w:r>
      <w:r>
        <w:rPr>
          <w:rFonts w:ascii="Times New Roman" w:cs="Times New Roman" w:eastAsia="Times New Roman" w:hAnsi="Times New Roman"/>
          <w:sz w:val="18"/>
          <w:szCs w:val="18"/>
          <w:b w:val="1"/>
          <w:bCs w:val="1"/>
          <w:color w:val="auto"/>
        </w:rPr>
        <w:t>Installment Notice</w:t>
      </w:r>
      <w:r>
        <w:rPr>
          <w:rFonts w:ascii="Times New Roman" w:cs="Times New Roman" w:eastAsia="Times New Roman" w:hAnsi="Times New Roman"/>
          <w:sz w:val="18"/>
          <w:szCs w:val="18"/>
          <w:color w:val="auto"/>
        </w:rPr>
        <w:t>” and the date all of the Holders receive such notice is referred to as to the “</w:t>
      </w:r>
      <w:r>
        <w:rPr>
          <w:rFonts w:ascii="Times New Roman" w:cs="Times New Roman" w:eastAsia="Times New Roman" w:hAnsi="Times New Roman"/>
          <w:sz w:val="18"/>
          <w:szCs w:val="18"/>
          <w:b w:val="1"/>
          <w:bCs w:val="1"/>
          <w:color w:val="auto"/>
        </w:rPr>
        <w:t>Installment Notice Date</w:t>
      </w:r>
      <w:r>
        <w:rPr>
          <w:rFonts w:ascii="Times New Roman" w:cs="Times New Roman" w:eastAsia="Times New Roman" w:hAnsi="Times New Roman"/>
          <w:sz w:val="18"/>
          <w:szCs w:val="18"/>
          <w:color w:val="auto"/>
        </w:rPr>
        <w:t>”), to each Holder of Notes and such Installment Notice shall</w:t>
      </w:r>
    </w:p>
    <w:p>
      <w:pPr>
        <w:jc w:val="both"/>
        <w:ind w:left="4" w:hanging="4"/>
        <w:spacing w:after="0" w:line="250" w:lineRule="auto"/>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confirm that the applicable Installment Amount of such Holder’s Note shall be converted in whole pursuant to an Installment Conversion or (B) (1) state that the Company elects to redeem for cash, or is required to redeem for cash in accordance with the provisions of the Notes, in whole or in part, the applicable Installment Amount pursuant to an Installment Redemption and (2) specify the portion of such Installment Amount which the Company elects or is required to redeem pursuant to an Installment Redemption (such amount to be redeemed in cash, the “</w:t>
      </w:r>
      <w:r>
        <w:rPr>
          <w:rFonts w:ascii="Times New Roman" w:cs="Times New Roman" w:eastAsia="Times New Roman" w:hAnsi="Times New Roman"/>
          <w:sz w:val="18"/>
          <w:szCs w:val="18"/>
          <w:b w:val="1"/>
          <w:bCs w:val="1"/>
          <w:color w:val="auto"/>
        </w:rPr>
        <w:t>Installment Redemption Amount</w:t>
      </w:r>
      <w:r>
        <w:rPr>
          <w:rFonts w:ascii="Times New Roman" w:cs="Times New Roman" w:eastAsia="Times New Roman" w:hAnsi="Times New Roman"/>
          <w:sz w:val="18"/>
          <w:szCs w:val="18"/>
          <w:color w:val="auto"/>
        </w:rPr>
        <w:t>” and for clarity, the Installment Redemption Amount includes the Make-Whole Amount of the Outstanding Principal Value being redeemed pursuant to such Installment Redemption Amount) and the portion of the applicable Installment Amount, if any, with respect to which the Company will, and is permitted to, effect an Installment Conversion (such amount of the applicable Installment Amount so specified to be so converted pursuant to this Section 8 is referred to herein as the “</w:t>
      </w:r>
      <w:r>
        <w:rPr>
          <w:rFonts w:ascii="Times New Roman" w:cs="Times New Roman" w:eastAsia="Times New Roman" w:hAnsi="Times New Roman"/>
          <w:sz w:val="18"/>
          <w:szCs w:val="18"/>
          <w:b w:val="1"/>
          <w:bCs w:val="1"/>
          <w:color w:val="auto"/>
        </w:rPr>
        <w:t>Installment Conversion Amount</w:t>
      </w:r>
      <w:r>
        <w:rPr>
          <w:rFonts w:ascii="Times New Roman" w:cs="Times New Roman" w:eastAsia="Times New Roman" w:hAnsi="Times New Roman"/>
          <w:sz w:val="18"/>
          <w:szCs w:val="18"/>
          <w:color w:val="auto"/>
        </w:rPr>
        <w:t>” and for clarity, the Installment Redemption Amount includes the Make-Whole Amount of the Outstanding Principal Value being converted pursuant to such Installment Conversion Amount), which amounts when added together, must at least equal the entire applicable Installment Amount and</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Installment Amount is to be paid, in whole or in part, pursuant to an Installment Conversion, certify that there is not then an Equity Conditions Failure as of the applicable Installment Notice Date. Each Installment Notice shall be irrevocable. In addition, the Company may not effect an Installment Conversion as to any such Installment Date unless, no later than two (2) Trading Days following the applicable Installment Notice Due Date, the Company shall have, subject to Sections 3(d) and (e), delivered to the Holder’s account with DTC a number of shares of Common Stock to be applied against such Installment Conversion Amount equal to the quotient of (x) the applicable Installment Conversion Amount divided by (y) the Pre-Installment Price (the “</w:t>
      </w:r>
      <w:r>
        <w:rPr>
          <w:rFonts w:ascii="Times New Roman" w:cs="Times New Roman" w:eastAsia="Times New Roman" w:hAnsi="Times New Roman"/>
          <w:sz w:val="18"/>
          <w:szCs w:val="18"/>
          <w:b w:val="1"/>
          <w:bCs w:val="1"/>
          <w:color w:val="auto"/>
        </w:rPr>
        <w:t>Pre-Installment Conversion Shares</w:t>
      </w:r>
      <w:r>
        <w:rPr>
          <w:rFonts w:ascii="Times New Roman" w:cs="Times New Roman" w:eastAsia="Times New Roman" w:hAnsi="Times New Roman"/>
          <w:sz w:val="18"/>
          <w:szCs w:val="18"/>
          <w:color w:val="auto"/>
        </w:rPr>
        <w:t>”). In the event that that number of Pre-Installment Conversion Shares that the Company can issue to the Holder is limited as result of Section 3(d), then such excess number of shares shall be held in abeyance until the Holder notifies the Company that the issuances of such shares to the Holder would not violate Section 3(d) at which time the Company shall deliver such shares to the Holder. Each Installment Notice shall be irrevocable. If the Company does not timely deliver an Installment Notice and the applicable Pre-Installment Conversion Shares in accordance with this Section 8(a) with respect to a particular Installment Date, then the Company shall be deemed to have delivered an irrevocable Installment Notice confirming an Installment Redemption of the entire Installment Amount payable on such Installment Date. Except as expressly provided in this Section 8(a),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Installment Conversion Amount (whether set forth in the applicable Installment Notice or by operation of this Section 8) shall be converted in accordance with Section 8(b) and the applicable Installment Redemption Amount shall be redeemed in accordance with Section 8(c).</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jc w:val="both"/>
        <w:ind w:left="4" w:firstLine="648"/>
        <w:spacing w:after="0" w:line="270"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Mechanics of Installment Conversion</w:t>
      </w:r>
      <w:r>
        <w:rPr>
          <w:rFonts w:ascii="Times New Roman" w:cs="Times New Roman" w:eastAsia="Times New Roman" w:hAnsi="Times New Roman"/>
          <w:sz w:val="17"/>
          <w:szCs w:val="17"/>
          <w:color w:val="auto"/>
        </w:rPr>
        <w:t>. Subject to Section 3(d) and (e), if the Company delivers an Installment Notice or is deemed to have delivered an Installment Notice certifying that such Installment Amount is being paid, in whole or in part, in an Installment Conversion in accordance with Section 8(a), then the remainder of this Section 8(b) shall apply. The applicable Installment Conversion Amount, if any, shall be converted on the applicable Installment Date at the applicable Installment Conversion Price and the Company shall, on such Installment Date,</w:t>
      </w:r>
    </w:p>
    <w:p>
      <w:pPr>
        <w:spacing w:after="0" w:line="3" w:lineRule="exact"/>
        <w:rPr>
          <w:sz w:val="20"/>
          <w:szCs w:val="20"/>
          <w:color w:val="auto"/>
        </w:rPr>
      </w:pPr>
    </w:p>
    <w:p>
      <w:pPr>
        <w:jc w:val="both"/>
        <w:ind w:left="4" w:hanging="4"/>
        <w:spacing w:after="0" w:line="265" w:lineRule="auto"/>
        <w:tabs>
          <w:tab w:leader="none" w:pos="3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to each Holder’s account with DTC any True-Up Shares and (B) in the event of the Conversion Floor Price Condition, the Company shall deliver to the Holder the applicable Conversion Installment Floor Amount, provided that the Equity Conditions are then satisfied (or waived in writing by such Holder) on such Installment Date and an Installment Conversion is not otherwise prohibited under any other provision of the Notes. For purposes hereof, “</w:t>
      </w:r>
      <w:r>
        <w:rPr>
          <w:rFonts w:ascii="Times New Roman" w:cs="Times New Roman" w:eastAsia="Times New Roman" w:hAnsi="Times New Roman"/>
          <w:sz w:val="17"/>
          <w:szCs w:val="17"/>
          <w:b w:val="1"/>
          <w:bCs w:val="1"/>
          <w:color w:val="auto"/>
        </w:rPr>
        <w:t>True-Up Shares</w:t>
      </w:r>
      <w:r>
        <w:rPr>
          <w:rFonts w:ascii="Times New Roman" w:cs="Times New Roman" w:eastAsia="Times New Roman" w:hAnsi="Times New Roman"/>
          <w:sz w:val="17"/>
          <w:szCs w:val="17"/>
          <w:color w:val="auto"/>
        </w:rPr>
        <w:t>” means, in the event that the number of shares of Common Stock calculated by taking the applicable Installment Conversion Amount divided by the Installment Conversion Price (the “</w:t>
      </w:r>
      <w:r>
        <w:rPr>
          <w:rFonts w:ascii="Times New Roman" w:cs="Times New Roman" w:eastAsia="Times New Roman" w:hAnsi="Times New Roman"/>
          <w:sz w:val="17"/>
          <w:szCs w:val="17"/>
          <w:b w:val="1"/>
          <w:bCs w:val="1"/>
          <w:color w:val="auto"/>
        </w:rPr>
        <w:t>Adjustment Shares</w:t>
      </w:r>
      <w:r>
        <w:rPr>
          <w:rFonts w:ascii="Times New Roman" w:cs="Times New Roman" w:eastAsia="Times New Roman" w:hAnsi="Times New Roman"/>
          <w:sz w:val="17"/>
          <w:szCs w:val="17"/>
          <w:color w:val="auto"/>
        </w:rPr>
        <w:t>”), is greater than the number of Pre-Installment Conversion Shares received with respect to the Installment Date, a number of additional Conversion Shares equal to the difference between (A) such number of Adjustment Shares and (B) such number of Pre-Installment Conversion Shares. If the Company confirmed (or is deemed to have confirmed by operation of Section 8(a)) the conversion of the applicable Installment Conversion Amount, in whole or in part, and there was no Equity Conditions Failure as of the applicable Installment Notice Date (or is deemed to have certified that the Equity Conditions in connection with any such conversion have been satisfied by operation of Section 8(a)) but an Equity Conditions Failure occurred between the applicable Installment Notice Date and any time through the applicable Installment Date (the “</w:t>
      </w:r>
      <w:r>
        <w:rPr>
          <w:rFonts w:ascii="Times New Roman" w:cs="Times New Roman" w:eastAsia="Times New Roman" w:hAnsi="Times New Roman"/>
          <w:sz w:val="17"/>
          <w:szCs w:val="17"/>
          <w:b w:val="1"/>
          <w:bCs w:val="1"/>
          <w:color w:val="auto"/>
        </w:rPr>
        <w:t>Interim Installment Period</w:t>
      </w:r>
      <w:r>
        <w:rPr>
          <w:rFonts w:ascii="Times New Roman" w:cs="Times New Roman" w:eastAsia="Times New Roman" w:hAnsi="Times New Roman"/>
          <w:sz w:val="17"/>
          <w:szCs w:val="17"/>
          <w:color w:val="auto"/>
        </w:rPr>
        <w:t>”), the Company shall provide each Holder a subsequent notice to that effect. If there is an Equity Conditions Failure (which is not waived in writing by such Holder) during such Interim Installment Period or an Installment Conversion is not otherwise permitted under any other provision of this Note, then, at the option of such Holder designated in writing to the Company, such Holder may require the Company to do any one or more of the following: (i) the Company shall redeem all or any part designated by such Holder of the unconverted Installment Conversion Amount (such designated amount is referred to as the “</w:t>
      </w:r>
      <w:r>
        <w:rPr>
          <w:rFonts w:ascii="Times New Roman" w:cs="Times New Roman" w:eastAsia="Times New Roman" w:hAnsi="Times New Roman"/>
          <w:sz w:val="17"/>
          <w:szCs w:val="17"/>
          <w:b w:val="1"/>
          <w:bCs w:val="1"/>
          <w:color w:val="auto"/>
        </w:rPr>
        <w:t>Designated Redemption Amount</w:t>
      </w:r>
      <w:r>
        <w:rPr>
          <w:rFonts w:ascii="Times New Roman" w:cs="Times New Roman" w:eastAsia="Times New Roman" w:hAnsi="Times New Roman"/>
          <w:sz w:val="17"/>
          <w:szCs w:val="17"/>
          <w:color w:val="auto"/>
        </w:rPr>
        <w:t>”) and the Company shall pay to such Holder within three (3) days of such Installment Date, by wire transfer of immediately available funds, an amount in legally available funds equal to 125% of such Designated Redemption Amount, provided, however, at the option of the Holder, (1) the Designated Redemption Amount shall be reduced by an amount equal to the product of the</w:t>
      </w:r>
    </w:p>
    <w:p>
      <w:pPr>
        <w:spacing w:after="0" w:line="2" w:lineRule="exact"/>
        <w:rPr>
          <w:rFonts w:ascii="Times New Roman" w:cs="Times New Roman" w:eastAsia="Times New Roman" w:hAnsi="Times New Roman"/>
          <w:sz w:val="17"/>
          <w:szCs w:val="17"/>
          <w:color w:val="auto"/>
        </w:rPr>
      </w:pPr>
    </w:p>
    <w:p>
      <w:pPr>
        <w:jc w:val="both"/>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number of Pre-Installment Conversion Shares issued to the Holder in connection with such Installment Conversion Amount and (y) and the actual prices at which the Holder sold such Pre-Installment Conversion Shares during the Interim Installment Period or (2) such Pre-Installment Conversion Shares shall be retained by the Holder and applied to the next instance in which the Company issues Pre-Installment Conversion Shares; provided, further however, that if the Company does not elect to pay a future Installment Amount by means of an Installment Conversion in accordance with this Section 8, the Holder shall return the number of Pre-Installment Conversion Shares to the Company and/or (ii) the Installment Conversion shall be null and void with respect to Designated Redemption Amount and such Holder shall be entitled to all the rights of a holder of the Notes with respect to such Designated Redemption Amount; provided, however, the Conversion Price for such Designated Redemption Amount shall thereafter be adjusted to equal the lesser of (A) the Installment Conversion Price as in effect on the date on which such Holder voided the Installment Conversion and (B) the Installment Conversion Price that would be in effect on the date on which such Holder delivers a Conversion Notice relating thereto as if such date was an Installment Date; provided, further, however, at the option of the Holder,</w:t>
      </w:r>
    </w:p>
    <w:p>
      <w:pPr>
        <w:spacing w:after="0" w:line="3" w:lineRule="exact"/>
        <w:rPr>
          <w:rFonts w:ascii="Times New Roman" w:cs="Times New Roman" w:eastAsia="Times New Roman" w:hAnsi="Times New Roman"/>
          <w:sz w:val="17"/>
          <w:szCs w:val="17"/>
          <w:color w:val="auto"/>
        </w:rPr>
      </w:pPr>
    </w:p>
    <w:p>
      <w:pPr>
        <w:jc w:val="both"/>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any Pre-Installment Conversion Shares delivered in connection with such voided Installment Conversion shall reduce outstanding principal amount of the Note equal to the product of (i) the number of such Pre-Installment Conversion Shares and (y) the actual prices at which the Holder sold such Pre-Installment Conversion Shares during the Interim Installment Period or (2) such Pre-Installment Conversion Shares shall be retained by the Holder and applied to the next instance in which the Company issues Pre Installment Conversion Shares; provided, further, however, that if the Company does not elect to pay a future Installment Amount by means of an Installment Conversion in accordance with this Section 8, the Holder shall return the number of Pre-Installment Conversion Shares to the Company. If the Company fails to redeem any Designated Redemption Amount by the second (2nd) day following the applicable Installment Date by payment of such amount by such date for any reason (including, without limitation, to the extent such payment is prohibited pursuant to the DGCL), then such Holder shall have the rights set forth in Section 13(a) as if the Company failed to pay the applicable Installment Redemption Price (as defined below) and all other rights under this Note (including, without limitation, such failure constituting an Event of Default described in Section 4(a)(v)). Notwithstanding anything to the contrary in this Section 8(b), but subject to Section 3(d), until the Company delivers Common Stock representing the Installment Conversion Amount to such Holder, the Installment Conversion Amount may be converted by such Holder into Common Stock pursuant to Section 3. In the event that a Holder elects to convert the Installment Conversion Amount prior to the applicable Installment Date as set forth in the immediately preceding sentence, the Installment Conversion Amount so converted shall be deducted from the Installment Amount(s) of such Holder relating to the applicable Installment Date(s) as set forth in the applicable Conversion Notice. For further clarification, if any conversion is applied against an Installment Amount, the Pre-Installment Conversion Shares issued in connection with such Installment Amount (and that were not already applied to such conversions) shall be applied first against such conversions or, at the option of the Holder as indicated in the Conversion Notice, retained by the Holder and applied to the next instance in which the Company issues Pre-Installment Conversion Shares. The Company shall pay any and all taxes that may be payable with respect to the issuance and delivery of any shares of Common Stock in any Installment Conversion hereunder.</w:t>
      </w: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Mechanics of Installment Redemption</w:t>
      </w:r>
      <w:r>
        <w:rPr>
          <w:rFonts w:ascii="Times New Roman" w:cs="Times New Roman" w:eastAsia="Times New Roman" w:hAnsi="Times New Roman"/>
          <w:sz w:val="18"/>
          <w:szCs w:val="18"/>
          <w:color w:val="auto"/>
        </w:rPr>
        <w:t>. If the Company elects or is required to effect an Installment Redemption, in whole or in part, in accordance with Section 8(a), then the Installment Redemption Amount, if any, shall be redeemed by the Company in cash on the applicable Installment Date by wire transfer to the Holder of immediately available funds in an amount equal to 107% of the applicable Installment Redemption Amount (the “</w:t>
      </w:r>
      <w:r>
        <w:rPr>
          <w:rFonts w:ascii="Times New Roman" w:cs="Times New Roman" w:eastAsia="Times New Roman" w:hAnsi="Times New Roman"/>
          <w:sz w:val="18"/>
          <w:szCs w:val="18"/>
          <w:b w:val="1"/>
          <w:bCs w:val="1"/>
          <w:color w:val="auto"/>
        </w:rPr>
        <w:t>Installment Redemption Price</w:t>
      </w:r>
      <w:r>
        <w:rPr>
          <w:rFonts w:ascii="Times New Roman" w:cs="Times New Roman" w:eastAsia="Times New Roman" w:hAnsi="Times New Roman"/>
          <w:sz w:val="18"/>
          <w:szCs w:val="18"/>
          <w:color w:val="auto"/>
        </w:rPr>
        <w:t>”). If the Company fails to redeem such Installment Redemption Amount on such Installment Date by payment of the Installment Redemption Price, then, at the option of the Holder designated in writing to the Company (any such designation shall be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for purposes of this Note), the Holder may require the Company to convert all or any part of the Installment Redemption Amount at the Installment Conversion Price (determined as of the date of such designation as if such date were an Installment Date) and, in the event of the Conversion Floor Price Condition, the Company shall deliver to the Holder the applicable Conversion Installment Floor Amount. Conversions required by this Section 8(c) shall be made in accordance with the provisions of Section 3. Notwithstanding anything to the contrary in this Section 8(c), but subject to Section 3(d), until the Installment Redemption Price (together with any Late Charges thereon) is paid in full, the Installment Redemption Amount (together with any Late Charges thereon) may be converted, in whole or in part, by the Holder into shares of Common Stock pursuant to Section 3. In the event the Holder elects to convert all or any portion of the Installment Redemption Amount prior to the applicable Installment Date as set forth in the immediately preceding sentence, the Installment Redemption Amount so converted shall be deducted from the Installment Amounts relating to the applicable Installment Date(s) as set forth in the applicable Conversion Notice. Redemptions required by this Section 8(c) shall be made in accordance with the provisions of Section 13.</w:t>
      </w:r>
    </w:p>
    <w:p>
      <w:pPr>
        <w:spacing w:after="0" w:line="196"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Deferred Installment Amount</w:t>
      </w:r>
      <w:r>
        <w:rPr>
          <w:rFonts w:ascii="Times New Roman" w:cs="Times New Roman" w:eastAsia="Times New Roman" w:hAnsi="Times New Roman"/>
          <w:sz w:val="17"/>
          <w:szCs w:val="17"/>
          <w:color w:val="auto"/>
        </w:rPr>
        <w:t>. Notwithstanding any provision of this Section 8(d) to the contrary, the Holder may, at its option and in its sole discretion, deliver a written notice to the Company no later than the Trading Day immediately prior to the applicable Installment Date electing to have the payment of all or any portion of an Installment Amount payable on such Installment Date deferred (such amount deferred, the “</w:t>
      </w:r>
      <w:r>
        <w:rPr>
          <w:rFonts w:ascii="Times New Roman" w:cs="Times New Roman" w:eastAsia="Times New Roman" w:hAnsi="Times New Roman"/>
          <w:sz w:val="17"/>
          <w:szCs w:val="17"/>
          <w:b w:val="1"/>
          <w:bCs w:val="1"/>
          <w:color w:val="auto"/>
        </w:rPr>
        <w:t>Deferral Amount</w:t>
      </w:r>
      <w:r>
        <w:rPr>
          <w:rFonts w:ascii="Times New Roman" w:cs="Times New Roman" w:eastAsia="Times New Roman" w:hAnsi="Times New Roman"/>
          <w:sz w:val="17"/>
          <w:szCs w:val="17"/>
          <w:color w:val="auto"/>
        </w:rPr>
        <w:t>”, and such deferral, each a “</w:t>
      </w:r>
      <w:r>
        <w:rPr>
          <w:rFonts w:ascii="Times New Roman" w:cs="Times New Roman" w:eastAsia="Times New Roman" w:hAnsi="Times New Roman"/>
          <w:sz w:val="17"/>
          <w:szCs w:val="17"/>
          <w:b w:val="1"/>
          <w:bCs w:val="1"/>
          <w:color w:val="auto"/>
        </w:rPr>
        <w:t>Deferral</w:t>
      </w:r>
      <w:r>
        <w:rPr>
          <w:rFonts w:ascii="Times New Roman" w:cs="Times New Roman" w:eastAsia="Times New Roman" w:hAnsi="Times New Roman"/>
          <w:sz w:val="17"/>
          <w:szCs w:val="17"/>
          <w:color w:val="auto"/>
        </w:rPr>
        <w:t>”) until any subsequent Installment Date selected by the Holder, in its sole discretion, in which case, the Deferral Amount shall be added to, and become part of, such subsequent Installment Amount and such Deferral Amount shall continue to accrue Interest hereunder. Any notice delivered by the Holder pursuant to this Section 8(d) shall set forth (i) the Deferral Amount and</w:t>
      </w:r>
    </w:p>
    <w:p>
      <w:pPr>
        <w:spacing w:after="0" w:line="5" w:lineRule="exact"/>
        <w:rPr>
          <w:sz w:val="20"/>
          <w:szCs w:val="20"/>
          <w:color w:val="auto"/>
        </w:rPr>
      </w:pPr>
    </w:p>
    <w:p>
      <w:pPr>
        <w:jc w:val="both"/>
        <w:ind w:left="4" w:hanging="4"/>
        <w:spacing w:after="0" w:line="253"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such Deferral Amount shall now be payable. If any Pre-Installment Conversion Shares were issued in connection with a Deferral Amount (the “</w:t>
      </w:r>
      <w:r>
        <w:rPr>
          <w:rFonts w:ascii="Times New Roman" w:cs="Times New Roman" w:eastAsia="Times New Roman" w:hAnsi="Times New Roman"/>
          <w:sz w:val="18"/>
          <w:szCs w:val="18"/>
          <w:b w:val="1"/>
          <w:bCs w:val="1"/>
          <w:color w:val="auto"/>
        </w:rPr>
        <w:t>Deferral Pre-Installment Conversion Shares</w:t>
      </w:r>
      <w:r>
        <w:rPr>
          <w:rFonts w:ascii="Times New Roman" w:cs="Times New Roman" w:eastAsia="Times New Roman" w:hAnsi="Times New Roman"/>
          <w:sz w:val="18"/>
          <w:szCs w:val="18"/>
          <w:color w:val="auto"/>
        </w:rPr>
        <w:t>”), then the number of Pre-Installment Conversion Shares that the Company is required to deliver in connection with the next succeeding Installment Conversion shall be reduced by the number of Deferral Pre-Installment Conversion Shares.</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Acceleration of Installment Amounts</w:t>
      </w:r>
      <w:r>
        <w:rPr>
          <w:rFonts w:ascii="Times New Roman" w:cs="Times New Roman" w:eastAsia="Times New Roman" w:hAnsi="Times New Roman"/>
          <w:sz w:val="18"/>
          <w:szCs w:val="18"/>
          <w:color w:val="auto"/>
        </w:rPr>
        <w:t>. Notwithstanding any provision of this Section 8 to the contrary, but subject to Section 3(d), during the period commencing on an Installment Date (a “</w:t>
      </w:r>
      <w:r>
        <w:rPr>
          <w:rFonts w:ascii="Times New Roman" w:cs="Times New Roman" w:eastAsia="Times New Roman" w:hAnsi="Times New Roman"/>
          <w:sz w:val="18"/>
          <w:szCs w:val="18"/>
          <w:b w:val="1"/>
          <w:bCs w:val="1"/>
          <w:color w:val="auto"/>
        </w:rPr>
        <w:t>Current Installment Date</w:t>
      </w:r>
      <w:r>
        <w:rPr>
          <w:rFonts w:ascii="Times New Roman" w:cs="Times New Roman" w:eastAsia="Times New Roman" w:hAnsi="Times New Roman"/>
          <w:sz w:val="18"/>
          <w:szCs w:val="18"/>
          <w:color w:val="auto"/>
        </w:rPr>
        <w:t>”) and ending on the Trading Day immediately prior to the next Installment Date (each, an “</w:t>
      </w:r>
      <w:r>
        <w:rPr>
          <w:rFonts w:ascii="Times New Roman" w:cs="Times New Roman" w:eastAsia="Times New Roman" w:hAnsi="Times New Roman"/>
          <w:sz w:val="18"/>
          <w:szCs w:val="18"/>
          <w:b w:val="1"/>
          <w:bCs w:val="1"/>
          <w:color w:val="auto"/>
        </w:rPr>
        <w:t>Installment Period</w:t>
      </w:r>
      <w:r>
        <w:rPr>
          <w:rFonts w:ascii="Times New Roman" w:cs="Times New Roman" w:eastAsia="Times New Roman" w:hAnsi="Times New Roman"/>
          <w:sz w:val="18"/>
          <w:szCs w:val="18"/>
          <w:color w:val="auto"/>
        </w:rPr>
        <w:t>”), at the option of the Holder, at one or more times, the Holder may (a) convert the Installment Amount with respect to the applicable Current Installment Date in which case the Company’s obligations with respect to such Current Installment Date shall be deemed fulfilled and (b) convert other Installment Amounts (each, an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and each such amount, an “</w:t>
      </w:r>
      <w:r>
        <w:rPr>
          <w:rFonts w:ascii="Times New Roman" w:cs="Times New Roman" w:eastAsia="Times New Roman" w:hAnsi="Times New Roman"/>
          <w:sz w:val="18"/>
          <w:szCs w:val="18"/>
          <w:b w:val="1"/>
          <w:bCs w:val="1"/>
          <w:color w:val="auto"/>
        </w:rPr>
        <w:t>Acceleration Amount</w:t>
      </w:r>
      <w:r>
        <w:rPr>
          <w:rFonts w:ascii="Times New Roman" w:cs="Times New Roman" w:eastAsia="Times New Roman" w:hAnsi="Times New Roman"/>
          <w:sz w:val="18"/>
          <w:szCs w:val="18"/>
          <w:color w:val="auto"/>
        </w:rPr>
        <w:t>”, and the Conversion Date of any such Acceleration, each an “</w:t>
      </w:r>
      <w:r>
        <w:rPr>
          <w:rFonts w:ascii="Times New Roman" w:cs="Times New Roman" w:eastAsia="Times New Roman" w:hAnsi="Times New Roman"/>
          <w:sz w:val="18"/>
          <w:szCs w:val="18"/>
          <w:b w:val="1"/>
          <w:bCs w:val="1"/>
          <w:color w:val="auto"/>
        </w:rPr>
        <w:t>Acceleration Date</w:t>
      </w:r>
      <w:r>
        <w:rPr>
          <w:rFonts w:ascii="Times New Roman" w:cs="Times New Roman" w:eastAsia="Times New Roman" w:hAnsi="Times New Roman"/>
          <w:sz w:val="18"/>
          <w:szCs w:val="18"/>
          <w:color w:val="auto"/>
        </w:rPr>
        <w:t xml:space="preserve">”), in whole or in part, including any Deferral Amounts with respect to such Current Installment Date, in each case of clauses (a) and (b), at the Acceleration Conversion Price of such Current Installment Date in accordance with the conversion procedures set forth in Section 3 hereunder (with “Acceleration Conversion Price” replacing “Conversion Price” for all purposes therein),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provided, that if a Conversion Floor Price Condition exists with respect to such Acceleration Date, with each Acceleration the Company shall also deliver to the Holder the Acceleration Floor Amount on the applicable Share Delivery Deadline. For clarity, any Acceleration Amount shall be applied to the Installment Redemptions in inverse order from the Maturity Date unless otherwise indicated by the Holder.</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Amended and Restated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Third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reasonable best efforts to promptly remedy such failure, including, without limitation, obtaining such consents or approvals as necessary to permit such conversion into shares of Common Stock.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Reservation</w:t>
      </w:r>
      <w:r>
        <w:rPr>
          <w:rFonts w:ascii="Times New Roman" w:cs="Times New Roman" w:eastAsia="Times New Roman" w:hAnsi="Times New Roman"/>
          <w:sz w:val="18"/>
          <w:szCs w:val="18"/>
          <w:color w:val="auto"/>
        </w:rPr>
        <w:t>. So long as any Notes remain outstanding, the Company shall at all times reserve at least 200% of the number of shares of Common Stock as shall from time to time be necessary to effect the conversion, including without limitation, Installment Conversions, Alternate Conversions and Accelerations, of all of the Notes then outstanding at the Floor Price then in effect (without regard to any limitations on conversions and assuming such Notes remain outstanding until the Maturity Date), provided, that such calculation of shares of Common Stock calculated for these purposes shall only be required to be calculated by the Company on a monthly basis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(including, without limitation, each increase in the number of shares so reserved) shall be allocated pro rata among the holders of the Notes based on the Original Principal Amount of the Notes held by each holder on the Issuance Date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9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12(a), and not in limitation thereof, at any time while any of the Notes remain outstanding the Company does not have a sufficient number of authorized and unreserved shares of Common Stock at such time of calculation to satisfy its obligation to reserve for issuance upon conversion of the Notes at least a number of shares of Common Stock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the Interest Rate shall automatically increase to the Default Rate until such time as the Company cures the Authorized Share Failure, subject to compliance with the rules of Nasdaq Capital Market. Nothing contained in this Section 12 shall limit any obligations of the Company under any provision of the Exchange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REDEMPTIONS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w:t>
      </w:r>
      <w:r>
        <w:rPr>
          <w:rFonts w:ascii="Times New Roman" w:cs="Times New Roman" w:eastAsia="Times New Roman" w:hAnsi="Times New Roman"/>
          <w:sz w:val="18"/>
          <w:szCs w:val="18"/>
          <w:color w:val="auto"/>
        </w:rPr>
        <w:t>. The Company shall deliver the applicable Event of Default Redemption Price to the Holder in cash within five</w:t>
      </w:r>
    </w:p>
    <w:p>
      <w:pPr>
        <w:spacing w:after="0" w:line="27" w:lineRule="exact"/>
        <w:rPr>
          <w:sz w:val="20"/>
          <w:szCs w:val="20"/>
          <w:color w:val="auto"/>
        </w:rPr>
      </w:pPr>
    </w:p>
    <w:p>
      <w:pPr>
        <w:jc w:val="both"/>
        <w:ind w:left="4" w:hanging="4"/>
        <w:spacing w:after="0" w:line="266" w:lineRule="auto"/>
        <w:tabs>
          <w:tab w:leader="none" w:pos="27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Company’s receipt of the Holder’s Event of Default Redemption Notice. If the Holder has submitted a Change of Control Redemption Notice in accordance with Section 5,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Installment Redemption Price to the Holder in cash on the applicable Installment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19(d)) representing the Outstanding Principal Value of this Note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19(d), to the Holder, and in each case the principal amount of this Note or such new Note (as the case may be) shall be increased by an amount equal to the difference between (1) the applicable Redemption Price (as the case may be, and as adjusted pursuant to this Section 13(a), if applicable) minus (2) the Outstanding Principal Value portion of the Conversion Amount submitted for redemption and (z) the Conversion Price of this Note shall be automatically adjusted with respect to each conversion effected thereafter by the Holder to the lowest of</w:t>
      </w:r>
    </w:p>
    <w:p>
      <w:pPr>
        <w:spacing w:after="0" w:line="203"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Conversion Price as in effect on the date on which the applicable Redemption Notice is voided, (B) the greater of (x) the Floor Price and</w:t>
      </w:r>
    </w:p>
    <w:p>
      <w:pPr>
        <w:spacing w:after="0" w:line="9" w:lineRule="exact"/>
        <w:rPr>
          <w:rFonts w:ascii="Times New Roman" w:cs="Times New Roman" w:eastAsia="Times New Roman" w:hAnsi="Times New Roman"/>
          <w:sz w:val="17"/>
          <w:szCs w:val="17"/>
          <w:color w:val="auto"/>
        </w:rPr>
      </w:pPr>
    </w:p>
    <w:p>
      <w:pPr>
        <w:jc w:val="both"/>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75% of the lowest Closing Bid Price of the Common Stock during the period beginning on and including the date on which the applicable Redemption Notice is delivered to the Company and ending on and including the date on which the applicable Redemption Notice is voided and</w:t>
      </w:r>
    </w:p>
    <w:p>
      <w:pPr>
        <w:jc w:val="both"/>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the greater of (x) the Floor Price and (y) 75% of the quotient of (I) the sum of the five (5) lowest VWAPs of the Common Stock during the twenty (20) consecutive Trading Day period ending and including the Trading Day immediately preceding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or Section 5(a)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Redemption at the Option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(i)            At any time, provided that the Equity Conditions are satisfied on each Trading Day during the period commencing on the Optional Redemption Notice Date (as defined below) and ending on the Optional Redemption Date (as defined below), the Company shall have the right to redeem all or any portion of the outstanding Principal Value of this Note (the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at a redemption price equal to the product of (x) the Redemption Premium multiplied by (y) the Conversion Amount of the Outstanding Principal Value of this Note being redeemed (such price, the “</w:t>
      </w:r>
      <w:r>
        <w:rPr>
          <w:rFonts w:ascii="Times New Roman" w:cs="Times New Roman" w:eastAsia="Times New Roman" w:hAnsi="Times New Roman"/>
          <w:sz w:val="18"/>
          <w:szCs w:val="18"/>
          <w:b w:val="1"/>
          <w:bCs w:val="1"/>
          <w:color w:val="auto"/>
        </w:rPr>
        <w:t>Optional Redemption Price</w:t>
      </w:r>
      <w:r>
        <w:rPr>
          <w:rFonts w:ascii="Times New Roman" w:cs="Times New Roman" w:eastAsia="Times New Roman" w:hAnsi="Times New Roman"/>
          <w:sz w:val="18"/>
          <w:szCs w:val="18"/>
          <w:color w:val="auto"/>
        </w:rPr>
        <w:t>”). Notwithstanding the foregoing, the Company will not exercise its rights to Optional Redemption, or otherwise send a Notice of Optional Redemption (as defined below) unless the Company has sufficient funds legally available to fully pay the Optional Redemption Price in respect of all of the Outstanding Principal Value of this Note called for Optional Redemption. The Optional Redemption Price shall be payable in cash.</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If the Company elects to effect an Optional Redemption, the Company shall send to the Holder a written notice</w:t>
      </w:r>
    </w:p>
    <w:p>
      <w:pPr>
        <w:spacing w:after="0" w:line="27" w:lineRule="exact"/>
        <w:rPr>
          <w:sz w:val="20"/>
          <w:szCs w:val="20"/>
          <w:color w:val="auto"/>
        </w:rPr>
      </w:pPr>
    </w:p>
    <w:p>
      <w:pPr>
        <w:jc w:val="both"/>
        <w:ind w:left="640" w:firstLine="4"/>
        <w:spacing w:after="0" w:line="251" w:lineRule="auto"/>
        <w:tabs>
          <w:tab w:leader="none" w:pos="8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Holder of the election of the Company to redeem all or the applicable part of the Outstanding Principal Value of this Note and the date set for redemption (the “</w:t>
      </w:r>
      <w:r>
        <w:rPr>
          <w:rFonts w:ascii="Times New Roman" w:cs="Times New Roman" w:eastAsia="Times New Roman" w:hAnsi="Times New Roman"/>
          <w:sz w:val="18"/>
          <w:szCs w:val="18"/>
          <w:b w:val="1"/>
          <w:bCs w:val="1"/>
          <w:color w:val="auto"/>
        </w:rPr>
        <w:t>Optional Redemption Date</w:t>
      </w:r>
      <w:r>
        <w:rPr>
          <w:rFonts w:ascii="Times New Roman" w:cs="Times New Roman" w:eastAsia="Times New Roman" w:hAnsi="Times New Roman"/>
          <w:sz w:val="18"/>
          <w:szCs w:val="18"/>
          <w:color w:val="auto"/>
        </w:rPr>
        <w:t>”), (ii) stating the place or places at which the Outstanding Principal Value of this Note shall be redeemed (and other instructions the Holder must follow to receive payment), and (iii) stating the Optional Redemption Price therefor (such notice, a “</w:t>
      </w:r>
      <w:r>
        <w:rPr>
          <w:rFonts w:ascii="Times New Roman" w:cs="Times New Roman" w:eastAsia="Times New Roman" w:hAnsi="Times New Roman"/>
          <w:sz w:val="18"/>
          <w:szCs w:val="18"/>
          <w:b w:val="1"/>
          <w:bCs w:val="1"/>
          <w:color w:val="auto"/>
        </w:rPr>
        <w:t>Notice of Optional Redemption</w:t>
      </w:r>
      <w:r>
        <w:rPr>
          <w:rFonts w:ascii="Times New Roman" w:cs="Times New Roman" w:eastAsia="Times New Roman" w:hAnsi="Times New Roman"/>
          <w:sz w:val="18"/>
          <w:szCs w:val="18"/>
          <w:color w:val="auto"/>
        </w:rPr>
        <w:t>”; and the date the Holder received such notice is referred to as the “</w:t>
      </w:r>
      <w:r>
        <w:rPr>
          <w:rFonts w:ascii="Times New Roman" w:cs="Times New Roman" w:eastAsia="Times New Roman" w:hAnsi="Times New Roman"/>
          <w:sz w:val="18"/>
          <w:szCs w:val="18"/>
          <w:b w:val="1"/>
          <w:bCs w:val="1"/>
          <w:color w:val="auto"/>
        </w:rPr>
        <w:t>Optional Redemption Notice Date</w:t>
      </w:r>
      <w:r>
        <w:rPr>
          <w:rFonts w:ascii="Times New Roman" w:cs="Times New Roman" w:eastAsia="Times New Roman" w:hAnsi="Times New Roman"/>
          <w:sz w:val="18"/>
          <w:szCs w:val="18"/>
          <w:color w:val="auto"/>
        </w:rPr>
        <w:t>”). The Optional Redemption Date selected by the Company shall be no less than thirty (30) calendar days after the date on which the Company provides the Notice of Optional Redemption to the Holder. All Conversion Amounts converted by a Holder after the Company provides the Notice of Optional Redemption to the Holder shall reduce the Optional Redemption amount of the Outstanding Principal Value of this Note required to be redeemed on the Optional Redemption Date.</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With respect to any portion of the Outstanding Principal Value of this Note which has not been converted by the Holder prior to the Optional Redemption Date and has been specified to be redeemed by the Company pursuant to the Optional Redemption and which has been redeemed in accordance with the provisions of this Section 13, (i) Interest shall cease to accrue such Outstanding Principal Value of this Note, and (ii) such portion of the Outstanding Principal Value of this Note shall no longer be deemed outstanding.</w:t>
      </w:r>
    </w:p>
    <w:p>
      <w:pPr>
        <w:spacing w:after="0" w:line="180"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(iv)          In the event of the Company’s redemption of any of the Outstanding Principal Value of this Note under this Section 13,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13 is intended by the parties to be, and shall be deemed, a reasonable estimate of the Holder’s actual loss of its investment opportunity and not as a penalty.</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Holder Optional Redemption at Maturity Date</w:t>
      </w:r>
      <w:r>
        <w:rPr>
          <w:rFonts w:ascii="Times New Roman" w:cs="Times New Roman" w:eastAsia="Times New Roman" w:hAnsi="Times New Roman"/>
          <w:sz w:val="18"/>
          <w:szCs w:val="18"/>
          <w:color w:val="auto"/>
        </w:rPr>
        <w:t>. At any time from and after the tenth (10th) Business Day prior to the Maturity Date, the Holder may require the Company to redeem (a “</w:t>
      </w:r>
      <w:r>
        <w:rPr>
          <w:rFonts w:ascii="Times New Roman" w:cs="Times New Roman" w:eastAsia="Times New Roman" w:hAnsi="Times New Roman"/>
          <w:sz w:val="18"/>
          <w:szCs w:val="18"/>
          <w:b w:val="1"/>
          <w:bCs w:val="1"/>
          <w:color w:val="auto"/>
        </w:rPr>
        <w:t>Maturity Redemption</w:t>
      </w:r>
      <w:r>
        <w:rPr>
          <w:rFonts w:ascii="Times New Roman" w:cs="Times New Roman" w:eastAsia="Times New Roman" w:hAnsi="Times New Roman"/>
          <w:sz w:val="18"/>
          <w:szCs w:val="18"/>
          <w:color w:val="auto"/>
        </w:rPr>
        <w:t>”), out of funds legally available therefor, all or any portion of the Outstanding Principal Value of this Note at a purchase price equal to the product of 100% of the Conversion Amount of the Outstanding Principal Value of this Note being redeemed (the “</w:t>
      </w:r>
      <w:r>
        <w:rPr>
          <w:rFonts w:ascii="Times New Roman" w:cs="Times New Roman" w:eastAsia="Times New Roman" w:hAnsi="Times New Roman"/>
          <w:sz w:val="18"/>
          <w:szCs w:val="18"/>
          <w:b w:val="1"/>
          <w:bCs w:val="1"/>
          <w:color w:val="auto"/>
        </w:rPr>
        <w:t>Maturity Redemption Price</w:t>
      </w:r>
      <w:r>
        <w:rPr>
          <w:rFonts w:ascii="Times New Roman" w:cs="Times New Roman" w:eastAsia="Times New Roman" w:hAnsi="Times New Roman"/>
          <w:sz w:val="18"/>
          <w:szCs w:val="18"/>
          <w:color w:val="auto"/>
        </w:rPr>
        <w:t>”). The Maturity Redemption Notice shall state the date the Company is required to pay to the Holder such Maturity Redemption Price (the “</w:t>
      </w:r>
      <w:r>
        <w:rPr>
          <w:rFonts w:ascii="Times New Roman" w:cs="Times New Roman" w:eastAsia="Times New Roman" w:hAnsi="Times New Roman"/>
          <w:sz w:val="18"/>
          <w:szCs w:val="18"/>
          <w:b w:val="1"/>
          <w:bCs w:val="1"/>
          <w:color w:val="auto"/>
        </w:rPr>
        <w:t>Maturity Redemption Date</w:t>
      </w:r>
      <w:r>
        <w:rPr>
          <w:rFonts w:ascii="Times New Roman" w:cs="Times New Roman" w:eastAsia="Times New Roman" w:hAnsi="Times New Roman"/>
          <w:sz w:val="18"/>
          <w:szCs w:val="18"/>
          <w:color w:val="auto"/>
        </w:rPr>
        <w:t>”), which date shall be no earlier than ten (10) Business Days following the date of delivery of such Maturity Redemption Notice.</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and as expressly provided in this Note.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22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xml:space="preserve">. All payments due under this Note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Notes and (b) shall be senior to all other Indebtedness of the Company and its Subsidiaries.</w:t>
      </w:r>
    </w:p>
    <w:p>
      <w:pPr>
        <w:spacing w:after="0" w:line="16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Incurrence of Indebtedness</w:t>
      </w:r>
      <w:r>
        <w:rPr>
          <w:rFonts w:ascii="Times New Roman" w:cs="Times New Roman" w:eastAsia="Times New Roman" w:hAnsi="Times New Roman"/>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Existence of Liens</w:t>
      </w:r>
      <w:r>
        <w:rPr>
          <w:rFonts w:ascii="Times New Roman" w:cs="Times New Roman" w:eastAsia="Times New Roman" w:hAnsi="Times New Roman"/>
          <w:sz w:val="18"/>
          <w:szCs w:val="18"/>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any amounts payable pursuant to the Notes or the Company’s Series G Convertible Preferred Stock, par value $0.01 per share (“</w:t>
      </w:r>
      <w:r>
        <w:rPr>
          <w:rFonts w:ascii="Times New Roman" w:cs="Times New Roman" w:eastAsia="Times New Roman" w:hAnsi="Times New Roman"/>
          <w:sz w:val="18"/>
          <w:szCs w:val="18"/>
          <w:b w:val="1"/>
          <w:bCs w:val="1"/>
          <w:color w:val="auto"/>
        </w:rPr>
        <w:t>Series G Preferred Stock</w:t>
      </w:r>
      <w:r>
        <w:rPr>
          <w:rFonts w:ascii="Times New Roman" w:cs="Times New Roman" w:eastAsia="Times New Roman" w:hAnsi="Times New Roman"/>
          <w:sz w:val="18"/>
          <w:szCs w:val="18"/>
          <w:color w:val="auto"/>
        </w:rPr>
        <w:t>”)) whether by way of payment in respect of principal of (or premium, if any) or interest on, such Indebtedness if at the time such payment with respect to such Indebtedness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out of its capital stock (other than as required by this Note and the Series G Preferred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Maturity of Indebtedness</w:t>
      </w:r>
      <w:r>
        <w:rPr>
          <w:rFonts w:ascii="Times New Roman" w:cs="Times New Roman" w:eastAsia="Times New Roman" w:hAnsi="Times New Roman"/>
          <w:sz w:val="18"/>
          <w:szCs w:val="18"/>
          <w:color w:val="auto"/>
        </w:rPr>
        <w:t>. The Company shall not, and the Company shall cause each of its Subsidiaries to not, directly or indirectly, permit any Indebtedness of the Company or any of its Subsidiaries to mature or accelerate prior to the Maturity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Closing Date or any business substantially related or incidental thereto. The Company shall not, and the Company shall cause each of its Subsidiaries to not, directly or indirectly, modify its or their corporate structure or purpose in any material respect.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provided, however, that the Company shall have the right to merge or combine wholly-owned Subsidiaries hereunder, or eliminate or dissolve foreign Subsidiaries, in each case where such restructuring does not have a material impact on the Company’s assets or ability to comply with the provisions 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3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Maintenance of Intellectual Property</w:t>
      </w:r>
      <w:r>
        <w:rPr>
          <w:rFonts w:ascii="Times New Roman" w:cs="Times New Roman" w:eastAsia="Times New Roman" w:hAnsi="Times New Roman"/>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use its reasonable best efforts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are generally consistent with the coverage held by the Company on the Closing Date.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if applicable, consistent with past practice and necessary or desirable for the prudent operation of its business, for fair consideration and on terms no less favorable to it or its Subsidiaries than would reasonably be expected to be obtainable in a comparable arm’s length transaction with a Person that is not an affiliate thereof.</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Restricted Issuances</w:t>
      </w:r>
      <w:r>
        <w:rPr>
          <w:rFonts w:ascii="Times New Roman" w:cs="Times New Roman" w:eastAsia="Times New Roman" w:hAnsi="Times New Roman"/>
          <w:sz w:val="18"/>
          <w:szCs w:val="18"/>
          <w:color w:val="auto"/>
        </w:rPr>
        <w:t>. The Company shall not, directly or indirectly, without the prior written consent of the holders of a majority in aggregate principal amount of the Notes then outstanding, (i) issue any Notes (other than as contemplated by the Exchange Agreement and the Notes) or (ii) issue any other securities that would cause a breach or default under the Notes.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9" w:name="page40"/>
    <w:bookmarkEnd w:id="39"/>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Cash Minimum; Control Account</w:t>
      </w:r>
      <w:r>
        <w:rPr>
          <w:rFonts w:ascii="Times New Roman" w:cs="Times New Roman" w:eastAsia="Times New Roman" w:hAnsi="Times New Roman"/>
          <w:sz w:val="18"/>
          <w:szCs w:val="18"/>
          <w:color w:val="auto"/>
        </w:rPr>
        <w:t>. The Company shall maintain unencumbered, unrestricted cash and cash equivalents on hand in amount equal to at least $1,000,000 (the “</w:t>
      </w:r>
      <w:r>
        <w:rPr>
          <w:rFonts w:ascii="Times New Roman" w:cs="Times New Roman" w:eastAsia="Times New Roman" w:hAnsi="Times New Roman"/>
          <w:sz w:val="18"/>
          <w:szCs w:val="18"/>
          <w:b w:val="1"/>
          <w:bCs w:val="1"/>
          <w:color w:val="auto"/>
        </w:rPr>
        <w:t>Cash Minimum</w:t>
      </w:r>
      <w:r>
        <w:rPr>
          <w:rFonts w:ascii="Times New Roman" w:cs="Times New Roman" w:eastAsia="Times New Roman" w:hAnsi="Times New Roman"/>
          <w:sz w:val="18"/>
          <w:szCs w:val="18"/>
          <w:color w:val="auto"/>
        </w:rPr>
        <w:t>”). Such cash shall be maintained in one or more domestic deposit accounts, money market accounts or certificates of deposit (with a maturity of no more than three months) with one or more Eligible Banks. For purposes hereof, an “</w:t>
      </w:r>
      <w:r>
        <w:rPr>
          <w:rFonts w:ascii="Times New Roman" w:cs="Times New Roman" w:eastAsia="Times New Roman" w:hAnsi="Times New Roman"/>
          <w:sz w:val="18"/>
          <w:szCs w:val="18"/>
          <w:b w:val="1"/>
          <w:bCs w:val="1"/>
          <w:color w:val="auto"/>
        </w:rPr>
        <w:t>Eligible Bank</w:t>
      </w:r>
      <w:r>
        <w:rPr>
          <w:rFonts w:ascii="Times New Roman" w:cs="Times New Roman" w:eastAsia="Times New Roman" w:hAnsi="Times New Roman"/>
          <w:sz w:val="18"/>
          <w:szCs w:val="18"/>
          <w:color w:val="auto"/>
        </w:rPr>
        <w:t>” is a U.S. chartered commercial bank with total assets in excess of $300 billion. Notwithstanding the foregoing, the Company shall be able to use such cash and cash equivalents in the ordinary course of business for general corporate purposes, provided that upon each fiscal year end and each fiscal quarterly end, the Company shall maintain unencumbered, unrestricted cash and cash equivalents on hand in an amount equal to at least the Cash Minimum.</w:t>
      </w:r>
    </w:p>
    <w:p>
      <w:pPr>
        <w:spacing w:after="0" w:line="18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Segregated Account</w:t>
      </w:r>
      <w:r>
        <w:rPr>
          <w:rFonts w:ascii="Times New Roman" w:cs="Times New Roman" w:eastAsia="Times New Roman" w:hAnsi="Times New Roman"/>
          <w:sz w:val="18"/>
          <w:szCs w:val="18"/>
          <w:color w:val="auto"/>
        </w:rPr>
        <w:t>. On the Closing Date, the Company shall deposit an amount equal to $1,350,000 (the “</w:t>
      </w:r>
      <w:r>
        <w:rPr>
          <w:rFonts w:ascii="Times New Roman" w:cs="Times New Roman" w:eastAsia="Times New Roman" w:hAnsi="Times New Roman"/>
          <w:sz w:val="18"/>
          <w:szCs w:val="18"/>
          <w:b w:val="1"/>
          <w:bCs w:val="1"/>
          <w:color w:val="auto"/>
        </w:rPr>
        <w:t>Segregated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Minimum Amount</w:t>
      </w:r>
      <w:r>
        <w:rPr>
          <w:rFonts w:ascii="Times New Roman" w:cs="Times New Roman" w:eastAsia="Times New Roman" w:hAnsi="Times New Roman"/>
          <w:sz w:val="18"/>
          <w:szCs w:val="18"/>
          <w:color w:val="auto"/>
        </w:rPr>
        <w:t>”) into a newly established segregated deposit account (the “</w:t>
      </w:r>
      <w:r>
        <w:rPr>
          <w:rFonts w:ascii="Times New Roman" w:cs="Times New Roman" w:eastAsia="Times New Roman" w:hAnsi="Times New Roman"/>
          <w:sz w:val="18"/>
          <w:szCs w:val="18"/>
          <w:b w:val="1"/>
          <w:bCs w:val="1"/>
          <w:color w:val="auto"/>
        </w:rPr>
        <w:t>Segregated Account</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Segregated Cash</w:t>
      </w:r>
      <w:r>
        <w:rPr>
          <w:rFonts w:ascii="Times New Roman" w:cs="Times New Roman" w:eastAsia="Times New Roman" w:hAnsi="Times New Roman"/>
          <w:sz w:val="18"/>
          <w:szCs w:val="18"/>
          <w:color w:val="auto"/>
        </w:rPr>
        <w:t>”). The Segregated Cash Minimum Amount shall be reduced proportionally on a dollar-for-dollar basis as (i) the Outstanding Principal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this Note is redeemed, converted or otherwise repaid in accordance with this Note, or (ii) the outstanding shares of the Company’s Series G Preferred Stock are redeemed, converted or otherwise repaid in accordance with the Certificate of Designations of the Series G Convertible Preferred Stock of the Company (the “</w:t>
      </w:r>
      <w:r>
        <w:rPr>
          <w:rFonts w:ascii="Times New Roman" w:cs="Times New Roman" w:eastAsia="Times New Roman" w:hAnsi="Times New Roman"/>
          <w:sz w:val="18"/>
          <w:szCs w:val="18"/>
          <w:b w:val="1"/>
          <w:bCs w:val="1"/>
          <w:color w:val="auto"/>
        </w:rPr>
        <w:t>Series G Certificate of Designations</w:t>
      </w:r>
      <w:r>
        <w:rPr>
          <w:rFonts w:ascii="Times New Roman" w:cs="Times New Roman" w:eastAsia="Times New Roman" w:hAnsi="Times New Roman"/>
          <w:sz w:val="18"/>
          <w:szCs w:val="18"/>
          <w:color w:val="auto"/>
        </w:rPr>
        <w:t>”), on the basis of the Stated Value (as defined in the Series G Certificate of Designations) thereof. Beginning with the first full calendar month following the Issuance Date, and within ten</w:t>
      </w:r>
    </w:p>
    <w:p>
      <w:pPr>
        <w:spacing w:after="0" w:line="1" w:lineRule="exact"/>
        <w:rPr>
          <w:sz w:val="20"/>
          <w:szCs w:val="20"/>
          <w:color w:val="auto"/>
        </w:rPr>
      </w:pPr>
    </w:p>
    <w:p>
      <w:pPr>
        <w:jc w:val="both"/>
        <w:ind w:left="4" w:hanging="4"/>
        <w:spacing w:after="0" w:line="253" w:lineRule="auto"/>
        <w:tabs>
          <w:tab w:leader="none" w:pos="3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end of each calendar month thereafter, the Company shall deliver to the Holder true, complete and unredacted copies of a monthly bank statement for the Segregated Account showing the month-end balance of cash on deposit, which shall equal the Segregated Cash Minimum Amount. The Company further covenants and agrees that the Segregated Cash will only be used by the Company solely for the purpose of performing its monetary obligations to the Holders under this Note; provided, however, that the Company may use the Segregated Cash for any purpose, including general corporate purposes, with the prior written consent of the Required Holders.</w:t>
      </w:r>
    </w:p>
    <w:p>
      <w:pPr>
        <w:spacing w:after="0" w:line="187"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200" w:lineRule="exact"/>
        <w:rPr>
          <w:sz w:val="20"/>
          <w:szCs w:val="20"/>
          <w:color w:val="auto"/>
        </w:rPr>
      </w:pPr>
    </w:p>
    <w:p>
      <w:pPr>
        <w:spacing w:after="0" w:line="20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15.           [RESERVED].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merger,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Floor Price as of the applicable record date) immediately prior to the date on which a record is taken for such Distribution or, if no such record is taken, the date as of which the record holders of shares of Common Stock are to be determined for such Distributions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which may not be amended, modified or waived by the parties hereto, the prior written consent of the Holder shall be required for any change, waiver or amendment to this Note.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Note is to be transferred, the applicable Holder shall provide written notice to the Company and surrender this Note to the Company, whereupon the Company will forthwith issue and deliver upon the order of the Holder a new Note (in accordance with Section 19(d)), registered as the Holder may request, representing the outstanding Principal being transferred by the Holder and, if less than the entire outstanding Principal is being transferred, a new Note (in accordance with Section 19(d))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19(d)) representing the outstanding Principal.</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19(d)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Issuance of New Notes</w:t>
      </w:r>
      <w:r>
        <w:rPr>
          <w:rFonts w:ascii="Times New Roman" w:cs="Times New Roman" w:eastAsia="Times New Roman" w:hAnsi="Times New Roman"/>
          <w:sz w:val="17"/>
          <w:szCs w:val="17"/>
          <w:color w:val="auto"/>
        </w:rPr>
        <w:t>. Whenever the Company is required to issue a new Note pursuant to the terms of this Note, such new Note</w:t>
      </w:r>
    </w:p>
    <w:p>
      <w:pPr>
        <w:spacing w:after="0" w:line="39" w:lineRule="exact"/>
        <w:rPr>
          <w:sz w:val="20"/>
          <w:szCs w:val="20"/>
          <w:color w:val="auto"/>
        </w:rPr>
      </w:pPr>
    </w:p>
    <w:p>
      <w:pPr>
        <w:jc w:val="both"/>
        <w:ind w:left="660" w:hanging="4"/>
        <w:spacing w:after="0" w:line="252" w:lineRule="auto"/>
        <w:tabs>
          <w:tab w:leader="none" w:pos="8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           [RESERVED].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and/or any other Transaction Document or to enforce the provisions of this Note and/or any other Transaction Document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w:t>
      </w:r>
    </w:p>
    <w:p>
      <w:pPr>
        <w:spacing w:after="0" w:line="20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  </w:t>
      </w:r>
    </w:p>
    <w:p>
      <w:pPr>
        <w:spacing w:after="0" w:line="2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FAILURE OR INDULGENCE NOT WAIVER</w:t>
      </w:r>
      <w:r>
        <w:rPr>
          <w:rFonts w:ascii="Times New Roman" w:cs="Times New Roman" w:eastAsia="Times New Roman" w:hAnsi="Times New Roman"/>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This Note shall be deemed to be jointly drafted by the Company and all Holders and shall not be construed against any Person as the drafter hereof. Notwithstanding the foregoing, nothing contained in this Section 24 shall permit any waiver of any provision of Section 3(d).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Submission to Dispute Resolution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In the case of a dispute relating to a Closing Bid Price, a Closing Sale Price, a Conversion Price, an Installment Conversion Price, an Acceleration Conversion Price, an Alternate Conversion Price,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Installment Conversion Price, such Acceleration Conversion Price, such Alternate Conversion Price, such VWAP or such fair market value, or the arithmetic calculation of such Conversion Rate or such applicable Redemption Price (as the case may</w:t>
      </w:r>
    </w:p>
    <w:p>
      <w:pPr>
        <w:spacing w:after="0" w:line="4" w:lineRule="exact"/>
        <w:rPr>
          <w:sz w:val="20"/>
          <w:szCs w:val="20"/>
          <w:color w:val="auto"/>
        </w:rPr>
      </w:pPr>
    </w:p>
    <w:p>
      <w:pPr>
        <w:jc w:val="both"/>
        <w:ind w:left="1300"/>
        <w:spacing w:after="0" w:line="221" w:lineRule="auto"/>
        <w:rPr>
          <w:sz w:val="20"/>
          <w:szCs w:val="20"/>
          <w:color w:val="auto"/>
        </w:rPr>
      </w:pPr>
      <w:r>
        <w:rPr>
          <w:rFonts w:ascii="Times New Roman" w:cs="Times New Roman" w:eastAsia="Times New Roman" w:hAnsi="Times New Roman"/>
          <w:sz w:val="18"/>
          <w:szCs w:val="18"/>
          <w:color w:val="auto"/>
        </w:rPr>
        <w:t>be), at any 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 Holder and the Company shall each deliver to such investment bank (A) a copy of the initial dispute submission so delivered in accordance with the first sentence of this Section 25 and (B) written documentation supporting its position with respect to</w:t>
      </w:r>
    </w:p>
    <w:p>
      <w:pPr>
        <w:spacing w:after="0" w:line="1" w:lineRule="exact"/>
        <w:rPr>
          <w:sz w:val="20"/>
          <w:szCs w:val="20"/>
          <w:color w:val="auto"/>
        </w:rPr>
      </w:pPr>
    </w:p>
    <w:p>
      <w:pPr>
        <w:jc w:val="both"/>
        <w:ind w:left="1300"/>
        <w:spacing w:after="0" w:line="241" w:lineRule="auto"/>
        <w:rPr>
          <w:sz w:val="20"/>
          <w:szCs w:val="20"/>
          <w:color w:val="auto"/>
        </w:rPr>
      </w:pPr>
      <w:r>
        <w:rPr>
          <w:rFonts w:ascii="Times New Roman" w:cs="Times New Roman" w:eastAsia="Times New Roman" w:hAnsi="Times New Roman"/>
          <w:sz w:val="18"/>
          <w:szCs w:val="18"/>
          <w:color w:val="auto"/>
        </w:rPr>
        <w:t>such dispute, in each 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The Company expressly acknowledges and agrees that (i) this Section 25 constitutes an agreement to arbitrate between the Company and the Holder (and constitutes an arbitration agreement)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25, (ii)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(iii) the Holder (and only the Holder), in its sole discretion, shall have the right to submit any dispute described in this Section 25 to any state or federal court sitting in The City of New York, Borough of Manhattan in lieu of utilizing the procedures set forth in this Section 25 and (iv) nothing in this Section 25 shall limit the Holder from obtaining any injunctive relief or other equitable remedies (including, without limitation, with respect to any matters described in this Section 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NOTICES; CURRENCY;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4.05 of the Exchange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shares of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xml:space="preserve">” means, in relation to any amount of currency to be converted into U.S. Dollars pursuant to this Note, the U.S. Dollar exchange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relevant date of calculation (it being understood and agreed that where an amount is calculated with reference to, or over, a period of time, the date of calculation shall be the final date of such period of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Investors, shall initially be as set forth on the signature pages attached to the Exchange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Outstanding Value of this Note or other amounts due under the Transaction Documents which is not paid when due shall result in a late charge being incurred and payable by the Company in an amount equal to interest on such amount at the rate of fifteen percent (15%)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CANCELLATION</w:t>
      </w:r>
      <w:r>
        <w:rPr>
          <w:rFonts w:ascii="Times New Roman" w:cs="Times New Roman" w:eastAsia="Times New Roman" w:hAnsi="Times New Roman"/>
          <w:sz w:val="18"/>
          <w:szCs w:val="18"/>
          <w:color w:val="auto"/>
        </w:rPr>
        <w:t>. After all of the Outstanding Value of this Note and other amounts at any time owed on this Note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have been paid in full, this Note shall automatically be deemed canceled, shall be surrendered to the Company for cancellation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reissued.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Exchange Agreement.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Except as otherwise required by Section 25 above,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or to enforce a judgment or other court ruling in favor of the Holder or (ii) shall limit, or shall be deemed or construed to limit, any provision of Section 25. </w:t>
      </w:r>
      <w:r>
        <w:rPr>
          <w:rFonts w:ascii="Times New Roman" w:cs="Times New Roman" w:eastAsia="Times New Roman" w:hAnsi="Times New Roman"/>
          <w:sz w:val="18"/>
          <w:szCs w:val="18"/>
          <w:b w:val="1"/>
          <w:bCs w:val="1"/>
          <w:color w:val="auto"/>
        </w:rPr>
        <w:t>THE COMPANY</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HEREBY IRREVOCABLY WAIVES ANY RIGHT IT MAY HAVE TO, AND AGREES NOT TO REQUEST, A JURY TRIAL FOR THE ADJUDICATION OF ANY DISPUTE HEREUNDER OR IN CONNECTION WITH OR ARISING OUT OF THIS NOTE OR ANY TRANSACTION CONTEMPLATED 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firstLine="972"/>
        <w:spacing w:after="0" w:line="250" w:lineRule="auto"/>
        <w:rPr>
          <w:sz w:val="20"/>
          <w:szCs w:val="20"/>
          <w:color w:val="auto"/>
        </w:rPr>
      </w:pPr>
      <w:r>
        <w:rPr>
          <w:rFonts w:ascii="Times New Roman" w:cs="Times New Roman" w:eastAsia="Times New Roman" w:hAnsi="Times New Roman"/>
          <w:sz w:val="18"/>
          <w:szCs w:val="18"/>
          <w:color w:val="auto"/>
        </w:rPr>
        <w:t>(i)            the date actual payment of the amount due, in the case of any proceeding in the courts of New York or in the courts of any other jurisdiction that will give effect to such conversion being made on such date: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firstLine="972"/>
        <w:spacing w:after="0" w:line="265" w:lineRule="auto"/>
        <w:rPr>
          <w:sz w:val="20"/>
          <w:szCs w:val="20"/>
          <w:color w:val="auto"/>
        </w:rPr>
      </w:pPr>
      <w:r>
        <w:rPr>
          <w:rFonts w:ascii="Times New Roman" w:cs="Times New Roman" w:eastAsia="Times New Roman" w:hAnsi="Times New Roman"/>
          <w:sz w:val="17"/>
          <w:szCs w:val="17"/>
          <w:color w:val="auto"/>
        </w:rPr>
        <w:t>(ii)            the date on which the foreign court determines, in the case of any proceeding in the courts of any other jurisdiction (the date as of which such conversion is made pursuant to this Section 30(a)(ii) being hereinafter referred to as the “</w:t>
      </w:r>
      <w:r>
        <w:rPr>
          <w:rFonts w:ascii="Times New Roman" w:cs="Times New Roman" w:eastAsia="Times New Roman" w:hAnsi="Times New Roman"/>
          <w:sz w:val="17"/>
          <w:szCs w:val="17"/>
          <w:b w:val="1"/>
          <w:bCs w:val="1"/>
          <w:color w:val="auto"/>
        </w:rPr>
        <w:t>Judgment Conversion Date</w:t>
      </w: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Any amount due from the Company under this provision shall be due as a separate debt and shall not be affected by judgment being obtained for any other amounts due under or in respect of this Note.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jurisdiction, the provision that would otherwise be prohibited, invalid or unenforceable shall be deemed amended to apply to the broadest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it would be valid and enforceable, and the invalidity or unenforceability of such provision shall not affect the validity of the remaining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so long as this Note as so modified continues to express, without material change, the original intentions of the parties as to the subject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and the prohibited nature, invalidity or unenforceability of the provision(s) in question does not substantially impair the respective expectations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reciprocal obligations of the parties or the practical realization of the benefits that would otherwise be conferred upon the parties. The parties will endeavor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good faith negotiations to replace the prohibited, invalid or unenforceable provision(s) with a valid provision(s), the effect of which comes as close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to that of the prohibited, invalid or unenforceable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SECURITY INTEREST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Grant of Security Interest</w:t>
      </w:r>
      <w:r>
        <w:rPr>
          <w:rFonts w:ascii="Times New Roman" w:cs="Times New Roman" w:eastAsia="Times New Roman" w:hAnsi="Times New Roman"/>
          <w:sz w:val="18"/>
          <w:szCs w:val="18"/>
          <w:color w:val="auto"/>
        </w:rPr>
        <w:t>. To secure the prompt and complete payment and performance of the Secured Obligations when due, whether at stated maturity, by required prepayment, declaration, acceleration, demand or otherwise (including the payment of amounts that would become due but for the operation of the automatic stay under Debtor Relief Laws), the Company hereby pledges, assigns and grants to Holder a continuing security interest in, lien upon, and a right of set off against, all of the Company’s right, title and interest in all the assets of the Company, including, without limitation: (i) all accounts and any money, cash, cash equivalents, securities, commodity contracts, general intangibles, investment property, financial assets and other property which may from time to time be deposited, credited, held or carried in any such accounts; (ii) chattel paper, commercial tort claims, documents, general intangibles, goods, instruments, investment property, controllable accounts, controllable electronic records, controllable payment intangibles, electronic chattel paper, electronic documents and electronic money, and all other personal property, to the extent not otherwise included above; and (iii) all Proceeds of the foregoing (collectively,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Financing Statements</w:t>
      </w:r>
      <w:r>
        <w:rPr>
          <w:rFonts w:ascii="Times New Roman" w:cs="Times New Roman" w:eastAsia="Times New Roman" w:hAnsi="Times New Roman"/>
          <w:sz w:val="18"/>
          <w:szCs w:val="18"/>
          <w:color w:val="auto"/>
        </w:rPr>
        <w:t>. The Company hereby irrevocably authorizes Holder at any time and from time to time to file any initial financing statements and amendments thereto or continuations thereof, in each case to the extent necessary or advisable to perfect Holder’s security interest in the Collateral under the UCC. The Company agrees to furnish Holder promptly upon any request any information that is necessary in order for Holder to prepare such financing statements, amendments or continuations. Other than the financing statements with respect hereto, there are no other financing statements covering any Collateral, other than those evidencing Permitted 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any time and from time to time, upon the request of Holder, and at the sole expense of the Company, the Company shall promptly execute and deliver all such further instruments and documents and take such further actions as Holder may reasonably request (i) to assure Holder that its security interests hereunder are perfected with a first priority lien, subject only to Permitted Liens, (ii) to carry out the provisions and purposes of this Section 33 including (A) the filing of such financing statements as Holder may require, (B) executing control agreements with respect to any Collateral, in each case naming Holder, as secured party, inform and substance reasonably satisfactory to Holder, (C) furnishing to Holder from time to time statements and schedules further identifying and describing the Collateral and such other reports in connection with the Collateral as Holder may reasonably request, all in reasonable detail and (D) taking all actions required by law in any relevant UCC, or by other law as applicable in any foreign jurisdiction.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Power of Attorney</w:t>
      </w:r>
      <w:r>
        <w:rPr>
          <w:rFonts w:ascii="Times New Roman" w:cs="Times New Roman" w:eastAsia="Times New Roman" w:hAnsi="Times New Roman"/>
          <w:sz w:val="18"/>
          <w:szCs w:val="18"/>
          <w:color w:val="auto"/>
        </w:rPr>
        <w:t>. The Company hereby irrevocably constitutes and appoints Holder and any officer or agent thereof, with full power of substitution, as its true and lawful attorney-in-fact with full irrevocable power and authority in the name of the Company or in its own name, to take, after the occurrence of an Event of Default and from time to time thereafter, any and all action and to execute any and all documents and instruments which Holder at any time and from time to time deems necessary or desirable to accomplish the purposes of this Section 33, including, without limitation: (i) to endorse the Company’s name on any checks, notes, acceptances, money orders, or other forms of payment or security, in each case constituting Collateral, that come into Holder’s possession; (ii) to sign the Company’s name on any invoice, bill of lading, warehouse receipt, or other negotiable or non-negotiable document constituting Collateral, on drafts against customers, on assignments of accounts, on notices of assignment, financing statements, and other public records, and to file financing statements by electronic means with or without signature as authorized or required by applicable law or filing procedure; (iii) to notify the post office authorities to change the address for delivery of any of the Company’s mail to an address designated by Holder and to receive, open, and process all mail address to the Company; provided that Holder shall promptly return to the Company all mail unrelated to the Collateral; (iv) to send requests for verification of accounts constituting Collateral of the Company to customers or account debtors; (v) to complete in Holder’s name or the Company’s name, any order, sale, or transaction, obtain the necessary documents in connection therewith, and collect the Proceeds thereof; (vi) to clear inventory constituting Collateral of the Company through customers in Holder’s name, the Company’s name or the name of Holder’s designee, and to sign and deliver to customers officials powers of attorney in the Company’s name for such purpose; (vii) to the extent that the Company’s authorization given in Section 33(b) above is not sufficient, to file such financing statements with respect to this Section 33, with or without the Company’s signature, as Holder may deem appropriate and to execute in the Company’s name such financing statements and amendments thereto and continuation statements which may require the Company’s signature; and (viii) to do all things reasonably necessary to carry out the terms and conditions of this Note or any other Transaction Document, as applicable. The Company ratifies and approves all acts of such attorney. Neither Holder nor its attorneys will be liable for any acts or omissions or for any error of judgment or mistake of fact or law except for their willful misconduct, gross negligence, or violation of law as determined by a court of competent jurisdiction in final and non-appealable judgment. This power, being coupled with an interest, is irrevocable, and given by way of security to secure the payment and performance of the Secured Obligations until the security interest is terminated in accordance with Section 33(e). Notwithstanding anything contained in this Section 33 or any other provision of this Note to the contrary, Holder agrees that it will not take any of the foregoing actions pursuant to such power of attorney, as the Company’s agent and attorney-in-fact, except when an Event of Default has occurred and is continuing.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The security interest and all related rights and powers granted or created under this Section 33 shall terminate upon indefeasible payment in full of the Secured Obligations (other than contingent indemnification obligations for which no claim has been asserted). Upon the termination of the security interest, Holder shall, at the Company’s request and at the Company’s expense, take all reasonable action necessary or appropriate to confirm the termination of all rights, powers and interests under this Section 33 and the release of the Collateral (to the extent released) from the security interests granted or created hereunder, including, without limitation, the execution and delivery of termination statements and releases and, where appropriate, the return of physical possession and control of such Collateral.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Acceleration Conversion Price</w:t>
      </w:r>
      <w:r>
        <w:rPr>
          <w:rFonts w:ascii="Times New Roman" w:cs="Times New Roman" w:eastAsia="Times New Roman" w:hAnsi="Times New Roman"/>
          <w:sz w:val="18"/>
          <w:szCs w:val="18"/>
          <w:color w:val="auto"/>
        </w:rPr>
        <w:t>” means, with respect to any given Acceleration Date, the lower of (i) the Installment Conversion Price for such Current Installment Date related to such Acceleration Date and (ii) the greater of (x) the Floor Price and (y) the lowest of (A) 80% of the VWAP of the shares of Common Stock as of the Trading Day immediately preceding the applicable Acceleration Date, and (B) 80% of the quotient of (I) the sum of the VWAP of the shares of Common Stock for each of the three (3) Trading Days with the lowest VWAP of the shares of Common Stock during the thirty (30) consecutive Trading Day period ending and including the Trading Day immediately prior to such Acceleration Date, divided by (II) three (3); provided that, solely with respect to any Deferral Amount subject to an Acceleration, “Acceleration Conversion Price” shall mean the lowest Acceleration Conversion Price of any Installment Date in which such Deferral Amount has been deferred hereunder. All such determinations shall be appropriately adjusted for any stock split, stock dividend, stock combination or other similar transaction during any such measuring period.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Acceleration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Acceleration Date with respect to such Acceleration and (II) the applicable Acceleration Conversion Price of such Acceleration Date and (B) the difference obtained by subtracting (I) the number of shares of Common Stock delivered (or to be delivered) to the Holder on the applicable Share Delivery Deadline with respect to such Acceleration from (II) the quotient obtain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7(a))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Alternate Conversion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obtained by dividing (x) the applicable Conversion Amount that the Holder has elected to be the subject of the applicable Alternate Conversion, by (y) the applicable Alternate Conversion Price without giving effect to clause (x) of such definition.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Alternate Conversion Price</w:t>
      </w:r>
      <w:r>
        <w:rPr>
          <w:rFonts w:ascii="Times New Roman" w:cs="Times New Roman" w:eastAsia="Times New Roman" w:hAnsi="Times New Roman"/>
          <w:sz w:val="18"/>
          <w:szCs w:val="18"/>
          <w:color w:val="auto"/>
        </w:rPr>
        <w:t>” means, with respect to any Alternate Conversion that price which shall be the lowest of (i) the applicable Conversion Price as in effect on the applicable Conversion Date of the applicable Alternate Conversion, and (ii) the greater of (x) the Floor Price and (y) 75% of the lowest VWAP of the Common Stock of any Trading Day during the twenty (20) consecutive Trading Day period ending and including the Trading Day immediately preceding the delivery or deemed delivery of the applicable Conversion Notice (such period, the “</w:t>
      </w:r>
      <w:r>
        <w:rPr>
          <w:rFonts w:ascii="Times New Roman" w:cs="Times New Roman" w:eastAsia="Times New Roman" w:hAnsi="Times New Roman"/>
          <w:sz w:val="18"/>
          <w:szCs w:val="18"/>
          <w:b w:val="1"/>
          <w:bCs w:val="1"/>
          <w:color w:val="auto"/>
        </w:rPr>
        <w:t>Alternate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or agreement which has been approved by the Board prior to or subsequent to the Issuance Date pursuant to which shares of Common Stock and options to purchase Common Stock or other awards convertible, exercisable for or exchangeable for shares of Common Stock may be issued to any employee, officer, consultant or director for services provided to the Company in their capacity as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shares of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of the Company and its Subsidiaries on any date shall be determined from such Persons’ books maintained in accordance with GAAP, and means, without duplication, the cash and cash equivalents accrued by the Company and its wholly owned Subsidiaries on a consolidated basis on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(a) any Fundamental Transaction other than (i) any merger of the Company or any of its, direct or indirect, wholly-owned Subsidiaries with or into any of the foregoing Persons, (ii)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bona fide arm’s length sales or acquisitions by the Company with one or more third parties as long as holders of the Company’s voting power as of the Closing Date continue after such sale or acquisition to hold publicly traded securities and, directly or indirectly, are, in all material respects, the holders of at least 50.1% of the voting power of the surviving entity (or entities with the authority or voting power to elect the members of the board of directors (or their equivalent if other than a corporation) of such entity or entities) after such sale or acquisition (in each of clauses (i) through (iv), a “</w:t>
      </w:r>
      <w:r>
        <w:rPr>
          <w:rFonts w:ascii="Times New Roman" w:cs="Times New Roman" w:eastAsia="Times New Roman" w:hAnsi="Times New Roman"/>
          <w:sz w:val="17"/>
          <w:szCs w:val="17"/>
          <w:b w:val="1"/>
          <w:bCs w:val="1"/>
          <w:color w:val="auto"/>
        </w:rPr>
        <w:t>Change of Control Exception</w:t>
      </w:r>
      <w:r>
        <w:rPr>
          <w:rFonts w:ascii="Times New Roman" w:cs="Times New Roman" w:eastAsia="Times New Roman" w:hAnsi="Times New Roman"/>
          <w:sz w:val="17"/>
          <w:szCs w:val="17"/>
          <w:color w:val="auto"/>
        </w:rPr>
        <w:t>”) or (b) individuals who constitute the Continuing Directors, taken together, ceasing for any reason to constitute at least a majority of the Board, other than in connection with a Change of Control Exception.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Change of Control Redemption Premium</w:t>
      </w:r>
      <w:r>
        <w:rPr>
          <w:rFonts w:ascii="Times New Roman" w:cs="Times New Roman" w:eastAsia="Times New Roman" w:hAnsi="Times New Roman"/>
          <w:sz w:val="18"/>
          <w:szCs w:val="18"/>
          <w:color w:val="auto"/>
        </w:rPr>
        <w:t>” means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Exchange Agreement, which date is the date the Company initially issued Notes pursuant to the terms of the Exchange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set forth in Section 33(a).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xml:space="preserve"> means the directors of the Company on the Closing Date and each other director, if, in each case, such other director is nominated for election by the Board a majority of whom are directors on the Closing Date or whose election or nominations for election was approved by one or more of such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Conversion Floor Price Condition</w:t>
      </w:r>
      <w:r>
        <w:rPr>
          <w:rFonts w:ascii="Times New Roman" w:cs="Times New Roman" w:eastAsia="Times New Roman" w:hAnsi="Times New Roman"/>
          <w:sz w:val="18"/>
          <w:szCs w:val="18"/>
          <w:color w:val="auto"/>
        </w:rPr>
        <w:t>” means that the relevant Alternate Conversion Price or Installment Conversion Price, as applicable, is being determined based on clause (x) of such definitions.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Conversion Installment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Installment Date and (II) the applicable Installment Conversion Price and (B) the difference obtained by subtracting (I) the number of shares of Common Stock delivered (or to be delivered) to the Holder on the applicable Installment Date with respect to such Installment Conversion from (II) the quotient obtain by dividing (x) the applicable Installment Amount subject to such Installment Conversion, by (y) the applicable Installment Conversion Price without giving effect to clause (x) of such definition.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United States Bankruptcy Code, and all other liquidation, conservatorship, bankruptcy, assignment for the benefit of creditors, moratorium, rearrangement, receivership, insolvency, winding up, reorganization, or similar debtor relief laws of the United States or other applicable jurisdictions from time to time in effect and affecting the rights of creditors generally.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the OTCQX, the OTCQB or the Principal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with respect to a given date of determination: (i) on each day during the period beginning thirty (30) Trading Days prior to such applicable date of determination and ending on and including such applicable date of determination all shares of Common Stock issuable upon conversion of the Notes shall be eligible to be resold by the Holders without restriction or any legend under any applicable federal or state securities laws (in each case, disregarding any limitation on conversion of the Notes); (ii) on each day during the period beginning thirty Trading Days prior to the applicable date of determination and ending on and including the applicable date of determination (the “</w:t>
      </w:r>
      <w:r>
        <w:rPr>
          <w:rFonts w:ascii="Times New Roman" w:cs="Times New Roman" w:eastAsia="Times New Roman" w:hAnsi="Times New Roman"/>
          <w:sz w:val="18"/>
          <w:szCs w:val="18"/>
          <w:b w:val="1"/>
          <w:bCs w:val="1"/>
          <w:color w:val="auto"/>
        </w:rPr>
        <w:t>Equity Conditions Measuring Period</w:t>
      </w:r>
      <w:r>
        <w:rPr>
          <w:rFonts w:ascii="Times New Roman" w:cs="Times New Roman" w:eastAsia="Times New Roman" w:hAnsi="Times New Roman"/>
          <w:sz w:val="18"/>
          <w:szCs w:val="18"/>
          <w:color w:val="auto"/>
        </w:rPr>
        <w:t>”), the shares of Common Stock (including all shares of Common Stock issued or issuable upon conversion of the Notes)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or likely to occur or pending as evidenced by (A) a writing by such Eligible Market or (B) the Company falling below the minimum listing maintenance requirements of the Eligible Market on which the shares of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shares of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Holder shall not be in (and no other holder of Notes shall be in) possession of any material, non-public information provided to any of them by the Company, any of its Subsidiaries or any of their respective affiliates, employees, officers, representatives, agents or the like; (viii)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 (ix) on each Trading Day during the Equity Conditions Measuring Period, there shall not have occurred any Volume Failure or Price Failure as of such applicable date of determination; (x) on the applicable date of determination (A) no Authorized Share Failure shall exist or be continuing and the applicable Required Reserve Amount of shares of Common Stock are available under the Certificate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 on each day during the Equity Conditions Measuring Period, there shall not have occurred and there shall not exist an Event of Default or an event that with the passage of time or giving of notice would constitute an Event of Default (regardless of whether the Holder has submitted an Event of Default Redemption Notice); (xii) the shares of Common Stock issuable pursuant to the event requiring the satisfaction of the Equity Conditions are duly authorized and listed and eligible for trading without restriction on an Eligible Market, and (xiii) the Installment Conversion Price is not determined by the Conversion Floor Price Condition.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4"/>
        <w:spacing w:after="0" w:line="250" w:lineRule="auto"/>
        <w:tabs>
          <w:tab w:leader="none" w:pos="16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(i) solely with respect to any Installment Conversion, on any day during the applicable Installment Conversion Price Measuring Period, the Equity Conditions have not been satisfied (or waived in writing by the applicable 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6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lowest VWAP of the Common Stock for any Trading Day during the twenty (20) consecutive Trading Day period ending and including the Trading Day immediately preceding the sixteenth (16th) Trading Day after such Stock Combination Event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6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or issuable to directors, officers, employees or other service providers of the Company for services rendered to the Company in their capacity as such pursuant to an Approved Stock Plan (as defined above), provided that (A) all such issuances (taking into account the shares of Common Stock issuable upon exercise of such awards) after the Closing Date pursuant to this clause (i) do not, in the aggregate, exceed more than 10% of the Common Stock issued and outstanding as of the date of such issuance and (B) the exercise price of any such options is not lowered and none of such options are amended to increase the number of shares issuable thereunder; (ii) shares of Common Stock issued or issuable upon the conversion or exercise of Convertible Securities (other than shares of Common Stock issued or issuable pursuant to an Approved Stock Plan that are covered by clause (i) above) issued prior to the Closing Date, provided that the conversion price of any such Convertible Securities (other than standard options to purchase Common Stock issued pursuant to an Approved Stock Plan that are covered by clause (i) above) is not lowered (other than in accordance with the terms thereof in effect as of the Closing Date) from the conversion price in effect as of the Closing Date (whether pursuant to the terms of such Convertible Securities or otherwise), none of such Convertible Securities (other than those issued pursuant to an Approved Stock Plan that are covered by clause (i) above) are amended to increase the number of shares issuable thereunder and none of the terms or conditions of any such Convertible Securities (other than those issued pursuant to an Approved Stock Plan that are covered by clause (i) above) are otherwise materially changed in any manner that adversely affects the Holder; (iii) the shares of Common Stock issuable upon conversion of this Note; and (iv) securities issued as consideration for the acquisition of another entity by the Company by merger, purchase of substantially all of the assets or other reorganization or bona fide joint venture agreement, provided that such issuance is approved by the majority of the disinterested directors of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lower of (x) $[ ] (subject to adjustment for stock splits, stock dividends, stock combinations, recapitalizations or other similar events) and (y) 20% of the “Minimum Price” (as defined in Rule 5635 of the Rule of the Nasdaq Stock Market) on the November 2025 Stockholder Approval Date (subject to adjustment for stock splits, stock dividends, stock combinations, recapitalizations or other similar events) or, in any case, such lower amount as permitted, from time to time, by the Principal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4"/>
        <w:spacing w:after="0" w:line="250" w:lineRule="auto"/>
        <w:tabs>
          <w:tab w:leader="none" w:pos="15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in any transaction or series or related transactions,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60" w:hanging="356"/>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accounting principles generally accepted in the United States applied on a consistent basis during the periods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Holder Pro Rata Amount</w:t>
      </w:r>
      <w:r>
        <w:rPr>
          <w:rFonts w:ascii="Times New Roman" w:cs="Times New Roman" w:eastAsia="Times New Roman" w:hAnsi="Times New Roman"/>
          <w:sz w:val="18"/>
          <w:szCs w:val="18"/>
          <w:color w:val="auto"/>
        </w:rPr>
        <w:t>” means, with respect to a Holder, a fraction (i) the numerator of which is the Original Principal Amount of this Note on the Closing Date and (ii) the denominator of which is the aggregate Original Principal Amount of all Notes issued to the initial purchasers pursuant to the Exchange Agreement on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6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Installment Amount</w:t>
      </w:r>
      <w:r>
        <w:rPr>
          <w:rFonts w:ascii="Times New Roman" w:cs="Times New Roman" w:eastAsia="Times New Roman" w:hAnsi="Times New Roman"/>
          <w:sz w:val="18"/>
          <w:szCs w:val="18"/>
          <w:color w:val="auto"/>
        </w:rPr>
        <w:t>” means an amount equal to (A) with respect to the First Installment Date, $470,480.00 of the Outstanding Principal Value of this Note as of the Closing Date, (B) with respect to each Installment Date thereafter and until January 14, 2027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lesser of (x) the quotient of (I) $1,333,324.80 of the Outstanding Principal Value of this Note as of the Closing Date, divided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(II) the number of Installment Dates occurring hereunder after the First Installment Date until, and including, the Initial Maturity Date (assuming no Deferrals, Accelerations, redemptions or conversions hereunder prior to the Maturity Date) and (y) Outstanding Principal Value of this Note as of such Installment Date, and thereafter, (C) (i) with respect to any Installment Date other than the Maturity Date, the lesser of (x) the quotient of (I) $1,583,334.00 of the Outstanding Principal Value of this Note as of the Closing Date, divided by (II) the number of Installment Dates occurring from the Initial Maturity Date until the Maturity Date (as determined as of the Initial Maturity Date assuming no Deferrals, Accelerations, redemptions or conversions hereunder prior to the Maturity Date) and (y) Outstanding Principal Value of this Note as of such Installment Date, and (ii) with respect to the Installment Date that is the Maturity Date, the Outstanding Principal Value of this Note then outstanding under this Note as of such Installment Date (in each case, as any such Installment Amount may be reduced pursuant to the terms of this Note, whether upon conversion, redemption or Deferral), (D) any Deferral Amount deferred pursuant to Section 8(d) and included in such Installment Amount in accordance therewith, (E) any Acceleration Amount accelerated pursuant to Section 8(e) and included in such Installment Amount in accordance therewith and (F) in each case of clauses (A) through (E) above, the sum of any accrued and unpaid Interest as of such Installment Date under this Note, if any, and accrued and unpaid Late Charges, if any, under this Note as of such Installment Date and any other amounts then outstanding to the Holder under the Transaction Documents. In the event the Holder shall sell or otherwise transfer any portion of this Note, the transferee shall be allocated a pro rata portion of the unpaid Installment Amount hereunder.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b w:val="1"/>
          <w:bCs w:val="1"/>
          <w:color w:val="auto"/>
        </w:rPr>
        <w:t>Installment Conversion Price</w:t>
      </w:r>
      <w:r>
        <w:rPr>
          <w:rFonts w:ascii="Times New Roman" w:cs="Times New Roman" w:eastAsia="Times New Roman" w:hAnsi="Times New Roman"/>
          <w:sz w:val="18"/>
          <w:szCs w:val="18"/>
          <w:color w:val="auto"/>
        </w:rPr>
        <w:t>” means, with respect to a particular date of determination, the lowest of (i) the Conversion Price then in effect, and (ii) the greater of (x) the Floor Price and (y) 80% of the average of the three lowest closing prices of the Common Stock during the prior thirty (30) consecutive Trading Day period (each, an “</w:t>
      </w:r>
      <w:r>
        <w:rPr>
          <w:rFonts w:ascii="Times New Roman" w:cs="Times New Roman" w:eastAsia="Times New Roman" w:hAnsi="Times New Roman"/>
          <w:sz w:val="18"/>
          <w:szCs w:val="18"/>
          <w:b w:val="1"/>
          <w:bCs w:val="1"/>
          <w:color w:val="auto"/>
        </w:rPr>
        <w:t>Installment Conversion Price Measuring Period</w:t>
      </w:r>
      <w:r>
        <w:rPr>
          <w:rFonts w:ascii="Times New Roman" w:cs="Times New Roman" w:eastAsia="Times New Roman" w:hAnsi="Times New Roman"/>
          <w:sz w:val="18"/>
          <w:szCs w:val="18"/>
          <w:color w:val="auto"/>
        </w:rPr>
        <w:t>”) ending and including the Trading Day immediately prior to the applicable Installment Date. All such determinations to be appropriately adjusted for any stock split, stock dividend, stock combination or other similar transaction during any such measuring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b w:val="1"/>
          <w:bCs w:val="1"/>
          <w:color w:val="auto"/>
        </w:rPr>
        <w:t>Installment Date</w:t>
      </w:r>
      <w:r>
        <w:rPr>
          <w:rFonts w:ascii="Times New Roman" w:cs="Times New Roman" w:eastAsia="Times New Roman" w:hAnsi="Times New Roman"/>
          <w:sz w:val="18"/>
          <w:szCs w:val="18"/>
          <w:color w:val="auto"/>
        </w:rPr>
        <w:t>” means (i) April 1, 2026, (the “</w:t>
      </w:r>
      <w:r>
        <w:rPr>
          <w:rFonts w:ascii="Times New Roman" w:cs="Times New Roman" w:eastAsia="Times New Roman" w:hAnsi="Times New Roman"/>
          <w:sz w:val="18"/>
          <w:szCs w:val="18"/>
          <w:b w:val="1"/>
          <w:bCs w:val="1"/>
          <w:color w:val="auto"/>
        </w:rPr>
        <w:t>First Installment Date</w:t>
      </w:r>
      <w:r>
        <w:rPr>
          <w:rFonts w:ascii="Times New Roman" w:cs="Times New Roman" w:eastAsia="Times New Roman" w:hAnsi="Times New Roman"/>
          <w:sz w:val="18"/>
          <w:szCs w:val="18"/>
          <w:color w:val="auto"/>
        </w:rPr>
        <w:t>”) and, (ii) thereafter, the first Trading Day of each calendar quarter immediately following the previous Installment Date until the Maturity Date, and (iii) the Maturity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with respect to any given calendar quarter, the first Trading Day of such calendar quarter, but with the first Interest Date commencing on February 2,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eight percent (8.0%) per annum, as may be adjusted from time to time in accordance with Section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as of any given date and as applicable, in connection with any conversion, redemption or other repayment hereunder, an amount equal to the amount of additional Interest that would accrue under this Note at the Interest Rate then in effect assuming for calculation purposes that the Outstanding Principal Value of this Note as of the Closing Date remained outstanding through and including the Maturity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shall mean March [ ], 2029;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Maturity Date may be extended at the option of the Holder (such extended period, the “</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xml:space="preserve">”); provided that (i) no Event of Default shall have occurred and be continuing or any event shall have occurred and be continuing that with the passage of time and the failure to cure would result in an Event of Default, and (ii) there has been no event, occurrence or development that would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b w:val="1"/>
          <w:bCs w:val="1"/>
          <w:color w:val="auto"/>
        </w:rPr>
        <w:t>Outstanding Principal Value</w:t>
      </w:r>
      <w:r>
        <w:rPr>
          <w:rFonts w:ascii="Times New Roman" w:cs="Times New Roman" w:eastAsia="Times New Roman" w:hAnsi="Times New Roman"/>
          <w:sz w:val="18"/>
          <w:szCs w:val="18"/>
          <w:color w:val="auto"/>
        </w:rPr>
        <w:t>” as of any time of determination, means 100% of all outstanding Principal of this Note as of such time of determination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b w:val="1"/>
          <w:bCs w:val="1"/>
          <w:color w:val="auto"/>
        </w:rPr>
        <w:t>Outstanding Value</w:t>
      </w:r>
      <w:r>
        <w:rPr>
          <w:rFonts w:ascii="Times New Roman" w:cs="Times New Roman" w:eastAsia="Times New Roman" w:hAnsi="Times New Roman"/>
          <w:sz w:val="18"/>
          <w:szCs w:val="18"/>
          <w:color w:val="auto"/>
        </w:rPr>
        <w:t>”, as of any time of determination, means the Outstanding Principal Value of this Note, accrued and unpaid Interest and accrued and unpaid Late Charges (as defined in Section 26(c)) on such Outstanding Principal Value, Interest and any other unpaid amounts pursuant to the Transaction Documents, in each case, as of such time of determination.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(i) Indebtedness evidenced by this Note and the Other Notes, and (ii) Indebtedness secured by Permitted Liens or unsecured but as described in clauses (iv) and (v) of the definition of Permitted Liens and (iii) if the November 2025 Stockholder Approval Date has occurred the Permitted Senior Indebtedness.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(vii) Liens arising from judgments, decrees or attachments in circumstances not constituting an Event of Default under Section 4(a)(ix).</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b w:val="1"/>
          <w:bCs w:val="1"/>
          <w:color w:val="auto"/>
        </w:rPr>
        <w:t>Permitted Senior Indebtedness</w:t>
      </w:r>
      <w:r>
        <w:rPr>
          <w:rFonts w:ascii="Times New Roman" w:cs="Times New Roman" w:eastAsia="Times New Roman" w:hAnsi="Times New Roman"/>
          <w:sz w:val="18"/>
          <w:szCs w:val="18"/>
          <w:color w:val="auto"/>
        </w:rPr>
        <w:t>” means non-convertible Indebtedness issued pursuant to a credit facility with a bank or similar financial institution with no principal payments required prior to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calendar day after the date no Notes remain outstanding and otherwise on terms and conditions acceptable to the Eligible Buyers (as defined in the Securities Purchase Agreement) in their sole and absolute discretion, provided, however, that the aggregate outstanding principal amount of such Indebtedness permitted hereunder does not at any time exceed $1 million; provided, further, however, no Permitted Senior Indebtedness shall permit the lender to accelerate such Permitted Senior Indebtedness as a result of the occurrence of any Event of Default 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b w:val="1"/>
          <w:bCs w:val="1"/>
          <w:color w:val="auto"/>
        </w:rPr>
        <w:t>Pre-Installment Price</w:t>
      </w:r>
      <w:r>
        <w:rPr>
          <w:rFonts w:ascii="Times New Roman" w:cs="Times New Roman" w:eastAsia="Times New Roman" w:hAnsi="Times New Roman"/>
          <w:sz w:val="18"/>
          <w:szCs w:val="18"/>
          <w:color w:val="auto"/>
        </w:rPr>
        <w:t>” means, with respect to any Installment Notice Due Date, the lowest of (i) the Conversion Price then in effect, and (ii) the greater of (x) the Floor Price and (y) 80% of the average of the three lowest closing prices of the Common Stock during the prior thirty (30) consecutive Trading Day period ending and including the Trading Day immediately prior to the applicable Installment Notice Due Date. All such determinations to be appropriately adjusted for any stock split, stock dividend, stock combination or other similar transaction during any such measuring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b w:val="1"/>
          <w:bCs w:val="1"/>
          <w:color w:val="auto"/>
        </w:rPr>
        <w:t>Price Failure</w:t>
      </w:r>
      <w:r>
        <w:rPr>
          <w:rFonts w:ascii="Times New Roman" w:cs="Times New Roman" w:eastAsia="Times New Roman" w:hAnsi="Times New Roman"/>
          <w:sz w:val="18"/>
          <w:szCs w:val="18"/>
          <w:color w:val="auto"/>
        </w:rPr>
        <w:t>” means, with respect to a particular date of determination, the VWAP of the Common Stock on any Trading Day during the twenty (20) Trading Day period ending on the Trading Day immediately preceding such date of determination fails to exceed the Floor Price (as adjusted for stock splits, stock dividends, stock combinations, recapitalizations or other similar transactions occurring after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(bbb)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(ccc)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means any “proceeds,” as such term is defined in Section 9-102(a)(64) of the UCC and, in any event, shall include, but not be limited to, (a) any and all proceeds of any insurance, indemnity, warranty, or guaranty payable to the Company from time to time with respect to any of the Collateral, (b) any and all payments (in any form whatsoever) made or due and payable to the Company from time to time in connection with any requisition, confiscation, condemnation, seizure, or forfeiture of all or any part of the Collateral by any governmental authority (or any Person acting under color of governmental authority), and (c) any and all other amounts from time to time paid or payable under or in connection with any of the Collateral.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(ddd)    “</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Installment Notices with respect to any Installment Redemption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(eee)    “</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(fff)       “</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Event of Default Redemption Price, the Change of Control Redemption Price and the Installment Redemption Price, including in each case, any Make-Whole Amount thereon, and each of the foregoing, individually, a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(ggg)    “</w:t>
      </w:r>
      <w:r>
        <w:rPr>
          <w:rFonts w:ascii="Times New Roman" w:cs="Times New Roman" w:eastAsia="Times New Roman" w:hAnsi="Times New Roman"/>
          <w:sz w:val="18"/>
          <w:szCs w:val="18"/>
          <w:b w:val="1"/>
          <w:bCs w:val="1"/>
          <w:color w:val="auto"/>
        </w:rPr>
        <w:t>October 2025 Stockholder Approval</w:t>
      </w:r>
      <w:r>
        <w:rPr>
          <w:rFonts w:ascii="Times New Roman" w:cs="Times New Roman" w:eastAsia="Times New Roman" w:hAnsi="Times New Roman"/>
          <w:sz w:val="18"/>
          <w:szCs w:val="18"/>
          <w:color w:val="auto"/>
        </w:rPr>
        <w:t>” shall have the meaning set forth in the Exchange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(hhh)        “</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means: (i) all obligations under any Transaction Document owed to Holder, whether direct or indirect (including those acquired by assumption), absolute or contingent, due or to become due, now existing or hereafter arising, (ii) all reasonable and document out-of-pocket costs and expenses, including all reasonable and documented attorneys’ fees and legal expenses, incurred by Holder to preserve and maintain the Collateral, collect the obligations herein described, and enforce the security interest granted in Section 33 or any rights under any Transaction Document, (iii) the obligation to reimburse any amount that Holder (in its sole and absolute discretion) elects to pay or advance pursuant to and in accordance with the terms of the Transaction Documents on behalf of the Company following the occurrence and during the continuation of any Event of Default; (iv) all amounts owed under any extension, renewal, or modification of any of the foregoing; and (v) any of the foregoing that arises after the filing of a petition by or against the Company under any Debtor Relief Law, even if the obligations due do not accrue because of the automatic stay under such Debtor Relief Law or otherwise, in each case with respect to clauses (i) through (v) above, whether or not (A) such Secured Obligations arise or accrue before or after the filing by or against the Company of a petition under any Debtor Relief Law, or any similar filing by or against the Company under the laws of any jurisdiction, or any bankruptcy, insolvency, receivership, judicial management or other similar proceeding, (B) such Secured Obligations are allowable under any Debtor Relief Law or under other insolvency proceedings, (C) the right of payment in respect of such Secured Obligations is reduced to judgment, or (D) such Secured Obligations are liquidated, unliquidated, similar, dissimilar, related, unrelated, direct, indirect, fixed, contingent, primary, secondary, joint, several, or joint and several, matured, disputed, undisputed, legal, equitable, secured, or unsecured.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January 14, 2025, by and among the Company and the initial holders of the Notes, as may be amended from time to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(jjj)            “</w:t>
      </w:r>
      <w:r>
        <w:rPr>
          <w:rFonts w:ascii="Times New Roman" w:cs="Times New Roman" w:eastAsia="Times New Roman" w:hAnsi="Times New Roman"/>
          <w:sz w:val="18"/>
          <w:szCs w:val="18"/>
          <w:b w:val="1"/>
          <w:bCs w:val="1"/>
          <w:color w:val="auto"/>
        </w:rPr>
        <w:t>Stockholder Meeting Deadline</w:t>
      </w:r>
      <w:r>
        <w:rPr>
          <w:rFonts w:ascii="Times New Roman" w:cs="Times New Roman" w:eastAsia="Times New Roman" w:hAnsi="Times New Roman"/>
          <w:sz w:val="18"/>
          <w:szCs w:val="18"/>
          <w:color w:val="auto"/>
        </w:rPr>
        <w:t>” shall have the meaning set forth in the Exchange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(kkk)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(lll)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on the Closing Date, directly or indirectly, (i) owns any of the outstanding issued share capital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Current Subsidiaries.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(mmm)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(nnn)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shares of Common Stock, any day on which the shares of Common Stock is traded on the Principal Market, or, if the Principal Market is not the principal trading market for the shares of Common Stock, then on the principal securities exchange or securities market on which the shares of Common Stock is then traded, provided that “Trading Day” shall not include any day on which the shares of Common Stock is scheduled to trade on such exchange or market for less than 4.5 hours or any day that the shares of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shares of Common Stock, any day on which The New York Stock Exchange (or any successor thereto) is open for trading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(ooo)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provided, however, in the event that, by reason of mandatory provisions of law, any or all of the perfection or priority of Holder’s security interest in any Collateral is governed by the Uniform Commercial Code as in effect in a jurisdiction other than the State of New York, then the term “UCC” shall mean the Uniform Commercial Code as in effect in such other jurisdiction or jurisdictions for purposes of the provisions hereof relating to perfection or priority and for purposes of definitions related to such provisions.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(ppp)       “</w:t>
      </w:r>
      <w:r>
        <w:rPr>
          <w:rFonts w:ascii="Times New Roman" w:cs="Times New Roman" w:eastAsia="Times New Roman" w:hAnsi="Times New Roman"/>
          <w:sz w:val="18"/>
          <w:szCs w:val="18"/>
          <w:b w:val="1"/>
          <w:bCs w:val="1"/>
          <w:color w:val="auto"/>
        </w:rPr>
        <w:t>Volume Failure</w:t>
      </w:r>
      <w:r>
        <w:rPr>
          <w:rFonts w:ascii="Times New Roman" w:cs="Times New Roman" w:eastAsia="Times New Roman" w:hAnsi="Times New Roman"/>
          <w:sz w:val="18"/>
          <w:szCs w:val="18"/>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is less than $200,000 (as adjusted for any stock splits, stock dividends, stock combinations, recapitalizations or other similar transactions occurring after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(qqq)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terms of this Note, unless the Company has in good faith determined that the matters relating to such notice do not constitute material, non-public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the Company or any of its Subsidiaries, the Company shall on or prior to 9:00 am, New York city time on the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such notice delivery date, publicly disclose such material, non-public information on a Current Report on Form 8-K or otherwise.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that the Company believes that a notice contains material, non-public information relating to the Company or any of its Subsidiaries,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so shall indicate to the Holder explicitly in writing in such notice (or immediately upon receipt of notice from the Holder, as applicable),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absence of any such written indication in such notice (or notification from the Company immediately upon receipt of notice from the Holder),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shall be entitled to presume that information contained in the notice does not constitute material, non-public information relating to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Nothing contained in this Section shall limit any obligations of the Company, or any rights of the Holder, under Section 4.4(i)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  </w:t>
      </w:r>
    </w:p>
    <w:p>
      <w:pPr>
        <w:spacing w:after="0" w:line="20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CERTAIN TAX MATTERS</w:t>
      </w:r>
      <w:r>
        <w:rPr>
          <w:rFonts w:ascii="Times New Roman" w:cs="Times New Roman" w:eastAsia="Times New Roman" w:hAnsi="Times New Roman"/>
          <w:sz w:val="18"/>
          <w:szCs w:val="18"/>
          <w:color w:val="auto"/>
        </w:rPr>
        <w:t>. All payments to be made by the Company under the this Note (whether in cash or in shares of Common Stock) shall be made without any Tax Deduction (as defined below) unless a Tax Deduction is required by law. The Company shall promptly upon becoming aware that it must make a Tax Deduction (or that there is any change in the rate or the basis of a Tax Deduction) notify the Holder accordingly. If a Tax Deduction is required by law to be made by the Company, the amount of the payment due from the Company under this Note shall be increased to an amount which (after making any Tax Deduction) leaves an amount equal to the payment which would have been due under this Note if no Tax Deduction had been required. If the Company is required to make a Tax Deduction, it shall make that Tax Deduction and any payment required in connection with that Tax Deduction within the time allowed and in the minimum amount required by law. Within thirty (30) days of making either a Tax Deduction or any payment required in connection with that Tax Deduction, the Company shall deliver to the Holder evidence reasonably satisfactory to the Holder that the Tax Deduction has been made and that any appropriate payment has been paid to the relevant taxing authority. For greater certainty, (i) this Section 36 applies to all payments, whether in the form of cash, shares of Common Stock or otherwise, made under this Note, and (ii) the Company is obligated to indemnify the Holder pursuant to this Section 36 in the event that a Tax Deduction is required in respect of any payment to be made to the Holder under this Note and the company and/or its subsidiaries fail to comply with this Section 36. For purposes of this Section 36,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 and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any deduction or withholding for or on account of any Tax.  </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 effective as of the Issuance Date set out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Reference is made to the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par value $0.01 per share (the “Common Stock”), of the Company, as of the date specified below. Capitalized terms not defined herein shall have the meaning as set forth in the Note.  </w:t>
      </w:r>
    </w:p>
    <w:p>
      <w:pPr>
        <w:spacing w:after="0" w:line="207" w:lineRule="exact"/>
        <w:rPr>
          <w:sz w:val="20"/>
          <w:szCs w:val="20"/>
          <w:color w:val="auto"/>
        </w:rPr>
      </w:pPr>
    </w:p>
    <w:p>
      <w:pPr>
        <w:ind w:left="660"/>
        <w:spacing w:after="0"/>
        <w:tabs>
          <w:tab w:leader="none" w:pos="3700" w:val="left"/>
          <w:tab w:leader="none" w:pos="7520" w:val="left"/>
        </w:tabs>
        <w:rPr>
          <w:sz w:val="20"/>
          <w:szCs w:val="20"/>
          <w:color w:val="auto"/>
        </w:rPr>
      </w:pPr>
      <w:r>
        <w:rPr>
          <w:rFonts w:ascii="Times New Roman" w:cs="Times New Roman" w:eastAsia="Times New Roman" w:hAnsi="Times New Roman"/>
          <w:sz w:val="18"/>
          <w:szCs w:val="18"/>
          <w:color w:val="auto"/>
        </w:rPr>
        <w:t>Date of Conversion:</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5715</wp:posOffset>
            </wp:positionV>
            <wp:extent cx="47745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Aggregate Outstanding Principal Value of this Note to be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18"/>
          <w:szCs w:val="18"/>
          <w:color w:val="auto"/>
        </w:rPr>
        <w:t>Aggregate accrued and unpaid Interest and accrued and unpaid Late Charges with respect to such portion of the Aggregate Outstanding Principal Value of this Note and such Aggregate Interest to be converted: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Make-Whole Amount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94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942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94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2494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7140" w:space="180"/>
            <w:col w:w="3920"/>
          </w:cols>
          <w:pgMar w:left="320" w:top="220" w:right="339" w:bottom="1440" w:gutter="0" w:footer="0" w:header="0"/>
          <w:type w:val="continuous"/>
        </w:sectPr>
      </w:pPr>
    </w:p>
    <w:p>
      <w:pPr>
        <w:ind w:left="980"/>
        <w:spacing w:after="0"/>
        <w:tabs>
          <w:tab w:leader="none" w:pos="7300" w:val="left"/>
        </w:tabs>
        <w:rPr>
          <w:sz w:val="20"/>
          <w:szCs w:val="20"/>
          <w:color w:val="auto"/>
        </w:rPr>
      </w:pPr>
      <w:r>
        <w:rPr>
          <w:rFonts w:ascii="Times New Roman" w:cs="Times New Roman" w:eastAsia="Times New Roman" w:hAnsi="Times New Roman"/>
          <w:sz w:val="18"/>
          <w:szCs w:val="18"/>
          <w:color w:val="auto"/>
        </w:rPr>
        <w:t>Installment Amount(s) to be reduced (and corresponding Installment Date(s)) and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 of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460" w:right="200" w:hanging="452"/>
        <w:spacing w:after="0" w:line="253" w:lineRule="auto"/>
        <w:tabs>
          <w:tab w:leader="none" w:pos="46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Alternate Conversion, check here if Holder is electing to use the following Alternate Conversion Price: 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460" w:right="360" w:hanging="452"/>
        <w:spacing w:after="0" w:line="253" w:lineRule="auto"/>
        <w:tabs>
          <w:tab w:leader="none" w:pos="4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Acceleration, check here if Holder is electing to use _________ as the Installment Conversion Price (as applicable) related to the following Installment Date: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shares of Common Stock into which the Note is being converted to Holder, or for its benefit,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1124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here if requesting delivery as a certificate to the following name and to the following address: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rPr>
                <w:sz w:val="18"/>
                <w:szCs w:val="18"/>
                <w:color w:val="auto"/>
              </w:rPr>
            </w:pPr>
          </w:p>
        </w:tc>
      </w:tr>
      <w:tr>
        <w:trPr>
          <w:trHeight w:val="234"/>
        </w:trPr>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 to:</w:t>
            </w:r>
          </w:p>
        </w:tc>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55"/>
        </w:trPr>
        <w:tc>
          <w:tcPr>
            <w:tcW w:w="17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rPr>
                <w:sz w:val="13"/>
                <w:szCs w:val="13"/>
                <w:color w:val="auto"/>
              </w:rPr>
            </w:pPr>
          </w:p>
        </w:tc>
      </w:tr>
      <w:tr>
        <w:trPr>
          <w:trHeight w:val="252"/>
        </w:trPr>
        <w:tc>
          <w:tcPr>
            <w:tcW w:w="1124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here if requesting delivery by Deposit/Withdrawal at Custodian as follows:</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rPr>
                <w:sz w:val="18"/>
                <w:szCs w:val="18"/>
                <w:color w:val="auto"/>
              </w:rPr>
            </w:pPr>
          </w:p>
        </w:tc>
      </w:tr>
      <w:tr>
        <w:trPr>
          <w:trHeight w:val="234"/>
        </w:trPr>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DTC Participant:</w:t>
            </w:r>
          </w:p>
        </w:tc>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1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rPr>
                <w:sz w:val="15"/>
                <w:szCs w:val="15"/>
                <w:color w:val="auto"/>
              </w:rPr>
            </w:pPr>
          </w:p>
        </w:tc>
      </w:tr>
      <w:tr>
        <w:trPr>
          <w:trHeight w:val="234"/>
        </w:trPr>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DTC Number:</w:t>
            </w:r>
          </w:p>
        </w:tc>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78"/>
        </w:trPr>
        <w:tc>
          <w:tcPr>
            <w:tcW w:w="17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9540" w:type="dxa"/>
            <w:vAlign w:val="bottom"/>
          </w:tcPr>
          <w:p>
            <w:pPr>
              <w:spacing w:after="0"/>
              <w:rPr>
                <w:sz w:val="15"/>
                <w:szCs w:val="15"/>
                <w:color w:val="auto"/>
              </w:rPr>
            </w:pPr>
          </w:p>
        </w:tc>
      </w:tr>
      <w:tr>
        <w:trPr>
          <w:trHeight w:val="234"/>
        </w:trPr>
        <w:tc>
          <w:tcPr>
            <w:tcW w:w="11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 Number: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6060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 __, ____</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of Registered Holder </w:t>
            </w: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1920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in accordance with the Transfer Agent Instructions dated _____________, 20__ from the Company and acknowledged</w:t>
      </w: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and agreed to by ________________________.</w:t>
            </w:r>
          </w:p>
        </w:tc>
        <w:tc>
          <w:tcPr>
            <w:tcW w:w="16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7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ind w:left="11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Amended and Restated Series A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Amended and Restated Series A Warrant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2025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Original Issuance Date, but not after 11:59 p.m., New York time, on the Expiration Date (as defined below), _________________ (subject to</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such number of Warrant Shares, the “</w:t>
      </w:r>
      <w:r>
        <w:rPr>
          <w:rFonts w:ascii="Times New Roman" w:cs="Times New Roman" w:eastAsia="Times New Roman" w:hAnsi="Times New Roman"/>
          <w:sz w:val="18"/>
          <w:szCs w:val="18"/>
          <w:b w:val="1"/>
          <w:bCs w:val="1"/>
          <w:color w:val="auto"/>
        </w:rPr>
        <w:t>Warrant Number</w:t>
      </w:r>
      <w:r>
        <w:rPr>
          <w:rFonts w:ascii="Times New Roman" w:cs="Times New Roman" w:eastAsia="Times New Roman" w:hAnsi="Times New Roman"/>
          <w:sz w:val="18"/>
          <w:szCs w:val="18"/>
          <w:color w:val="auto"/>
        </w:rPr>
        <w:t>”). Except as otherwise defined herein, capitalized terms in this Warrant shall have the meanings set forth in Section 19 or in the Securities Purchase Agreement (as defined below).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Section 1 of that certain Securities Purchase Agreement, dated as of January 14, 2025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amends and restates in its entirety that certain Warrant to purchase Common Stock issued by the Company to the Holder named therein on January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ind w:left="180" w:hanging="172"/>
        <w:spacing w:after="0"/>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Subject to the terms and conditions hereof (including, without limitation, the limitations set forth in Section 1(f)), this Warrant may be exercised by the Holder on any day on or after the Original Issuance Date (an “</w:t>
      </w:r>
      <w:r>
        <w:rPr>
          <w:rFonts w:ascii="Times New Roman" w:cs="Times New Roman" w:eastAsia="Times New Roman" w:hAnsi="Times New Roman"/>
          <w:sz w:val="17"/>
          <w:szCs w:val="17"/>
          <w:b w:val="1"/>
          <w:bCs w:val="1"/>
          <w:color w:val="auto"/>
        </w:rPr>
        <w:t>Exercise Date</w:t>
      </w:r>
      <w:r>
        <w:rPr>
          <w:rFonts w:ascii="Times New Roman" w:cs="Times New Roman" w:eastAsia="Times New Roman" w:hAnsi="Times New Roman"/>
          <w:sz w:val="17"/>
          <w:szCs w:val="17"/>
          <w:color w:val="auto"/>
        </w:rPr>
        <w:t xml:space="preserve">”), in whole or in part, by delivery (whether via electronic mail or otherwise) of a written notice, in the form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17"/>
          <w:szCs w:val="17"/>
          <w:b w:val="1"/>
          <w:bCs w:val="1"/>
          <w:color w:val="auto"/>
        </w:rPr>
        <w:t>Aggregate Exercise Price</w:t>
      </w:r>
      <w:r>
        <w:rPr>
          <w:rFonts w:ascii="Times New Roman" w:cs="Times New Roman" w:eastAsia="Times New Roman" w:hAnsi="Times New Roman"/>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Company has received an Exercise Notice, the Company shall transmit by electronic mail an acknowledgment of confirmation of receipt of such Exercise Notice, in the form attached hereto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color w:val="auto"/>
        </w:rPr>
        <w:t>, to the Holder and the Company’s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w:t>
      </w:r>
    </w:p>
    <w:p>
      <w:pPr>
        <w:spacing w:after="0" w:line="7" w:lineRule="exact"/>
        <w:rPr>
          <w:rFonts w:ascii="Times New Roman" w:cs="Times New Roman" w:eastAsia="Times New Roman" w:hAnsi="Times New Roman"/>
          <w:sz w:val="17"/>
          <w:szCs w:val="17"/>
          <w:color w:val="auto"/>
        </w:rPr>
      </w:pP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provided that the Transfer Agent is participating in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Fast Automated Securities Transfer Program (“</w:t>
      </w:r>
      <w:r>
        <w:rPr>
          <w:rFonts w:ascii="Times New Roman" w:cs="Times New Roman" w:eastAsia="Times New Roman" w:hAnsi="Times New Roman"/>
          <w:sz w:val="17"/>
          <w:szCs w:val="17"/>
          <w:b w:val="1"/>
          <w:bCs w:val="1"/>
          <w:color w:val="auto"/>
        </w:rPr>
        <w:t>FAST</w:t>
      </w:r>
      <w:r>
        <w:rPr>
          <w:rFonts w:ascii="Times New Roman" w:cs="Times New Roman" w:eastAsia="Times New Roman" w:hAnsi="Times New Roman"/>
          <w:sz w:val="17"/>
          <w:szCs w:val="17"/>
          <w:color w:val="auto"/>
        </w:rPr>
        <w:t>”) and such Warrant Shares are eligible to be resold pursuant to Rule 144 or an effective registration statement,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two (2) Trading Days after receipt of the applicable Exercise Notice (or such earlier date as required pursuant to the 1934 Act or other applicable law, rule or regulation for the settlement of a trade of such Warrant Shares initiated on the applicable Exercise Date) and (ii) one</w:t>
      </w:r>
    </w:p>
    <w:p>
      <w:pPr>
        <w:spacing w:after="0" w:line="203"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Trading Day after the Company’s receipt of the Aggregate Exercise Price (or valid notice of a Cashless Exercise if permissible) (such later date,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shall not be deemed to be a breach of this Warrant.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 From the Original Issuance Date through and including the Expiration Date, the Company shall maintain a transfer agent that participates in FAST.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912" w:hanging="264"/>
        <w:spacing w:after="0"/>
        <w:tabs>
          <w:tab w:leader="none" w:pos="9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$1.00,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left="-8" w:firstLine="656"/>
        <w:spacing w:after="0" w:line="250" w:lineRule="auto"/>
        <w:tabs>
          <w:tab w:leader="none" w:pos="8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and such Warrant Shares are eligible to be resold pursuant to Rule 144 or an effective registration statement,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 w:cs="Times New Roman" w:eastAsia="Times New Roman" w:hAnsi="Times New Roman"/>
          <w:sz w:val="18"/>
          <w:szCs w:val="18"/>
          <w:b w:val="1"/>
          <w:bCs w:val="1"/>
          <w:color w:val="auto"/>
        </w:rPr>
        <w:t>Unavailable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not available for the resale of such Unavailable Warrant Shares and the Company fails to promptly (x) so notify the Holder and (y)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Date and during such Delivery Failure an amount equal to 2%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the Company shall fail to issue and deliver to the Holder (or its designee) a certificate and register such shares of Common Stock on the Company’s share register or, if the Transfer Agent is participating in the DTC FAST and such Warrant Shares are eligible to be resold pursuant to Rule 144 or an effective registration statement,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w:t>
      </w:r>
    </w:p>
    <w:p>
      <w:pPr>
        <w:spacing w:after="0" w:line="3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9" w:name="page70"/>
    <w:bookmarkEnd w:id="69"/>
    <w:p>
      <w:pPr>
        <w:jc w:val="both"/>
        <w:ind w:firstLine="656"/>
        <w:spacing w:after="0" w:line="258"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if at the time of exercise hereof a Registration Statement (as defined in the Registration Rights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700" w:hanging="571"/>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with respect to which this Warrant is then being exercised.</w:t>
      </w:r>
    </w:p>
    <w:p>
      <w:pPr>
        <w:spacing w:after="0" w:line="225" w:lineRule="exact"/>
        <w:rPr>
          <w:sz w:val="20"/>
          <w:szCs w:val="20"/>
          <w:color w:val="auto"/>
        </w:rPr>
      </w:pPr>
    </w:p>
    <w:p>
      <w:pPr>
        <w:jc w:val="right"/>
        <w:ind w:left="800" w:hanging="671"/>
        <w:spacing w:after="0" w:line="255" w:lineRule="auto"/>
        <w:tabs>
          <w:tab w:leader="none" w:pos="6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elected by the Holder: (i) the VWAP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w:t>
      </w:r>
    </w:p>
    <w:p>
      <w:pPr>
        <w:spacing w:after="0" w:line="2" w:lineRule="exact"/>
        <w:rPr>
          <w:rFonts w:ascii="Times New Roman" w:cs="Times New Roman" w:eastAsia="Times New Roman" w:hAnsi="Times New Roman"/>
          <w:sz w:val="18"/>
          <w:szCs w:val="18"/>
          <w:color w:val="auto"/>
        </w:rPr>
      </w:pPr>
    </w:p>
    <w:p>
      <w:pPr>
        <w:jc w:val="both"/>
        <w:ind w:left="8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VWAP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7" w:lineRule="exact"/>
        <w:rPr>
          <w:sz w:val="20"/>
          <w:szCs w:val="20"/>
          <w:color w:val="auto"/>
        </w:rPr>
      </w:pPr>
    </w:p>
    <w:p>
      <w:pPr>
        <w:ind w:left="700" w:hanging="571"/>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then in effect for the applicable Warrant Shares at the time of such exercise.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left="-8" w:firstLine="656"/>
        <w:spacing w:after="0" w:line="266" w:lineRule="auto"/>
        <w:tabs>
          <w:tab w:leader="none" w:pos="8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5"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67" w:lineRule="auto"/>
        <w:tabs>
          <w:tab w:leader="none" w:pos="1516"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1(f)(i). For purposes of this Section 1(f)(i),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rFonts w:ascii="Times New Roman" w:cs="Times New Roman" w:eastAsia="Times New Roman" w:hAnsi="Times New Roman"/>
          <w:sz w:val="17"/>
          <w:szCs w:val="17"/>
          <w:color w:val="auto"/>
        </w:rPr>
      </w:pPr>
    </w:p>
    <w:p>
      <w:pPr>
        <w:jc w:val="both"/>
        <w:ind w:left="-8" w:firstLine="8"/>
        <w:spacing w:after="0" w:line="250"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1" w:name="page72"/>
    <w:bookmarkEnd w:id="71"/>
    <w:p>
      <w:pPr>
        <w:jc w:val="both"/>
        <w:ind w:left="-656" w:firstLine="1304"/>
        <w:spacing w:after="0" w:line="251" w:lineRule="auto"/>
        <w:tabs>
          <w:tab w:leader="none" w:pos="9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not issue any shares of Common Stock upon the exercise of this Warrant if the issuance of such shares of Common Stock (taken together with the issuance of such shares upon the conversion of the Preferred Shares (as defined in the Securities Purchase Agreement) or otherwise pursuant to the terms of the Certificate of Designations (as defined in the Securities Purchase Agreement)) would exceed the aggregate number of shares of Common Stock which the Company may issue upon exercise or conversion or otherwise pursuant to the terms of the Certificate of Designations and the SPA Warrants without breaching the Company’s obligations under the rules or regulations of the Principal Market (the number of shares which may be issued without violating such rules and regulations,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outside counsel to the Company that such approval is not required, which opinion shall be reasonably satisfactory to the Holder. Until such approval or such written opinion is obtained, no Buyer shall be issued in the aggregate, upon conversion or exercise (as the case may be) of any Preferred Shares or any of the SPA Warrants or otherwise pursuant to the terms of the Certificate of Designations or the SPA Warrants, shares of Common Stock in an amount greater than the product of (i) the Exchange Cap as of the Original Issuance Date multiplied by (ii) the quotient of (1) the aggregate number of Preferred Shares issued to such Buyer pursuant to the Securities Purchase Agreement on the Closing Date (as defined in the Securities Purchase Agreement) divided by (2) the aggregate stated value of all Preferred Shares issued to the Buyers pursuant to the Securities Purchase Agreement on the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SPA Warrants, the transferee shall be allocated a pro rata portion of such Buyer’s Exchange Cap Allocation with respect to such portion of such SPA Warrants so transferred, and the restrictions of the prior sentence shall apply to such transferee with respect to the portion of the Exchange Cap Allocation so allocated to such transferee. Upon conversion and exercise in full of a holder’s Preferred Shares and SPA Warrants, the difference (if any) between such holder’s Exchange Cap Allocation and the number of shares of Common Stock actually issued to such holder upon such holder’s conversion in full of such Preferred Shares and such holder’s exercise in full of such SPA Warrants shall be allocated, to the respective Exchange Cap Allocations of the remaining holders of Preferred Shares and related SPA Warrants on a pro rata basis in proportion to the shares of Common Stock underlying the Preferred Shares and related SPA Warrants then held by each such holder of Preferred Shares and related SPA Warrants. In the event that after June 1, 2025, the Company is then prohibited from issuing any shares of Common Stock pursuant to this Section 1(f)(ii) (the “</w:t>
      </w:r>
      <w:r>
        <w:rPr>
          <w:rFonts w:ascii="Times New Roman" w:cs="Times New Roman" w:eastAsia="Times New Roman" w:hAnsi="Times New Roman"/>
          <w:sz w:val="18"/>
          <w:szCs w:val="18"/>
          <w:b w:val="1"/>
          <w:bCs w:val="1"/>
          <w:color w:val="auto"/>
        </w:rPr>
        <w:t>Exchange Cap Shares</w:t>
      </w:r>
      <w:r>
        <w:rPr>
          <w:rFonts w:ascii="Times New Roman" w:cs="Times New Roman" w:eastAsia="Times New Roman" w:hAnsi="Times New Roman"/>
          <w:sz w:val="18"/>
          <w:szCs w:val="18"/>
          <w:color w:val="auto"/>
        </w:rPr>
        <w:t>”), in lieu of issuing and delivering such Exchange Cap Shares to the Holder, the Company shall pay cash to the Holder in exchange for the cancellation of such portion of this Warrant exercisable into such Exchange Cap Shares (the “</w:t>
      </w:r>
      <w:r>
        <w:rPr>
          <w:rFonts w:ascii="Times New Roman" w:cs="Times New Roman" w:eastAsia="Times New Roman" w:hAnsi="Times New Roman"/>
          <w:sz w:val="18"/>
          <w:szCs w:val="18"/>
          <w:b w:val="1"/>
          <w:bCs w:val="1"/>
          <w:color w:val="auto"/>
        </w:rPr>
        <w:t>Exchange Cap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at a price equal to the sum of (x) the product of (A) such number of Exchange Cap Shares and (B) the greatest Closing Sale Price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on any Trading Day during the period commencing on the date the Holder delivers the applicable Exercise Notice with respect to such Exchange Cap Shares to the Company and ending on the date of such payment under this Section 1(f)(ii)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20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following the Stockholder Approval Date, the Company shall at all times keep reserved for issuance under this Warrant a number of shares of Common Stock at least equal to 200% of the maximum number of shares of Common Stock as shall be necessary to satisfy the Company’s obligation to issue shares of Common Stock under the SPA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the number of shares of Common Stock issuable upon exercise of SPA Warrants held by each holder on the Closing Date (as defined in the Securities Purchase Agreement) (without regard to any limitations on exercise)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2" w:name="page73"/>
    <w:bookmarkEnd w:id="72"/>
    <w:p>
      <w:pPr>
        <w:jc w:val="both"/>
        <w:ind w:firstLine="1304"/>
        <w:spacing w:after="0" w:line="251" w:lineRule="auto"/>
        <w:tabs>
          <w:tab w:leader="none" w:pos="15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1(g)(i) above, and not in limitation thereof, following the Stockholder Approval Date, at any time while any of the SPA Warrants remain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use its best efforts to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20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Exercise Price and Number of Warrant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656"/>
        <w:spacing w:after="0" w:line="257" w:lineRule="auto"/>
        <w:tabs>
          <w:tab w:leader="none" w:pos="8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other than Excluded Securities (as defined in the Securities Purchase Agreement),</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656" w:firstLine="656"/>
        <w:spacing w:after="0" w:line="253" w:lineRule="auto"/>
        <w:tabs>
          <w:tab w:leader="none" w:pos="2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Subscription Date, the Company shall sell, enter into an agreement to sell or grant any option to purchase, or sell or grant any right to reprice, or otherwise dispose of or issue (or announce any offer, sale, grant or any option to purchase or other disposition) any Common Stock or Common Stock Equivalents (but excluding any Excluded Securities), at an effective price per share less than the Exercise Price then in effect (such lower price, the “</w:t>
      </w:r>
      <w:r>
        <w:rPr>
          <w:rFonts w:ascii="Times New Roman" w:cs="Times New Roman" w:eastAsia="Times New Roman" w:hAnsi="Times New Roman"/>
          <w:sz w:val="18"/>
          <w:szCs w:val="18"/>
          <w:b w:val="1"/>
          <w:bCs w:val="1"/>
          <w:color w:val="auto"/>
        </w:rPr>
        <w:t>Base Share Price</w:t>
      </w:r>
      <w:r>
        <w:rPr>
          <w:rFonts w:ascii="Times New Roman" w:cs="Times New Roman" w:eastAsia="Times New Roman" w:hAnsi="Times New Roman"/>
          <w:sz w:val="18"/>
          <w:szCs w:val="18"/>
          <w:color w:val="auto"/>
        </w:rPr>
        <w:t>” and such issuances collectively,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and only reduced to equal the Base Share Price. Notwithstanding the foregoing, no adjustments shall be made, paid or issued under this Section 2(b) in respect of the issuance of Excluded Securities. The Company shall notify the Holder, in writing, no later than the Trading Day following the issuance or deemed issuance of any Common Stock or Common Stock Equivalents subject to this Section 2(b), indicating therein the applicable issuance price, or applicable reset price, exchange price, conversion price and other pricing terms.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4" w:name="page75"/>
    <w:bookmarkEnd w:id="74"/>
    <w:p>
      <w:pPr>
        <w:jc w:val="both"/>
        <w:ind w:left="4" w:firstLine="644"/>
        <w:spacing w:after="0" w:line="252" w:lineRule="auto"/>
        <w:tabs>
          <w:tab w:leader="none" w:pos="91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6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Sections 2(b)(i) or 2(b)(ii) above and (z) the lowest VWAP of the shares of Common Stock on any Trading Day during the five (5) Trading Day period (the “</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this Warrant is exercised, on any given Exercise Date during any such Adjustment Period, solely with respect to such portion of this Warrant exercised on such applicable Exercise Date, such applicable Adjustment Period shall be deemed to have ended on, and included, the Trading Day immediately prior to such Exercise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w:t>
      </w:r>
    </w:p>
    <w:p>
      <w:pPr>
        <w:spacing w:after="0" w:line="10"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w:t>
      </w:r>
    </w:p>
    <w:p>
      <w:pPr>
        <w:spacing w:after="0" w:line="2" w:lineRule="exact"/>
        <w:rPr>
          <w:sz w:val="20"/>
          <w:szCs w:val="20"/>
          <w:color w:val="auto"/>
        </w:rPr>
      </w:pPr>
    </w:p>
    <w:p>
      <w:pPr>
        <w:jc w:val="both"/>
        <w:ind w:left="4" w:right="20" w:hanging="4"/>
        <w:spacing w:after="0" w:line="221" w:lineRule="auto"/>
        <w:tabs>
          <w:tab w:leader="none" w:pos="2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5" w:name="page76"/>
    <w:bookmarkEnd w:id="75"/>
    <w:p>
      <w:pPr>
        <w:jc w:val="both"/>
        <w:ind w:left="4" w:firstLine="644"/>
        <w:spacing w:after="0" w:line="258" w:lineRule="auto"/>
        <w:tabs>
          <w:tab w:leader="none" w:pos="9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w:t>
      </w:r>
      <w:r>
        <w:rPr>
          <w:rFonts w:ascii="Times New Roman" w:cs="Times New Roman" w:eastAsia="Times New Roman" w:hAnsi="Times New Roman"/>
          <w:sz w:val="18"/>
          <w:szCs w:val="18"/>
          <w:color w:val="auto"/>
        </w:rPr>
        <w:t>. If at any time and from time to time on or after the Issuance Date there occurs any stock split, stock dividend, stock combination, reverse stock split, recapitalization or other similar transaction involving the outstanding Common Stock (each, a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Exercise Price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(after giving effect to the adjustment in clause 2(a) above), then on or prior to the sixteenth (16th) Trading Day immediately following such Stock Combination Event (“</w:t>
      </w:r>
      <w:r>
        <w:rPr>
          <w:rFonts w:ascii="Times New Roman" w:cs="Times New Roman" w:eastAsia="Times New Roman" w:hAnsi="Times New Roman"/>
          <w:sz w:val="18"/>
          <w:szCs w:val="18"/>
          <w:b w:val="1"/>
          <w:bCs w:val="1"/>
          <w:color w:val="auto"/>
        </w:rPr>
        <w:t>Stock Combination Event Adjustment Date</w:t>
      </w:r>
      <w:r>
        <w:rPr>
          <w:rFonts w:ascii="Times New Roman" w:cs="Times New Roman" w:eastAsia="Times New Roman" w:hAnsi="Times New Roman"/>
          <w:sz w:val="18"/>
          <w:szCs w:val="18"/>
          <w:color w:val="auto"/>
        </w:rPr>
        <w:t>”), the Exercise Price then in effect on such Stock Combination Event Adjustment Date (after giving effect to the adjustment in clause 2(a) above) shall be reduced (but in no event increased) to the Event Market Price. For the avoidance of doubt, if the adjustment in the immediately preceding sentence would otherwise result in an increase in the Exercise Price hereunder, no adjustment shall be made.</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4"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2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issuance or sale of shares of Common Stock.</w:t>
      </w:r>
    </w:p>
    <w:p>
      <w:pPr>
        <w:spacing w:after="0" w:line="175"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6" w:name="page77"/>
    <w:bookmarkEnd w:id="76"/>
    <w:p>
      <w:pPr>
        <w:jc w:val="both"/>
        <w:ind w:left="-8" w:firstLine="656"/>
        <w:spacing w:after="0" w:line="254"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No adjustment pursuant to this Section 2 shall cause the Exercise Price to be less than $0.272, which shall be reduced to 20% of the “Minimum Price” (as defined in Rule 5635 of the Rules of the Nasdaq Stock Market) on the Stockholder Approval Date (as defined in the Securities Purchase Agreement) if such price is lower (as adjusted for any stock dividend, stock split, stock combination, reclassification or similar transaction occurring after the date of the Securities Purchase Agreement) (the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Notwithstanding the foregoing, nothing contained in this Section 2(i) shall apply after Stockholder Approval (as defined in the Securities Purchase Agreement) is obtained and, on such Stockholder Approval Date, any adjustments that would have occurred hereunder prior to the Stockholder Approval Date, but for the existence of this Section 2(i), shall be applied pursuant to this Section 2 on the Stockholder Approval Date (without regard to the limitations in this Section 2(i)) as if such event or Dilutive Issuance, as applicable, occurred on the Stockholder Approval Date.</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7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Upon Distribution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any adjustments pursuant to Section 2 above or Section 4(a) below, if the Company shall declare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2" w:lineRule="auto"/>
        <w:tabs>
          <w:tab w:leader="none" w:pos="89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7" w:name="page78"/>
    <w:bookmarkEnd w:id="77"/>
    <w:p>
      <w:pPr>
        <w:jc w:val="both"/>
        <w:ind w:left="-8" w:firstLine="656"/>
        <w:spacing w:after="0" w:line="252" w:lineRule="auto"/>
        <w:tabs>
          <w:tab w:leader="none" w:pos="89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w:t>
      </w:r>
    </w:p>
    <w:p>
      <w:pPr>
        <w:spacing w:after="0" w:line="5"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6"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9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 provided, however, that if the Fundamental Transaction is not within the Company’s control, including in the event that such Fundamental Transaction is not approved by the board of directors of the Company,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such Successor Entity may be the Company following such Fundamental Transaction) in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8" w:name="page79"/>
    <w:bookmarkEnd w:id="78"/>
    <w:p>
      <w:pPr>
        <w:jc w:val="both"/>
        <w:ind w:left="-8" w:firstLine="656"/>
        <w:spacing w:after="0" w:line="261" w:lineRule="auto"/>
        <w:tabs>
          <w:tab w:leader="none" w:pos="87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Original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18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not be entitled to vote or receive dividends or be deemed the holder of capital stock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the Company shall have no such obligation to the extent such information is filed with the SEC through EDGAR and are available to the public through the EDGAR system.</w:t>
      </w:r>
    </w:p>
    <w:p>
      <w:pPr>
        <w:spacing w:after="0" w:line="182" w:lineRule="exact"/>
        <w:rPr>
          <w:rFonts w:ascii="Times New Roman" w:cs="Times New Roman" w:eastAsia="Times New Roman" w:hAnsi="Times New Roman"/>
          <w:sz w:val="18"/>
          <w:szCs w:val="18"/>
          <w:b w:val="1"/>
          <w:bCs w:val="1"/>
          <w:color w:val="auto"/>
        </w:rPr>
      </w:pPr>
    </w:p>
    <w:p>
      <w:pPr>
        <w:ind w:left="232" w:hanging="187"/>
        <w:spacing w:after="0"/>
        <w:tabs>
          <w:tab w:leader="none" w:pos="23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Reissuance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8" w:lineRule="auto"/>
        <w:tabs>
          <w:tab w:leader="none" w:pos="88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9" w:name="page80"/>
    <w:bookmarkEnd w:id="79"/>
    <w:p>
      <w:pPr>
        <w:jc w:val="both"/>
        <w:ind w:firstLine="656"/>
        <w:spacing w:after="0" w:line="258" w:lineRule="auto"/>
        <w:tabs>
          <w:tab w:leader="none" w:pos="93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3" w:lineRule="auto"/>
        <w:tabs>
          <w:tab w:leader="none" w:pos="2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Original Issuance Date, and (iv) shall have the same rights and conditions as this Warrant.</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6"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w:t>
      </w:r>
    </w:p>
    <w:p>
      <w:pPr>
        <w:spacing w:after="0" w:line="3" w:lineRule="exact"/>
        <w:rPr>
          <w:sz w:val="20"/>
          <w:szCs w:val="20"/>
          <w:color w:val="auto"/>
        </w:rPr>
      </w:pPr>
    </w:p>
    <w:p>
      <w:pPr>
        <w:jc w:val="both"/>
        <w:ind w:firstLine="8"/>
        <w:spacing w:after="0" w:line="251"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Common Stock, (B) with respect to any grants, issuances or sales of any Options, Convertible Securities or rights to purchase stock, warrants, securities or other property to holders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p>
      <w:pPr>
        <w:jc w:val="both"/>
        <w:ind w:firstLine="8"/>
        <w:spacing w:after="0" w:line="254" w:lineRule="auto"/>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7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8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8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w:t>
      </w:r>
    </w:p>
    <w:p>
      <w:pPr>
        <w:spacing w:after="0" w:line="5" w:lineRule="exact"/>
        <w:rPr>
          <w:rFonts w:ascii="Times New Roman" w:cs="Times New Roman" w:eastAsia="Times New Roman" w:hAnsi="Times New Roman"/>
          <w:sz w:val="18"/>
          <w:szCs w:val="18"/>
          <w:b w:val="1"/>
          <w:bCs w:val="1"/>
          <w:color w:val="auto"/>
        </w:rPr>
      </w:pP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IN CONNECTION WITH OR ARISING OUT OF THIS WARRANT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left="-8" w:firstLine="8"/>
        <w:spacing w:after="0" w:line="262" w:lineRule="auto"/>
        <w:tabs>
          <w:tab w:leader="none" w:pos="26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76"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1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Exercise Price, the Closing Sale Price, the Bid Price,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57"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607"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15, (ii)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(iii) the Holder (and only the Holder), in its sole discretion, shall have the right to submit any dispute described in this Section 15 to any state or federal court sitting in The City of New York, Borough of Manhattan in lieu of utilizing the procedures set forth in this Section 15 and (iv) nothing in this Section 15 shall limit the Holder from obtaining any injunctive relief or other equitable remedies (including, without limitation, with respect to any matters described in this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2" w:name="page83"/>
    <w:bookmarkEnd w:id="82"/>
    <w:p>
      <w:pPr>
        <w:jc w:val="both"/>
        <w:ind w:left="-8" w:firstLine="8"/>
        <w:spacing w:after="0" w:line="252" w:lineRule="auto"/>
        <w:tabs>
          <w:tab w:leader="none" w:pos="26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4" w:lineRule="exact"/>
        <w:rPr>
          <w:rFonts w:ascii="Times New Roman" w:cs="Times New Roman" w:eastAsia="Times New Roman" w:hAnsi="Times New Roman"/>
          <w:sz w:val="18"/>
          <w:szCs w:val="18"/>
          <w:b w:val="1"/>
          <w:bCs w:val="1"/>
          <w:color w:val="auto"/>
        </w:rPr>
      </w:pPr>
    </w:p>
    <w:p>
      <w:pPr>
        <w:jc w:val="both"/>
        <w:ind w:left="-8" w:firstLine="8"/>
        <w:spacing w:after="0" w:line="257" w:lineRule="auto"/>
        <w:tabs>
          <w:tab w:leader="none" w:pos="2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2"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26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 except as may otherwise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Section 2(g) of the Securities Purchase Agreement and applicable securities laws.</w:t>
      </w:r>
    </w:p>
    <w:p>
      <w:pPr>
        <w:spacing w:after="0" w:line="154"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rFonts w:ascii="Times New Roman" w:cs="Times New Roman" w:eastAsia="Times New Roman" w:hAnsi="Times New Roman"/>
          <w:sz w:val="18"/>
          <w:szCs w:val="18"/>
          <w:b w:val="1"/>
          <w:bCs w:val="1"/>
          <w:color w:val="auto"/>
        </w:rPr>
      </w:pPr>
    </w:p>
    <w:p>
      <w:pPr>
        <w:ind w:left="572" w:hanging="248"/>
        <w:spacing w:after="0"/>
        <w:tabs>
          <w:tab w:leader="none" w:pos="57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left="-8" w:firstLine="332"/>
        <w:spacing w:after="0" w:line="262" w:lineRule="auto"/>
        <w:tabs>
          <w:tab w:leader="none" w:pos="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Common Stock (other than rights of the type described in Section 4 hereof) that could result in a decrease in the net consideration received by the Company in connection with, or with respect to, such securities (including, without limitation, any cash settlement rights, cash adjustment or other similar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3" w:name="page84"/>
    <w:bookmarkEnd w:id="83"/>
    <w:p>
      <w:pPr>
        <w:jc w:val="both"/>
        <w:ind w:left="-8" w:firstLine="332"/>
        <w:spacing w:after="0" w:line="262" w:lineRule="auto"/>
        <w:tabs>
          <w:tab w:leader="none" w:pos="5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left="-8" w:firstLine="332"/>
        <w:spacing w:after="0" w:line="257" w:lineRule="auto"/>
        <w:tabs>
          <w:tab w:leader="none" w:pos="57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Original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left="-8" w:firstLine="332"/>
        <w:spacing w:after="0" w:line="254" w:lineRule="auto"/>
        <w:tabs>
          <w:tab w:leader="none" w:pos="5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6"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8" w:firstLine="332"/>
        <w:spacing w:after="0" w:line="254" w:lineRule="auto"/>
        <w:tabs>
          <w:tab w:leader="none" w:pos="5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4(c)(i) and (2) the sum of the price per share being offered in cash in the applicable Fundamental Transaction (if any) plus the value of the non-cash consideration being offered in the applicable Fundamental Transaction (if any),</w:t>
      </w:r>
    </w:p>
    <w:p>
      <w:pPr>
        <w:spacing w:after="0" w:line="3"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strike price equal to the Exercise Price in effect on the date of the Holder’s request pursuant to Section 4(c)(i) ,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Fundamental Transaction or as of the date of the Holder’s request pursuant to Section 4(c)(i) if such request is prior to the date of the consummation of the applicable Fundamental Transaction, (iv) a zero cost of borrow and (v) an expected volatility equal to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Section 4(c)(i).</w:t>
      </w:r>
    </w:p>
    <w:p>
      <w:pPr>
        <w:spacing w:after="0" w:line="184" w:lineRule="exact"/>
        <w:rPr>
          <w:rFonts w:ascii="Times New Roman" w:cs="Times New Roman" w:eastAsia="Times New Roman" w:hAnsi="Times New Roman"/>
          <w:sz w:val="18"/>
          <w:szCs w:val="18"/>
          <w:color w:val="auto"/>
        </w:rPr>
      </w:pPr>
    </w:p>
    <w:p>
      <w:pPr>
        <w:ind w:left="532" w:hanging="208"/>
        <w:spacing w:after="0"/>
        <w:tabs>
          <w:tab w:leader="none" w:pos="53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9" w:lineRule="exact"/>
        <w:rPr>
          <w:rFonts w:ascii="Times New Roman" w:cs="Times New Roman" w:eastAsia="Times New Roman" w:hAnsi="Times New Roman"/>
          <w:sz w:val="18"/>
          <w:szCs w:val="18"/>
          <w:color w:val="auto"/>
        </w:rPr>
      </w:pPr>
    </w:p>
    <w:p>
      <w:pPr>
        <w:ind w:left="532" w:hanging="208"/>
        <w:spacing w:after="0"/>
        <w:tabs>
          <w:tab w:leader="none" w:pos="53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16" w:right="339" w:bottom="1440" w:gutter="0" w:footer="0" w:header="0"/>
        </w:sectPr>
      </w:pPr>
    </w:p>
    <w:bookmarkStart w:id="84" w:name="page85"/>
    <w:bookmarkEnd w:id="84"/>
    <w:p>
      <w:pPr>
        <w:jc w:val="both"/>
        <w:ind w:left="-332" w:firstLine="332"/>
        <w:spacing w:after="0" w:line="259"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rFonts w:ascii="Times New Roman" w:cs="Times New Roman" w:eastAsia="Times New Roman" w:hAnsi="Times New Roman"/>
          <w:sz w:val="18"/>
          <w:szCs w:val="18"/>
          <w:color w:val="auto"/>
        </w:rPr>
      </w:pPr>
    </w:p>
    <w:p>
      <w:pPr>
        <w:ind w:left="-332" w:firstLine="332"/>
        <w:spacing w:after="0" w:line="286" w:lineRule="auto"/>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$0.01 par value per share, and (ii) any capital stock into which such common stock shall have been changed or any capital stock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left="-332" w:firstLine="332"/>
        <w:spacing w:after="0" w:line="286" w:lineRule="auto"/>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Common Stock.</w:t>
      </w:r>
    </w:p>
    <w:p>
      <w:pPr>
        <w:spacing w:after="0" w:line="154" w:lineRule="exact"/>
        <w:rPr>
          <w:rFonts w:ascii="Times New Roman" w:cs="Times New Roman" w:eastAsia="Times New Roman" w:hAnsi="Times New Roman"/>
          <w:sz w:val="18"/>
          <w:szCs w:val="18"/>
          <w:color w:val="auto"/>
        </w:rPr>
      </w:pPr>
    </w:p>
    <w:p>
      <w:pPr>
        <w:ind w:left="-332" w:firstLine="332"/>
        <w:spacing w:after="0" w:line="286"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the Nasdaq Capital Market or the Principal Market.</w:t>
      </w:r>
    </w:p>
    <w:p>
      <w:pPr>
        <w:spacing w:after="0" w:line="154" w:lineRule="exact"/>
        <w:rPr>
          <w:rFonts w:ascii="Times New Roman" w:cs="Times New Roman" w:eastAsia="Times New Roman" w:hAnsi="Times New Roman"/>
          <w:sz w:val="18"/>
          <w:szCs w:val="18"/>
          <w:color w:val="auto"/>
        </w:rPr>
      </w:pPr>
    </w:p>
    <w:p>
      <w:pPr>
        <w:jc w:val="both"/>
        <w:ind w:left="-332" w:firstLine="332"/>
        <w:spacing w:after="0" w:line="262"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lowest VWAP of the Common Stock for any Trading Day during the twenty (20) consecutive Trading Day period ending and including the Trading Day immediately preceding the sixteenth (16th) Trading Day after such Stock Combination Event Date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All such determinations shall be appropriately adjusted for any stock dividend, stock split, stock combination, recapitalization or other similar transaction during such period.</w:t>
      </w:r>
    </w:p>
    <w:p>
      <w:pPr>
        <w:spacing w:after="0" w:line="176" w:lineRule="exact"/>
        <w:rPr>
          <w:rFonts w:ascii="Times New Roman" w:cs="Times New Roman" w:eastAsia="Times New Roman" w:hAnsi="Times New Roman"/>
          <w:sz w:val="18"/>
          <w:szCs w:val="18"/>
          <w:color w:val="auto"/>
        </w:rPr>
      </w:pPr>
    </w:p>
    <w:p>
      <w:pPr>
        <w:ind w:left="-332" w:firstLine="332"/>
        <w:spacing w:after="0" w:line="286" w:lineRule="auto"/>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Original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403860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85" w:name="page86"/>
    <w:bookmarkEnd w:id="85"/>
    <w:p>
      <w:pPr>
        <w:jc w:val="both"/>
        <w:ind w:left="-8" w:firstLine="332"/>
        <w:spacing w:after="0" w:line="263" w:lineRule="auto"/>
        <w:tabs>
          <w:tab w:leader="none" w:pos="5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w:t>
      </w:r>
    </w:p>
    <w:p>
      <w:pPr>
        <w:jc w:val="both"/>
        <w:ind w:left="-8" w:firstLine="8"/>
        <w:spacing w:after="0" w:line="250" w:lineRule="auto"/>
        <w:tabs>
          <w:tab w:leader="none" w:pos="2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voting stock be subject to or party to one or more Subject Entities making, a purchase, tender or exchange offer that is accepted by the holders of at least either (x) more than 50% of the outstanding voting power of the Company, (y) more than 50% of the outstanding voting power of the Company calculated as if any shares of voting stock held by all Subject Entities making or party to, or Affiliated with any Subject Entities making or party to, such purchase, tender or exchange offer were not outstanding; or (z) such number of shares of voting stock such that all Subject Entities making or party to, or Affiliated with any Subject Entity making or party to, such purchase, tender or exchange offer, become collectively the beneficial owners (as defined in Rule 13d-3 under the 1934 Act) of more than 50% of the outstanding voting power of the Company, or</w:t>
      </w:r>
    </w:p>
    <w:p>
      <w:pPr>
        <w:spacing w:after="0" w:line="3"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3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more than 50% of the outstanding voting power of the Company (y) more than 50% of the outstanding voting power of the Company calculated as if any shares of voting stock held by all the Subject Entities making or party to, or Affiliated with any Subject Entity making or party to, such stock purchase agreement or other business combination were not outstanding; or (z) such number of shares of voting stock of the Company such that the Subject Entities become collectively the beneficial owners (as defined in Rule 13d-3 under the 1934 Act) of more than 50% of the outstanding voting power of the Company,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voting stock, merger, consolidation, business combination, reorganization, recapitalization, spin-off, scheme of arrangement, reorganization, recapitalization or reclassification or otherwise in any manner whatsoever, of either (x) more than 50% of the aggregate ordinary voting power represented by issued and outstanding shares of voting stock of the Company, (y) more than 50% of the aggregate ordinary voting power represented by issued and outstanding shares of voting stock of the Company not held by all such Subject Entities as of the date of this Warrant calculated as if any shares of voting stock of the Company held by all such Subject Entities were not outstanding, or (z) a percentage of the aggregate ordinary voting power represented by issued and outstanding shares of voting stock of the Company or other equity securities of the Company sufficient to allow such Subject Entities to effect a statutory short form merger or other transaction requiring other stockholders of the Company to surrender their shares of voting stock of the Company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86" w:lineRule="exact"/>
        <w:rPr>
          <w:rFonts w:ascii="Times New Roman" w:cs="Times New Roman" w:eastAsia="Times New Roman" w:hAnsi="Times New Roman"/>
          <w:sz w:val="18"/>
          <w:szCs w:val="18"/>
          <w:color w:val="auto"/>
        </w:rPr>
      </w:pPr>
    </w:p>
    <w:p>
      <w:pPr>
        <w:ind w:left="552" w:hanging="228"/>
        <w:spacing w:after="0"/>
        <w:tabs>
          <w:tab w:leader="none" w:pos="5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532" w:hanging="208"/>
        <w:spacing w:after="0"/>
        <w:tabs>
          <w:tab w:leader="none" w:pos="53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Issuance Date</w:t>
      </w:r>
      <w:r>
        <w:rPr>
          <w:rFonts w:ascii="Times New Roman" w:cs="Times New Roman" w:eastAsia="Times New Roman" w:hAnsi="Times New Roman"/>
          <w:sz w:val="18"/>
          <w:szCs w:val="18"/>
          <w:color w:val="auto"/>
        </w:rPr>
        <w:t>” means January 14, 2025.</w:t>
      </w:r>
    </w:p>
    <w:p>
      <w:pPr>
        <w:spacing w:after="0" w:line="225" w:lineRule="exact"/>
        <w:rPr>
          <w:rFonts w:ascii="Times New Roman" w:cs="Times New Roman" w:eastAsia="Times New Roman" w:hAnsi="Times New Roman"/>
          <w:sz w:val="18"/>
          <w:szCs w:val="18"/>
          <w:color w:val="auto"/>
        </w:rPr>
      </w:pPr>
    </w:p>
    <w:p>
      <w:pPr>
        <w:jc w:val="both"/>
        <w:ind w:left="-8" w:firstLine="332"/>
        <w:spacing w:after="0" w:line="268" w:lineRule="auto"/>
        <w:tabs>
          <w:tab w:leader="none" w:pos="5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left="-8" w:right="20" w:firstLine="332"/>
        <w:spacing w:after="0" w:line="286" w:lineRule="auto"/>
        <w:tabs>
          <w:tab w:leader="none" w:pos="6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jc w:val="both"/>
        <w:ind w:left="-8" w:firstLine="332"/>
        <w:spacing w:after="0" w:line="262" w:lineRule="auto"/>
        <w:tabs>
          <w:tab w:leader="none" w:pos="5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Buyers of the Preferred Shares and SPA Warrants relating to, among other things, the registration of the resale of the shares of Common Stock issuable upon conversion of the Preferred Shares or otherwise pursuant to the terms of the Certificate of Designations and exercise of the SPA Warrants,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firstLine="332"/>
        <w:spacing w:after="0" w:line="286" w:lineRule="auto"/>
        <w:tabs>
          <w:tab w:leader="none" w:pos="6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54" w:lineRule="exact"/>
        <w:rPr>
          <w:rFonts w:ascii="Times New Roman" w:cs="Times New Roman" w:eastAsia="Times New Roman" w:hAnsi="Times New Roman"/>
          <w:sz w:val="18"/>
          <w:szCs w:val="18"/>
          <w:color w:val="auto"/>
        </w:rPr>
      </w:pPr>
    </w:p>
    <w:p>
      <w:pPr>
        <w:jc w:val="both"/>
        <w:ind w:firstLine="332"/>
        <w:spacing w:after="0" w:line="255" w:lineRule="auto"/>
        <w:tabs>
          <w:tab w:leader="none" w:pos="66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84" w:lineRule="exact"/>
        <w:rPr>
          <w:rFonts w:ascii="Times New Roman" w:cs="Times New Roman" w:eastAsia="Times New Roman" w:hAnsi="Times New Roman"/>
          <w:sz w:val="18"/>
          <w:szCs w:val="18"/>
          <w:color w:val="auto"/>
        </w:rPr>
      </w:pPr>
    </w:p>
    <w:p>
      <w:pPr>
        <w:jc w:val="both"/>
        <w:ind w:firstLine="332"/>
        <w:spacing w:after="0" w:line="253" w:lineRule="auto"/>
        <w:tabs>
          <w:tab w:leader="none" w:pos="6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Purchase Common Stock to be duly executed as of the Issuance Date set 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 XWELL, INC., 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177" w:lineRule="exact"/>
        <w:rPr>
          <w:sz w:val="20"/>
          <w:szCs w:val="20"/>
          <w:color w:val="auto"/>
        </w:rPr>
      </w:pPr>
    </w:p>
    <w:p>
      <w:pPr>
        <w:ind w:left="840" w:hanging="184"/>
        <w:spacing w:after="0"/>
        <w:tabs>
          <w:tab w:leader="none" w:pos="8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as:</w:t>
      </w:r>
    </w:p>
    <w:p>
      <w:pPr>
        <w:spacing w:after="0" w:line="2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ind w:left="280" w:hanging="272"/>
        <w:spacing w:after="0"/>
        <w:tabs>
          <w:tab w:leader="none" w:pos="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Bid Price as of such time of execution of this Exercise Notice was $________.</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hereto, the Holder shall pay the Aggregate Exercise Price in the sum of $___________________ to the Company in accordance with the terms of the Warrant.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Holder, or its designee or agent as specified below, __________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in accordance with the terms of the Warrant. Delivery shall be made to Holder, or for its benefit, as follows:</w:t>
      </w:r>
    </w:p>
    <w:p>
      <w:pPr>
        <w:spacing w:after="0" w:line="159" w:lineRule="exact"/>
        <w:rPr>
          <w:sz w:val="20"/>
          <w:szCs w:val="20"/>
          <w:color w:val="auto"/>
        </w:rPr>
      </w:pPr>
    </w:p>
    <w:p>
      <w:pPr>
        <w:ind w:right="3780" w:firstLine="8"/>
        <w:spacing w:after="0" w:line="532" w:lineRule="auto"/>
        <w:tabs>
          <w:tab w:leader="none" w:pos="207" w:val="left"/>
        </w:tabs>
        <w:numPr>
          <w:ilvl w:val="0"/>
          <w:numId w:val="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58" w:lineRule="exact"/>
        <w:rPr>
          <w:rFonts w:ascii="MS PGothic" w:cs="MS PGothic" w:eastAsia="MS PGothic" w:hAnsi="MS PGothic"/>
          <w:sz w:val="18"/>
          <w:szCs w:val="18"/>
          <w:color w:val="auto"/>
        </w:rPr>
      </w:pPr>
    </w:p>
    <w:p>
      <w:pPr>
        <w:ind w:left="220" w:hanging="212"/>
        <w:spacing w:after="0"/>
        <w:tabs>
          <w:tab w:leader="none" w:pos="220" w:val="left"/>
        </w:tabs>
        <w:numPr>
          <w:ilvl w:val="0"/>
          <w:numId w:val="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420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64204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-882015</wp:posOffset>
            </wp:positionV>
            <wp:extent cx="58464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54946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54946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5494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2064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064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62064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-119380</wp:posOffset>
            </wp:positionV>
            <wp:extent cx="62064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34290</wp:posOffset>
            </wp:positionV>
            <wp:extent cx="55632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34290</wp:posOffset>
            </wp:positionV>
            <wp:extent cx="55632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34290</wp:posOffset>
            </wp:positionV>
            <wp:extent cx="55632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3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10240"/>
        <w:spacing w:after="0"/>
        <w:rPr>
          <w:sz w:val="20"/>
          <w:szCs w:val="20"/>
          <w:color w:val="auto"/>
        </w:rPr>
      </w:pPr>
      <w:r>
        <w:rPr>
          <w:rFonts w:ascii="Times New Roman" w:cs="Times New Roman" w:eastAsia="Times New Roman" w:hAnsi="Times New Roman"/>
          <w:sz w:val="21"/>
          <w:szCs w:val="21"/>
          <w:b w:val="1"/>
          <w:bCs w:val="1"/>
          <w:color w:val="auto"/>
        </w:rPr>
        <w:t>Exhibit 4.3</w:t>
      </w:r>
    </w:p>
    <w:p>
      <w:pPr>
        <w:spacing w:after="0" w:line="25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Amended and Restated Series B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Amended and Restated Series B Warrant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2025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Original Issuance Date, but not after 11:59 p.m., New York time, on the Expiration Date (as defined below), _________________ (subject to</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such number of Warrant Shares, the “</w:t>
      </w:r>
      <w:r>
        <w:rPr>
          <w:rFonts w:ascii="Times New Roman" w:cs="Times New Roman" w:eastAsia="Times New Roman" w:hAnsi="Times New Roman"/>
          <w:sz w:val="18"/>
          <w:szCs w:val="18"/>
          <w:b w:val="1"/>
          <w:bCs w:val="1"/>
          <w:color w:val="auto"/>
        </w:rPr>
        <w:t>Warrant Number</w:t>
      </w:r>
      <w:r>
        <w:rPr>
          <w:rFonts w:ascii="Times New Roman" w:cs="Times New Roman" w:eastAsia="Times New Roman" w:hAnsi="Times New Roman"/>
          <w:sz w:val="18"/>
          <w:szCs w:val="18"/>
          <w:color w:val="auto"/>
        </w:rPr>
        <w:t>”). Except as otherwise defined herein, capitalized terms in this Warrant shall have the meanings set forth in Section 19 or in the Securities Purchase Agreement (as defined below).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Section 1 of that certain Securities Purchase Agreement, dated as of January 14, 2025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amends and restates in its entirety that certain Warrant to purchase Common Stock issued by the Company to the Holder named therein on January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p>
      <w:pPr>
        <w:ind w:left="180" w:hanging="172"/>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Subject to the terms and conditions hereof (including, without limitation, the limitations set forth in Section 1(f)), this Warrant may be exercised by the Holder on any day on or after the Original Issuance Date (an “</w:t>
      </w:r>
      <w:r>
        <w:rPr>
          <w:rFonts w:ascii="Times New Roman" w:cs="Times New Roman" w:eastAsia="Times New Roman" w:hAnsi="Times New Roman"/>
          <w:sz w:val="17"/>
          <w:szCs w:val="17"/>
          <w:b w:val="1"/>
          <w:bCs w:val="1"/>
          <w:color w:val="auto"/>
        </w:rPr>
        <w:t>Exercise Date</w:t>
      </w:r>
      <w:r>
        <w:rPr>
          <w:rFonts w:ascii="Times New Roman" w:cs="Times New Roman" w:eastAsia="Times New Roman" w:hAnsi="Times New Roman"/>
          <w:sz w:val="17"/>
          <w:szCs w:val="17"/>
          <w:color w:val="auto"/>
        </w:rPr>
        <w:t xml:space="preserve">”), in whole or in part, by delivery (whether via electronic mail or otherwise) of a written notice, in the form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17"/>
          <w:szCs w:val="17"/>
          <w:b w:val="1"/>
          <w:bCs w:val="1"/>
          <w:color w:val="auto"/>
        </w:rPr>
        <w:t>Aggregate Exercise Price</w:t>
      </w:r>
      <w:r>
        <w:rPr>
          <w:rFonts w:ascii="Times New Roman" w:cs="Times New Roman" w:eastAsia="Times New Roman" w:hAnsi="Times New Roman"/>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Company has received an Exercise Notice, the Company shall transmit by electronic mail an acknowledgment of confirmation of receipt of such Exercise Notice, in the form attached hereto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color w:val="auto"/>
        </w:rPr>
        <w:t>, to the Holder and the Company’s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w:t>
      </w:r>
    </w:p>
    <w:p>
      <w:pPr>
        <w:spacing w:after="0" w:line="7" w:lineRule="exact"/>
        <w:rPr>
          <w:rFonts w:ascii="Times New Roman" w:cs="Times New Roman" w:eastAsia="Times New Roman" w:hAnsi="Times New Roman"/>
          <w:sz w:val="17"/>
          <w:szCs w:val="17"/>
          <w:color w:val="auto"/>
        </w:rPr>
      </w:pP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provided that the Transfer Agent is participating in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Fast Automated Securities Transfer Program (“</w:t>
      </w:r>
      <w:r>
        <w:rPr>
          <w:rFonts w:ascii="Times New Roman" w:cs="Times New Roman" w:eastAsia="Times New Roman" w:hAnsi="Times New Roman"/>
          <w:sz w:val="17"/>
          <w:szCs w:val="17"/>
          <w:b w:val="1"/>
          <w:bCs w:val="1"/>
          <w:color w:val="auto"/>
        </w:rPr>
        <w:t>FAST</w:t>
      </w:r>
      <w:r>
        <w:rPr>
          <w:rFonts w:ascii="Times New Roman" w:cs="Times New Roman" w:eastAsia="Times New Roman" w:hAnsi="Times New Roman"/>
          <w:sz w:val="17"/>
          <w:szCs w:val="17"/>
          <w:color w:val="auto"/>
        </w:rPr>
        <w:t>”) and such Warrant Shares are eligible to be resold pursuant to Rule 144 or an effective registration statement,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two (2) Trading Days after receipt of the applicable Exercise Notice (or such earlier date as required pursuant to the 1934 Act or other applicable law, rule or regulation for the settlement of a trade of such Warrant Shares initiated on the applicable Exercise Date) and (ii) one</w:t>
      </w:r>
    </w:p>
    <w:p>
      <w:pPr>
        <w:spacing w:after="0" w:line="203"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Trading Day after the Company’s receipt of the Aggregate Exercise Price (or valid notice of a Cashless Exercise if permissible) (such later date,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shall not be deemed to be a breach of this Warrant.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 From the Original Issuance Date through and including the Expiration Date, the Company shall maintain a transfer agent that participates in FAST.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912" w:hanging="264"/>
        <w:spacing w:after="0"/>
        <w:tabs>
          <w:tab w:leader="none" w:pos="91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$1.00,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left="-8" w:firstLine="656"/>
        <w:spacing w:after="0" w:line="250" w:lineRule="auto"/>
        <w:tabs>
          <w:tab w:leader="none" w:pos="88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and such Warrant Shares are eligible to be resold pursuant to Rule 144 or an effective registration statement, to credit the balance account of the Holder or the Holder’s designee with DTC for such number of Warrant Shares to which the Holder is entitled upon the Holder’s exercise of this Warrant (as the case may be) or (II) if a Registration Statement covering the resale of the Warrant Shares that are the subject of the Exercise Notice (the “</w:t>
      </w:r>
      <w:r>
        <w:rPr>
          <w:rFonts w:ascii="Times New Roman" w:cs="Times New Roman" w:eastAsia="Times New Roman" w:hAnsi="Times New Roman"/>
          <w:sz w:val="18"/>
          <w:szCs w:val="18"/>
          <w:b w:val="1"/>
          <w:bCs w:val="1"/>
          <w:color w:val="auto"/>
        </w:rPr>
        <w:t>Unavailable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not available for the resale of such Unavailable Warrant Shares and the Company fails to promptly (x) so notify the Holder and (y)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then, in addition to all other remedies available to the Holder, (X) the Company shall pay in cash to the Holder on each day after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Date and during such Delivery Failure an amount equal to 2%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the Company shall fail to issue and deliver to the Holder (or its designee) a certificate and register such shares of Common Stock on the Company’s share register or, if the Transfer Agent is participating in the DTC FAST and such Warrant Shares are eligible to be resold pursuant to Rule 144 or an effective registration statement, the Transfer Agent shall fail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w:t>
      </w:r>
    </w:p>
    <w:p>
      <w:pPr>
        <w:spacing w:after="0" w:line="3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5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94" w:name="page95"/>
    <w:bookmarkEnd w:id="94"/>
    <w:p>
      <w:pPr>
        <w:jc w:val="both"/>
        <w:ind w:firstLine="656"/>
        <w:spacing w:after="0" w:line="258"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if at the time of exercise hereof a Registration Statement (as defined in the Registration Rights Agreement) is not effective (or the prospectus contained therein is not available for use) for the resale by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 x B) - (A x C)</w:t>
            </w: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8"/>
              </w:rPr>
              <w:t>Number</w:t>
            </w:r>
          </w:p>
        </w:tc>
        <w:tc>
          <w:tcPr>
            <w:tcW w:w="14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07" w:lineRule="exact"/>
        <w:rPr>
          <w:sz w:val="20"/>
          <w:szCs w:val="20"/>
          <w:color w:val="auto"/>
        </w:rPr>
      </w:pPr>
    </w:p>
    <w:p>
      <w:pPr>
        <w:ind w:left="600" w:hanging="430"/>
        <w:spacing w:after="0"/>
        <w:tabs>
          <w:tab w:leader="none" w:pos="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with respect to which this Warrant is then being exercised.</w:t>
      </w:r>
    </w:p>
    <w:p>
      <w:pPr>
        <w:spacing w:after="0" w:line="225" w:lineRule="exact"/>
        <w:rPr>
          <w:sz w:val="20"/>
          <w:szCs w:val="20"/>
          <w:color w:val="auto"/>
        </w:rPr>
      </w:pPr>
    </w:p>
    <w:p>
      <w:pPr>
        <w:jc w:val="right"/>
        <w:ind w:left="740" w:hanging="570"/>
        <w:spacing w:after="0" w:line="255" w:lineRule="auto"/>
        <w:tabs>
          <w:tab w:leader="none" w:pos="5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elected by the Holder: (i) the VWAP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w:t>
      </w:r>
    </w:p>
    <w:p>
      <w:pPr>
        <w:spacing w:after="0" w:line="2" w:lineRule="exact"/>
        <w:rPr>
          <w:rFonts w:ascii="Times New Roman" w:cs="Times New Roman" w:eastAsia="Times New Roman" w:hAnsi="Times New Roman"/>
          <w:sz w:val="18"/>
          <w:szCs w:val="18"/>
          <w:color w:val="auto"/>
        </w:rPr>
      </w:pPr>
    </w:p>
    <w:p>
      <w:pPr>
        <w:jc w:val="both"/>
        <w:ind w:left="7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VWAP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7" w:lineRule="exact"/>
        <w:rPr>
          <w:sz w:val="20"/>
          <w:szCs w:val="20"/>
          <w:color w:val="auto"/>
        </w:rPr>
      </w:pPr>
    </w:p>
    <w:p>
      <w:pPr>
        <w:ind w:left="600" w:hanging="430"/>
        <w:spacing w:after="0"/>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then in effect for the applicable Warrant Shares at the time of such exercise.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5" w:name="page96"/>
    <w:bookmarkEnd w:id="95"/>
    <w:p>
      <w:pPr>
        <w:jc w:val="both"/>
        <w:ind w:left="-8" w:firstLine="656"/>
        <w:spacing w:after="0" w:line="266" w:lineRule="auto"/>
        <w:tabs>
          <w:tab w:leader="none" w:pos="8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5"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67" w:lineRule="auto"/>
        <w:tabs>
          <w:tab w:leader="none" w:pos="1516"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other SPA Warrants) beneficially owned by the Holder or any other Attribution Party subject to a limitation on conversion or exercise analogous to the limitation contained in this Section 1(f)(i). For purposes of this Section 1(f)(i),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1(f)(i),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17"/>
          <w:szCs w:val="17"/>
          <w:b w:val="1"/>
          <w:bCs w:val="1"/>
          <w:color w:val="auto"/>
        </w:rPr>
        <w:t>Reduction Shares</w:t>
      </w:r>
      <w:r>
        <w:rPr>
          <w:rFonts w:ascii="Times New Roman" w:cs="Times New Roman" w:eastAsia="Times New Roman" w:hAnsi="Times New Roman"/>
          <w:sz w:val="17"/>
          <w:szCs w:val="17"/>
          <w:color w:val="auto"/>
        </w:rPr>
        <w:t>”) and</w:t>
      </w:r>
    </w:p>
    <w:p>
      <w:pPr>
        <w:spacing w:after="0" w:line="203" w:lineRule="exact"/>
        <w:rPr>
          <w:rFonts w:ascii="Times New Roman" w:cs="Times New Roman" w:eastAsia="Times New Roman" w:hAnsi="Times New Roman"/>
          <w:sz w:val="17"/>
          <w:szCs w:val="17"/>
          <w:color w:val="auto"/>
        </w:rPr>
      </w:pPr>
    </w:p>
    <w:p>
      <w:pPr>
        <w:jc w:val="both"/>
        <w:ind w:left="-8" w:firstLine="8"/>
        <w:spacing w:after="0" w:line="250" w:lineRule="auto"/>
        <w:tabs>
          <w:tab w:leader="none" w:pos="2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SPA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1(f)(i) to the extent necessary to correct this paragraph or any portion of this paragraph which may be defective or inconsistent with the intended beneficial ownership limitation contained in this Section 1(f)(i)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6" w:name="page97"/>
    <w:bookmarkEnd w:id="96"/>
    <w:p>
      <w:pPr>
        <w:jc w:val="both"/>
        <w:ind w:left="-1120" w:firstLine="1304"/>
        <w:spacing w:after="0" w:line="251" w:lineRule="auto"/>
        <w:tabs>
          <w:tab w:leader="none" w:pos="4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not issue any shares of Common Stock upon the exercise of this Warrant if the issuance of such shares of Common Stock (taken together with the issuance of such shares upon the conversion of the Preferred Shares (as defined in the Securities Purchase Agreement) or otherwise pursuant to the terms of the Certificate of Designations (as defined in the Securities Purchase Agreement)) would exceed the aggregate number of shares of Common Stock which the Company may issue upon exercise or conversion or otherwise pursuant to the terms of the Certificate of Designations and the SPA Warrants without breaching the Company’s obligations under the rules or regulations of the Principal Market (the number of shares which may be issued without violating such rules and regulations,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outside counsel to the Company that such approval is not required, which opinion shall be reasonably satisfactory to the Holder. Until such approval or such written opinion is obtained, no Buyer shall be issued in the aggregate, upon conversion or exercise (as the case may be) of any Preferred Shares or any of the SPA Warrants or otherwise pursuant to the terms of the Certificate of Designations or the SPA Warrants, shares of Common Stock in an amount greater than the product of (i) the Exchange Cap as of the Original Issuance Date multiplied by (ii) the quotient of (1) the aggregate number of Preferred Shares issued to such Buyer pursuant to the Securities Purchase Agreement on the Closing Date (as defined in the Securities Purchase Agreement) divided by (2) the aggregate stated value of all Preferred Shares issued to the Buyers pursuant to the Securities Purchase Agreement on the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SPA Warrants, the transferee shall be allocated a pro rata portion of such Buyer’s Exchange Cap Allocation with respect to such portion of such SPA Warrants so transferred, and the restrictions of the prior sentence shall apply to such transferee with respect to the portion of the Exchange Cap Allocation so allocated to such transferee. Upon conversion and exercise in full of a holder’s Preferred Shares and SPA Warrants, the difference (if any) between such holder’s Exchange Cap Allocation and the number of shares of Common Stock actually issued to such holder upon such holder’s conversion in full of such Preferred Shares and such holder’s exercise in full of such SPA Warrants shall be allocated, to the respective Exchange Cap Allocations of the remaining holders of Preferred Shares and related SPA Warrants on a pro rata basis in proportion to the shares of Common Stock underlying the Preferred Shares and related SPA Warrants then held by each such holder of Preferred Shares and related SPA Warrants. In the event that after June 1, 2025 the Company is then prohibited from issuing any shares of Common Stock pursuant to this Section 1(f)(ii) (the “</w:t>
      </w:r>
      <w:r>
        <w:rPr>
          <w:rFonts w:ascii="Times New Roman" w:cs="Times New Roman" w:eastAsia="Times New Roman" w:hAnsi="Times New Roman"/>
          <w:sz w:val="18"/>
          <w:szCs w:val="18"/>
          <w:b w:val="1"/>
          <w:bCs w:val="1"/>
          <w:color w:val="auto"/>
        </w:rPr>
        <w:t>Exchange Cap Shares</w:t>
      </w:r>
      <w:r>
        <w:rPr>
          <w:rFonts w:ascii="Times New Roman" w:cs="Times New Roman" w:eastAsia="Times New Roman" w:hAnsi="Times New Roman"/>
          <w:sz w:val="18"/>
          <w:szCs w:val="18"/>
          <w:color w:val="auto"/>
        </w:rPr>
        <w:t>”), in lieu of issuing and delivering such Exchange Cap Shares to the Holder, the Company shall pay cash to the Holder in exchange for the cancellation of such portion of this Warrant exercisable into such Exchange Cap Shares (the “</w:t>
      </w:r>
      <w:r>
        <w:rPr>
          <w:rFonts w:ascii="Times New Roman" w:cs="Times New Roman" w:eastAsia="Times New Roman" w:hAnsi="Times New Roman"/>
          <w:sz w:val="18"/>
          <w:szCs w:val="18"/>
          <w:b w:val="1"/>
          <w:bCs w:val="1"/>
          <w:color w:val="auto"/>
        </w:rPr>
        <w:t>Exchange Cap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at a price equal to the sum of (x) the product of (A) such number of Exchange Cap Shares and (B) the greatest Closing Sale Price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on any Trading Day during the period commencing on the date the Holder delivers the applicable Exercise Notice with respect to such Exchange Cap Shares to the Company and ending on the date of such payment under this Section 1(f)(ii)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7" w:name="page98"/>
    <w:bookmarkEnd w:id="97"/>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following the Stockholder Approval Date, the Company shall at all times keep reserved for issuance under this Warrant a number of shares of Common Stock at least equal to 200% of the maximum number of shares of Common Stock as shall be necessary to satisfy the Company’s obligation to issue shares of Common Stock under the SPA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1(g)(i) be reduced other than proportionally in connection with any exercise or redemption of SPA Warrants or such other event covered by Section 2(a) below. The Required Reserve Amount (including, without limitation, each increase in the number of shares so reserved) shall be allocated pro rata among the holders of the SPA Warrants based on the number of shares of Common Stock issuable upon exercise of SPA Warrants held by each holder on the Closing Date (as defined in the Securities Purchase Agreement) (without regard to any limitations on exercise)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SPA Warrants, each transferee shall be allocated a pro rata portion of such holder’s Authorized Share Allocation. Any shares of Common Stock reserved and allocated to any Person which ceases to hold any SPA Warrants shall be allocated to the remaining holders of SPA Warrants, pro rata based on the number of shares of Common Stock issuable upon exercise of the SPA Warrants then held by such holders (without regard to any limitations on exercise).</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51" w:lineRule="auto"/>
        <w:tabs>
          <w:tab w:leader="none" w:pos="9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1(g)(i) above, and not in limitation thereof, following the Stockholder Approval Date, at any time while any of the SPA Warrants remain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use its best efforts to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Authorization Failure Shares</w:t>
      </w:r>
      <w:r>
        <w:rPr>
          <w:rFonts w:ascii="Times New Roman" w:cs="Times New Roman" w:eastAsia="Times New Roman" w:hAnsi="Times New Roman"/>
          <w:sz w:val="18"/>
          <w:szCs w:val="18"/>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433705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8" w:name="page99"/>
    <w:bookmarkEnd w:id="98"/>
    <w:p>
      <w:pPr>
        <w:ind w:left="180" w:hanging="172"/>
        <w:spacing w:after="0"/>
        <w:tabs>
          <w:tab w:leader="none" w:pos="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Exercise Price and Number of Warrant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 </w:t>
      </w: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2(b), Section 3 or Section 4, if the Company, at any time on or after the Subscription Date, (i) pays a stock dividend on one or more classes of its then outstanding shares of Common Stock or otherwise makes a distribution on any class of capital stock that is payable in shares of Common Stock, other than Excluded Securities (as defined in the Securities Purchase Agreement),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0" w:lineRule="exact"/>
        <w:rPr>
          <w:sz w:val="20"/>
          <w:szCs w:val="20"/>
          <w:color w:val="auto"/>
        </w:rPr>
      </w:pPr>
    </w:p>
    <w:p>
      <w:pPr>
        <w:jc w:val="both"/>
        <w:ind w:firstLine="656"/>
        <w:spacing w:after="0" w:line="253"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If and whenever on or after the Subscription Date, the Company shall sell, enter into an agreement to sell or grant any option to purchase, or sell or grant any right to reprice, or otherwise dispose of or issue (or announce any offer, sale, grant or any option to purchase or other disposition) any Common Stock or Common Stock Equivalents (but excluding any Excluded Securities), at an effective price per share less than the Exercise Price then in effect (such lower price, the “</w:t>
      </w:r>
      <w:r>
        <w:rPr>
          <w:rFonts w:ascii="Times New Roman" w:cs="Times New Roman" w:eastAsia="Times New Roman" w:hAnsi="Times New Roman"/>
          <w:sz w:val="18"/>
          <w:szCs w:val="18"/>
          <w:b w:val="1"/>
          <w:bCs w:val="1"/>
          <w:color w:val="auto"/>
        </w:rPr>
        <w:t>Base Share Price</w:t>
      </w:r>
      <w:r>
        <w:rPr>
          <w:rFonts w:ascii="Times New Roman" w:cs="Times New Roman" w:eastAsia="Times New Roman" w:hAnsi="Times New Roman"/>
          <w:sz w:val="18"/>
          <w:szCs w:val="18"/>
          <w:color w:val="auto"/>
        </w:rPr>
        <w:t>” and such issuances collectively,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and only reduced to equal the Base Share Price. Notwithstanding the foregoing, no adjustments shall be made, paid or issued under this Section 2(b) in respect of the issuance of Excluded Securities. The Company shall notify the Holder, in writing, no later than the Trading Day following the issuance or deemed issuance of any Common Stock or Common Stock Equivalents subject to this Section 2(b), indicating therein the applicable issuance price, or applicable reset price, exchange price, conversion price and other pricing terms.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3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both"/>
        <w:ind w:left="4" w:firstLine="644"/>
        <w:spacing w:after="0" w:line="252" w:lineRule="auto"/>
        <w:tabs>
          <w:tab w:leader="none" w:pos="91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6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and together with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Sections 2(b)(i) or 2(b)(ii) above and (z) the lowest VWAP of the shares of Common Stock on any Trading Day during the five (5) Trading Day period (the “</w:t>
      </w:r>
      <w:r>
        <w:rPr>
          <w:rFonts w:ascii="Times New Roman" w:cs="Times New Roman" w:eastAsia="Times New Roman" w:hAnsi="Times New Roman"/>
          <w:sz w:val="18"/>
          <w:szCs w:val="18"/>
          <w:b w:val="1"/>
          <w:bCs w:val="1"/>
          <w:color w:val="auto"/>
        </w:rPr>
        <w:t>Adjustment Period</w:t>
      </w:r>
      <w:r>
        <w:rPr>
          <w:rFonts w:ascii="Times New Roman" w:cs="Times New Roman" w:eastAsia="Times New Roman" w:hAnsi="Times New Roman"/>
          <w:sz w:val="18"/>
          <w:szCs w:val="18"/>
          <w:color w:val="auto"/>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this Warrant is exercised, on any given Exercise Date during any such Adjustment Period, solely with respect to such portion of this Warrant exercised on such applicable Exercise Date, such applicable Adjustment Period shall be deemed to have ended on, and included, the Trading Day immediately prior to such Exercise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w:t>
      </w:r>
    </w:p>
    <w:p>
      <w:pPr>
        <w:spacing w:after="0" w:line="10"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w:t>
      </w:r>
    </w:p>
    <w:p>
      <w:pPr>
        <w:spacing w:after="0" w:line="2" w:lineRule="exact"/>
        <w:rPr>
          <w:sz w:val="20"/>
          <w:szCs w:val="20"/>
          <w:color w:val="auto"/>
        </w:rPr>
      </w:pPr>
    </w:p>
    <w:p>
      <w:pPr>
        <w:jc w:val="both"/>
        <w:ind w:left="4" w:right="20" w:hanging="4"/>
        <w:spacing w:after="0" w:line="221" w:lineRule="auto"/>
        <w:tabs>
          <w:tab w:leader="none" w:pos="2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0" w:name="page101"/>
    <w:bookmarkEnd w:id="100"/>
    <w:p>
      <w:pPr>
        <w:jc w:val="both"/>
        <w:ind w:left="4" w:firstLine="644"/>
        <w:spacing w:after="0" w:line="258" w:lineRule="auto"/>
        <w:tabs>
          <w:tab w:leader="none" w:pos="97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w:t>
      </w:r>
      <w:r>
        <w:rPr>
          <w:rFonts w:ascii="Times New Roman" w:cs="Times New Roman" w:eastAsia="Times New Roman" w:hAnsi="Times New Roman"/>
          <w:sz w:val="18"/>
          <w:szCs w:val="18"/>
          <w:color w:val="auto"/>
        </w:rPr>
        <w:t>. If at any time and from time to time on or after the Issuance Date there occurs any stock split, stock dividend, stock combination, reverse stock split, recapitalization or other similar transaction involving the outstanding Common Stock (each, a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Exercise Price then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(after giving effect to the adjustment in clause 2(a) above), then on or prior to the sixteenth (16th) Trading Day immediately following such Stock Combination Event (“</w:t>
      </w:r>
      <w:r>
        <w:rPr>
          <w:rFonts w:ascii="Times New Roman" w:cs="Times New Roman" w:eastAsia="Times New Roman" w:hAnsi="Times New Roman"/>
          <w:sz w:val="18"/>
          <w:szCs w:val="18"/>
          <w:b w:val="1"/>
          <w:bCs w:val="1"/>
          <w:color w:val="auto"/>
        </w:rPr>
        <w:t>Stock Combination Event Adjustment Date</w:t>
      </w:r>
      <w:r>
        <w:rPr>
          <w:rFonts w:ascii="Times New Roman" w:cs="Times New Roman" w:eastAsia="Times New Roman" w:hAnsi="Times New Roman"/>
          <w:sz w:val="18"/>
          <w:szCs w:val="18"/>
          <w:color w:val="auto"/>
        </w:rPr>
        <w:t>”), the Exercise Price then in effect on such Stock Combination Event Adjustment Date (after giving effect to the adjustment in clause 2(a) above) shall be reduced (but in no event increased) to the Event Market Price. For the avoidance of doubt, if the adjustment in the immediately preceding sentence would otherwise result in an increase in the Exercise Price hereunder, no adjustment shall be made.</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4"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2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issuance or sale of shares of Common Stock.</w:t>
      </w:r>
    </w:p>
    <w:p>
      <w:pPr>
        <w:spacing w:after="0" w:line="175"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Warrant, with the prior written consent of the Required Holders (as defined in the Securities Purchase Agreement), reduce the then current Exercise Price to any amount and for any period of time deemed appropriate by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1" w:name="page102"/>
    <w:bookmarkEnd w:id="101"/>
    <w:p>
      <w:pPr>
        <w:jc w:val="both"/>
        <w:ind w:left="-8" w:firstLine="656"/>
        <w:spacing w:after="0" w:line="254" w:lineRule="auto"/>
        <w:tabs>
          <w:tab w:leader="none" w:pos="85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No adjustment pursuant to this Section 2 shall cause the Exercise Price to be less than $0.272, which shall be reduced to 20% of the “Minimum Price” (as defined in Rule 5635 of the Rules of the Nasdaq Stock Market) on the Stockholder Approval Date (as defined in the Securities Purchase Agreement) if such price is lower (as adjusted for any stock dividend, stock split, stock combination, reclassification or similar transaction occurring after the date of the Securities Purchase Agreement) (the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Notwithstanding the foregoing, nothing contained in this Section 2(i) shall apply after Stockholder Approval (as defined in the Securities Purchase Agreement) is obtained and, on such Stockholder Approval Date, any adjustments that would have occurred hereunder prior to the Stockholder Approval Date, but for the existence of this Section 2(i), shall be applied pursuant to this Section 2 on the Stockholder Approval Date (without regard to the limitations in this Section 2(i)) as if such event or Dilutive Issuance, as applicable, occurred on the Stockholder Approval Date.</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7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Upon Distribution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any adjustments pursuant to Section 2 above or Section 4(a) below, if the Company shall declare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2" w:lineRule="auto"/>
        <w:tabs>
          <w:tab w:leader="none" w:pos="89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2" w:name="page103"/>
    <w:bookmarkEnd w:id="102"/>
    <w:p>
      <w:pPr>
        <w:jc w:val="both"/>
        <w:ind w:left="-8" w:firstLine="656"/>
        <w:spacing w:after="0" w:line="252" w:lineRule="auto"/>
        <w:tabs>
          <w:tab w:leader="none" w:pos="89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w:t>
      </w:r>
    </w:p>
    <w:p>
      <w:pPr>
        <w:spacing w:after="0" w:line="5"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6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6"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9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 provided, however, that if the Fundamental Transaction is not within the Company’s control, including in the event that such Fundamental Transaction is not approved by the board of directors of the Company,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such Successor Entity may be the Company following such Fundamental Transaction) in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3" w:name="page104"/>
    <w:bookmarkEnd w:id="103"/>
    <w:p>
      <w:pPr>
        <w:jc w:val="both"/>
        <w:ind w:left="-8" w:firstLine="656"/>
        <w:spacing w:after="0" w:line="261" w:lineRule="auto"/>
        <w:tabs>
          <w:tab w:leader="none" w:pos="87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Securities Purchase Agreement), Bylaws (as defined in the Securities Purchase Agreement)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Original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82"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18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not be entitled to vote or receive dividends or be deemed the holder of capital stock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the Company shall have no such obligation to the extent such information is filed with the SEC through EDGAR and are available to the public through the EDGAR system.</w:t>
      </w:r>
    </w:p>
    <w:p>
      <w:pPr>
        <w:spacing w:after="0" w:line="182"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Reissuance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656"/>
        <w:spacing w:after="0" w:line="258" w:lineRule="auto"/>
        <w:tabs>
          <w:tab w:leader="none" w:pos="8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4" w:name="page105"/>
    <w:bookmarkEnd w:id="104"/>
    <w:p>
      <w:pPr>
        <w:jc w:val="both"/>
        <w:ind w:firstLine="656"/>
        <w:spacing w:after="0" w:line="258" w:lineRule="auto"/>
        <w:tabs>
          <w:tab w:leader="none" w:pos="93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3" w:lineRule="auto"/>
        <w:tabs>
          <w:tab w:leader="none" w:pos="2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Original Issuance Date, and (iv) shall have the same rights and conditions as this Warrant.</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6"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w:t>
      </w:r>
    </w:p>
    <w:p>
      <w:pPr>
        <w:spacing w:after="0" w:line="3" w:lineRule="exact"/>
        <w:rPr>
          <w:sz w:val="20"/>
          <w:szCs w:val="20"/>
          <w:color w:val="auto"/>
        </w:rPr>
      </w:pPr>
    </w:p>
    <w:p>
      <w:pPr>
        <w:jc w:val="both"/>
        <w:ind w:firstLine="8"/>
        <w:spacing w:after="0" w:line="251" w:lineRule="auto"/>
        <w:tabs>
          <w:tab w:leader="none" w:pos="2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Common Stock, (B) with respect to any grants, issuances or sales of any Options, Convertible Securities or rights to purchase stock, warrants, securities or other property to holders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8"/>
        <w:spacing w:after="0" w:line="254" w:lineRule="auto"/>
        <w:tabs>
          <w:tab w:leader="none" w:pos="1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Section 4(i) of the Securities Purchase Agreement.</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7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8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8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w:t>
      </w:r>
    </w:p>
    <w:p>
      <w:pPr>
        <w:spacing w:after="0" w:line="5" w:lineRule="exact"/>
        <w:rPr>
          <w:rFonts w:ascii="Times New Roman" w:cs="Times New Roman" w:eastAsia="Times New Roman" w:hAnsi="Times New Roman"/>
          <w:sz w:val="18"/>
          <w:szCs w:val="18"/>
          <w:b w:val="1"/>
          <w:bCs w:val="1"/>
          <w:color w:val="auto"/>
        </w:rPr>
      </w:pP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IN CONNECTION WITH OR ARISING OUT OF THIS WARRANT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left="-8" w:firstLine="8"/>
        <w:spacing w:after="0" w:line="262" w:lineRule="auto"/>
        <w:tabs>
          <w:tab w:leader="none" w:pos="26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76" w:lineRule="exact"/>
        <w:rPr>
          <w:rFonts w:ascii="Times New Roman" w:cs="Times New Roman" w:eastAsia="Times New Roman" w:hAnsi="Times New Roman"/>
          <w:sz w:val="18"/>
          <w:szCs w:val="18"/>
          <w:b w:val="1"/>
          <w:bCs w:val="1"/>
          <w:color w:val="auto"/>
        </w:rPr>
      </w:pPr>
    </w:p>
    <w:p>
      <w:pPr>
        <w:ind w:left="272" w:hanging="272"/>
        <w:spacing w:after="0"/>
        <w:tabs>
          <w:tab w:leader="none" w:pos="27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1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Exercise Price, the Closing Sale Price, the Bid Price,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5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60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0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18"/>
          <w:szCs w:val="18"/>
          <w:b w:val="1"/>
          <w:bCs w:val="1"/>
          <w:color w:val="auto"/>
        </w:rPr>
        <w:t>CPLR</w:t>
      </w:r>
      <w:r>
        <w:rPr>
          <w:rFonts w:ascii="Times New Roman" w:cs="Times New Roman" w:eastAsia="Times New Roman" w:hAnsi="Times New Roman"/>
          <w:sz w:val="18"/>
          <w:szCs w:val="18"/>
          <w:color w:val="auto"/>
        </w:rPr>
        <w:t>”) and that the Holder is authorized to apply for an order to compel arbitration pursuant to CPLR § 7503(a) in order to compel compliance with this Section 15, (ii)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(iii) the Holder (and only the Holder), in its sole discretion, shall have the right to submit any dispute described in this Section 15 to any state or federal court sitting in The City of New York, Borough of Manhattan in lieu of utilizing the procedures set forth in this Section 15 and (iv) nothing in this Section 15 shall limit the Holder from obtaining any injunctive relief or other equitable remedies (including, without limitation, with respect to any matters described in this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07" w:name="page108"/>
    <w:bookmarkEnd w:id="107"/>
    <w:p>
      <w:pPr>
        <w:jc w:val="both"/>
        <w:ind w:firstLine="8"/>
        <w:spacing w:after="0" w:line="252" w:lineRule="auto"/>
        <w:tabs>
          <w:tab w:leader="none" w:pos="27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8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Collection, Enforcement and Other Costs</w:t>
      </w:r>
      <w:r>
        <w:rPr>
          <w:rFonts w:ascii="Times New Roman" w:cs="Times New Roman" w:eastAsia="Times New Roman" w:hAnsi="Times New Roman"/>
          <w:sz w:val="18"/>
          <w:szCs w:val="18"/>
          <w:color w:val="auto"/>
        </w:rPr>
        <w:t>. If (a) this Warrant is placed in the hands of an attorney for collection or enforcement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2"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7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 except as may otherwise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Section 2(g) of the Securities Purchase Agreement and applicable securities laws.</w:t>
      </w:r>
    </w:p>
    <w:p>
      <w:pPr>
        <w:spacing w:after="0" w:line="15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2) of Common Stock (other than rights of the type described in Section 4 hereof) that could result in a decrease in the net consideration received by the Company in connection with, or with respect to, such securities (including, without limitation, any cash settlement rights, cash adjustment or other similar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Original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    Reserved.</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4(c)(i) and (2) the sum of the price per share being offered in cash in the applicable Fundamental Transaction (if any) plus the value of the non-cash consideration being offered in the applicable Fundamental Transaction (if any),</w:t>
      </w:r>
    </w:p>
    <w:p>
      <w:pPr>
        <w:spacing w:after="0" w:line="4" w:lineRule="exact"/>
        <w:rPr>
          <w:sz w:val="20"/>
          <w:szCs w:val="20"/>
          <w:color w:val="auto"/>
        </w:rPr>
      </w:pPr>
    </w:p>
    <w:p>
      <w:pPr>
        <w:jc w:val="both"/>
        <w:ind w:firstLine="8"/>
        <w:spacing w:after="0" w:line="252" w:lineRule="auto"/>
        <w:tabs>
          <w:tab w:leader="none" w:pos="30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strike price equal to the Exercise Price in effect on the date of the Holder’s request pursuant to Section 4(c)(i), (iii) a risk-free interest rate corresponding to the U.S. Treasury rate for a period equal to the greater of (1) the remaining term of this Warrant as of the date of the Holder’s request pursuant to Section 4(c)(i) and (2) the remaining term of this Warrant as of the date of consummation of the applicable Fundamental Transaction or as of the date of the Holder’s request pursuant to Section 4(c)(i) if such request is prior to the date of the consummation of the applicable Fundamental Transaction, (iv) a zero cost of borrow and (v) an expected volatility equal to the 30 day volatility obtained from the “HVT” function on Bloomberg (determined utilizing a 365 day annualization factor) as of the Trading Day immediately following the earliest to occur of (A) the public disclosure of the applicable Fundamental Transaction and (B) the date of the Holder’s request pursuant to Section 4(c)(i).</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$0.01 par value per share, and (ii) any capital stock into which such common stock shall have been changed or any capital stock resulting from a reclassification of such common stock.</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Common Stock.</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the Nasdaq Capital Market or the Principal Market.</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lowest VWAP of the Common Stock for any Trading Day during the twenty (20) consecutive Trading Day period ending and including the Trading Day immediately preceding the sixteenth (16th) Trading Day after such Stock Combination Event Date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All such determinations shall be appropriately adjusted for any stock dividend, stock split, stock combination, recapitalization or other similar transaction during such period.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Original Issuance Date or, if such date falls on a day other than a Trading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ind w:firstLine="324"/>
        <w:spacing w:after="0" w:line="263"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w:t>
      </w:r>
    </w:p>
    <w:p>
      <w:pPr>
        <w:spacing w:after="0" w:line="1" w:lineRule="exact"/>
        <w:rPr>
          <w:sz w:val="20"/>
          <w:szCs w:val="20"/>
          <w:color w:val="auto"/>
        </w:rPr>
      </w:pPr>
    </w:p>
    <w:p>
      <w:pPr>
        <w:jc w:val="both"/>
        <w:ind w:firstLine="8"/>
        <w:spacing w:after="0" w:line="250" w:lineRule="auto"/>
        <w:tabs>
          <w:tab w:leader="none" w:pos="29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voting stock be subject to or party to one or more Subject Entities making, a purchase, tender or exchange offer that is accepted by the holders of at least either (x) more than 50% of the outstanding voting power of the Company, (y) more than 50% of the outstanding voting power of the Company calculated as if any shares of voting stock held by all Subject Entities making or party to, or Affiliated with any Subject Entities making or party to, such purchase, tender or exchange offer were not outstanding; or (z) such number of shares of voting stock such that all Subject Entities making or party to, or Affiliated with any Subject Entity making or party to, such purchase, tender or exchange offer, become collectively the beneficial owners (as defined in Rule 13d-3 under the 1934 Act) of more than 50% of the outstanding voting power of the Company, or</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30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more than 50% of the outstanding voting power of the Company (y) more than 50% of the outstanding voting power of the Company calculated as if any shares of voting stock held by all the Subject Entities making or party to, or Affiliated with any Subject Entity making or party to, such stock purchase agreement or other business combination were not outstanding; or (z) such number of shares of voting stock of the Company such that the Subject Entities become collectively the beneficial owners (as defined in Rule 13d-3 under the 1934 Act) of more than 50% of the outstanding voting power of the Company,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voting stock, merger, consolidation, business combination, reorganization, recapitalization, spin-off, scheme of arrangement, reorganization, recapitalization or reclassification or otherwise in any manner whatsoever, of either (x) more than 50% of the aggregate ordinary voting power represented by issued and outstanding shares of voting stock of the Company, (y) more than 50% of the aggregate ordinary voting power represented by issued and outstanding shares of voting stock of the Company not held by all such Subject Entities as of the date of this Warrant calculated as if any shares of voting stock of the Company held by all such Subject Entities were not outstanding, or (z) a percentage of the aggregate ordinary voting power represented by issued and outstanding shares of voting stock of the Company or other equity securities of the Company sufficient to allow such Subject Entities to effect a statutory short form merger or other transaction requiring other stockholders of the Company to surrender their shares of voting stock of the Company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Original Issuance Date</w:t>
      </w:r>
      <w:r>
        <w:rPr>
          <w:rFonts w:ascii="Times New Roman" w:cs="Times New Roman" w:eastAsia="Times New Roman" w:hAnsi="Times New Roman"/>
          <w:sz w:val="18"/>
          <w:szCs w:val="18"/>
          <w:color w:val="auto"/>
        </w:rPr>
        <w:t>” means January 14, 2025.</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Buyers of the Preferred Shares and SPA Warrants relating to, among other things, the registration of the resale of the shares of Common Stock issuable upon conversion of the Preferred Shares or otherwise pursuant to the terms of the Certificate of Designations and exercise of the SPA Warrants,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left="34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5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Purchase Common Stock to be duly executed as of the Issuance Date set 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Warrant to Purchase Common Stock No. 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of XWELL, INC., 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specified below. Capitalized terms used herein and not otherwise defined shall have the respective meanings set forth in the Warrant.</w:t>
      </w:r>
    </w:p>
    <w:p>
      <w:pPr>
        <w:spacing w:after="0" w:line="177" w:lineRule="exact"/>
        <w:rPr>
          <w:sz w:val="20"/>
          <w:szCs w:val="20"/>
          <w:color w:val="auto"/>
        </w:rPr>
      </w:pPr>
    </w:p>
    <w:p>
      <w:pPr>
        <w:ind w:left="840" w:hanging="184"/>
        <w:spacing w:after="0"/>
        <w:tabs>
          <w:tab w:leader="none" w:pos="8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Aggregate Exercise Price shall be made as:</w:t>
      </w:r>
    </w:p>
    <w:p>
      <w:pPr>
        <w:spacing w:after="0" w:line="2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ind w:left="280" w:hanging="272"/>
        <w:spacing w:after="0"/>
        <w:tabs>
          <w:tab w:leader="none" w:pos="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Bid Price as of such time of execution of this Exercise Notice was $________.</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hereto, the Holder shall pay the Aggregate Exercise Price in the sum of $___________________ to the Company in accordance with the terms of the Warrant.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2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Holder, or its designee or agent as specified below, __________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in accordance with the terms of the Warrant. Delivery shall be made to Holder, or for its benefit, as follows:</w:t>
      </w:r>
    </w:p>
    <w:p>
      <w:pPr>
        <w:spacing w:after="0" w:line="159" w:lineRule="exact"/>
        <w:rPr>
          <w:sz w:val="20"/>
          <w:szCs w:val="20"/>
          <w:color w:val="auto"/>
        </w:rPr>
      </w:pPr>
    </w:p>
    <w:p>
      <w:pPr>
        <w:ind w:right="3780" w:firstLine="8"/>
        <w:spacing w:after="0" w:line="532" w:lineRule="auto"/>
        <w:tabs>
          <w:tab w:leader="none" w:pos="207" w:val="left"/>
        </w:tabs>
        <w:numPr>
          <w:ilvl w:val="0"/>
          <w:numId w:val="1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58" w:lineRule="exact"/>
        <w:rPr>
          <w:rFonts w:ascii="MS PGothic" w:cs="MS PGothic" w:eastAsia="MS PGothic" w:hAnsi="MS PGothic"/>
          <w:sz w:val="18"/>
          <w:szCs w:val="18"/>
          <w:color w:val="auto"/>
        </w:rPr>
      </w:pPr>
    </w:p>
    <w:p>
      <w:pPr>
        <w:ind w:left="220" w:hanging="212"/>
        <w:spacing w:after="0"/>
        <w:tabs>
          <w:tab w:leader="none" w:pos="220" w:val="left"/>
        </w:tabs>
        <w:numPr>
          <w:ilvl w:val="0"/>
          <w:numId w:val="1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5493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65493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-882015</wp:posOffset>
            </wp:positionV>
            <wp:extent cx="59150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34290</wp:posOffset>
            </wp:positionV>
            <wp:extent cx="57003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34290</wp:posOffset>
            </wp:positionV>
            <wp:extent cx="57003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34290</wp:posOffset>
            </wp:positionV>
            <wp:extent cx="57003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46"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3544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61976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34290</wp:posOffset>
            </wp:positionV>
            <wp:extent cx="61976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-119380</wp:posOffset>
            </wp:positionV>
            <wp:extent cx="61976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34290</wp:posOffset>
            </wp:positionV>
            <wp:extent cx="58464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34290</wp:posOffset>
            </wp:positionV>
            <wp:extent cx="58464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34290</wp:posOffset>
            </wp:positionV>
            <wp:extent cx="58464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202_,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AND AMENDMENT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EXCHANGE AND AMENDMENT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November 3, 2025, by and between XWELL,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of shares of the Company’s Series G Convertible Preferred Stock, par value $0.01 per share, (the “</w:t>
      </w:r>
      <w:r>
        <w:rPr>
          <w:rFonts w:ascii="Times New Roman" w:cs="Times New Roman" w:eastAsia="Times New Roman" w:hAnsi="Times New Roman"/>
          <w:sz w:val="18"/>
          <w:szCs w:val="18"/>
          <w:b w:val="1"/>
          <w:bCs w:val="1"/>
          <w:color w:val="auto"/>
        </w:rPr>
        <w:t>Series G Preferred Stock</w:t>
      </w:r>
      <w:r>
        <w:rPr>
          <w:rFonts w:ascii="Times New Roman" w:cs="Times New Roman" w:eastAsia="Times New Roman" w:hAnsi="Times New Roman"/>
          <w:sz w:val="18"/>
          <w:szCs w:val="18"/>
          <w:color w:val="auto"/>
        </w:rPr>
        <w:t>”). Capitalized terms used herein but not otherwise defined herein shall have the respective meanings given such terms in the Purchase Agreement (as defined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are party to that certain Securities Purchase Agreement, dated as of January 14, 2025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pursuant to which the Company issued to the Holders: (i) shares of the Company’s Series G Preferred Stock, the terms of which are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Certificate of Designations for the Series G Convertible Preferred Stock (as amended, the “</w:t>
      </w:r>
      <w:r>
        <w:rPr>
          <w:rFonts w:ascii="Times New Roman" w:cs="Times New Roman" w:eastAsia="Times New Roman" w:hAnsi="Times New Roman"/>
          <w:sz w:val="18"/>
          <w:szCs w:val="18"/>
          <w:b w:val="1"/>
          <w:bCs w:val="1"/>
          <w:color w:val="auto"/>
        </w:rPr>
        <w:t>Series G Certificate of Designations</w:t>
      </w:r>
      <w:r>
        <w:rPr>
          <w:rFonts w:ascii="Times New Roman" w:cs="Times New Roman" w:eastAsia="Times New Roman" w:hAnsi="Times New Roman"/>
          <w:sz w:val="18"/>
          <w:szCs w:val="18"/>
          <w:color w:val="auto"/>
        </w:rPr>
        <w:t>”), (ii) Series A warrants (the “</w:t>
      </w:r>
      <w:r>
        <w:rPr>
          <w:rFonts w:ascii="Times New Roman" w:cs="Times New Roman" w:eastAsia="Times New Roman" w:hAnsi="Times New Roman"/>
          <w:sz w:val="18"/>
          <w:szCs w:val="18"/>
          <w:b w:val="1"/>
          <w:bCs w:val="1"/>
          <w:color w:val="auto"/>
        </w:rPr>
        <w:t>Series A Warrants</w:t>
      </w:r>
      <w:r>
        <w:rPr>
          <w:rFonts w:ascii="Times New Roman" w:cs="Times New Roman" w:eastAsia="Times New Roman" w:hAnsi="Times New Roman"/>
          <w:sz w:val="18"/>
          <w:szCs w:val="18"/>
          <w:color w:val="auto"/>
        </w:rPr>
        <w:t>”) to purchase shares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60" w:lineRule="auto"/>
        <w:tabs>
          <w:tab w:leader="none" w:pos="33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(the “</w:t>
      </w:r>
      <w:r>
        <w:rPr>
          <w:rFonts w:ascii="Times New Roman" w:cs="Times New Roman" w:eastAsia="Times New Roman" w:hAnsi="Times New Roman"/>
          <w:sz w:val="18"/>
          <w:szCs w:val="18"/>
          <w:b w:val="1"/>
          <w:bCs w:val="1"/>
          <w:color w:val="auto"/>
        </w:rPr>
        <w:t>Series B Warrants</w:t>
      </w:r>
      <w:r>
        <w:rPr>
          <w:rFonts w:ascii="Times New Roman" w:cs="Times New Roman" w:eastAsia="Times New Roman" w:hAnsi="Times New Roman"/>
          <w:sz w:val="18"/>
          <w:szCs w:val="18"/>
          <w:color w:val="auto"/>
        </w:rPr>
        <w:t>” and, collectively with the Series A Warrants,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shares of Common Stock;</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have agreed to exchange a portion of the outstanding Series G Preferred Stock as of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all accrued and unpaid dividends in an aggregate amount of $1,553,806.00 in the amounts for each Holder as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A hereto, for Senior Secured Convertible Notes,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an aggregate principal amount of $3,387,138.80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convertible into shares of Common Stock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with each Holder entitled to receive a Note with the aggregate principal amount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pursuant to the terms and conditions set forth in this Agreement and in reliance on the exemption from registration provided by Section 3(a)(9)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Holders collectively hold at least a majority of the outstanding shares of Series G Preferred Stock and thereby constitute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Holders (as defined in the Series G Certificate of Designations);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amend certain provisions of the Series G Certificate of Designations as described herein;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11 of each Warrant, the terms of the Warrants may be amended only if the Company has obtained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such Warrant holder;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Holder and the Company desire to amend and restate each Holder’s respective Warrants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EXCHANGE AND AMENDED AND RESTATED WARRANTS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The Exchange</w:t>
      </w:r>
      <w:r>
        <w:rPr>
          <w:rFonts w:ascii="Times New Roman" w:cs="Times New Roman" w:eastAsia="Times New Roman" w:hAnsi="Times New Roman"/>
          <w:sz w:val="18"/>
          <w:szCs w:val="18"/>
          <w:color w:val="auto"/>
        </w:rPr>
        <w:t>. At the Closing (as defined below), the Company and the Holders shall, pursuant to Section 3(a)(9) of the Securities Act, exchange the Series G Preferred Stock for the Notes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as described herein.</w:t>
      </w:r>
    </w:p>
    <w:p>
      <w:pPr>
        <w:spacing w:after="0" w:line="158" w:lineRule="exact"/>
        <w:rPr>
          <w:sz w:val="20"/>
          <w:szCs w:val="20"/>
          <w:color w:val="auto"/>
        </w:rPr>
      </w:pPr>
    </w:p>
    <w:p>
      <w:pPr>
        <w:jc w:val="both"/>
        <w:ind w:left="340" w:firstLine="1296"/>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remotely via exchange of signatures on the trading day on which all conditions have been satisfied or waived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340"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Consideration</w:t>
      </w:r>
      <w:r>
        <w:rPr>
          <w:rFonts w:ascii="Times New Roman" w:cs="Times New Roman" w:eastAsia="Times New Roman" w:hAnsi="Times New Roman"/>
          <w:sz w:val="18"/>
          <w:szCs w:val="18"/>
          <w:color w:val="auto"/>
        </w:rPr>
        <w:t xml:space="preserve">. On the Closing Date, the Notes shall be issued to the Holders with an aggregate principal amount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 exchange for the Series G Preferred Stock, without the payment of any other consideration by such Holders that would not be consistent with the application of Section 3(a)(9) of the Securities Act to the issuance of the Notes.</w:t>
      </w:r>
    </w:p>
    <w:p>
      <w:pPr>
        <w:spacing w:after="0" w:line="176" w:lineRule="exact"/>
        <w:rPr>
          <w:sz w:val="20"/>
          <w:szCs w:val="20"/>
          <w:color w:val="auto"/>
        </w:rPr>
      </w:pPr>
    </w:p>
    <w:p>
      <w:pPr>
        <w:jc w:val="both"/>
        <w:ind w:left="340"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Delivery</w:t>
      </w:r>
      <w:r>
        <w:rPr>
          <w:rFonts w:ascii="Times New Roman" w:cs="Times New Roman" w:eastAsia="Times New Roman" w:hAnsi="Times New Roman"/>
          <w:sz w:val="18"/>
          <w:szCs w:val="18"/>
          <w:color w:val="auto"/>
        </w:rPr>
        <w:t>. In the Exchange, the Company shall, at the Closing, issue and deliver (or cause to be issued and delivered) the Notes to the Holders (or in the name of a custodian or nominee of each Holder, or as otherwise requested by the respective Holder in writing) at the Holder’s election, in book-entry form. The Securities shall contain any restrictive legends required by the Securities Act.</w:t>
      </w:r>
    </w:p>
    <w:p>
      <w:pPr>
        <w:spacing w:after="0" w:line="176" w:lineRule="exact"/>
        <w:rPr>
          <w:sz w:val="20"/>
          <w:szCs w:val="20"/>
          <w:color w:val="auto"/>
        </w:rPr>
      </w:pPr>
    </w:p>
    <w:p>
      <w:pPr>
        <w:jc w:val="both"/>
        <w:ind w:left="34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Tacking</w:t>
      </w:r>
      <w:r>
        <w:rPr>
          <w:rFonts w:ascii="Times New Roman" w:cs="Times New Roman" w:eastAsia="Times New Roman" w:hAnsi="Times New Roman"/>
          <w:sz w:val="18"/>
          <w:szCs w:val="18"/>
          <w:color w:val="auto"/>
        </w:rPr>
        <w:t>. The holding period of the Notes for purposes of Rule 144 and Section 4(a)(1) of the Securities Act tacks on to the holding period of the Series G Preferred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Certificate of Amendment</w:t>
      </w:r>
      <w:r>
        <w:rPr>
          <w:rFonts w:ascii="Times New Roman" w:cs="Times New Roman" w:eastAsia="Times New Roman" w:hAnsi="Times New Roman"/>
          <w:sz w:val="18"/>
          <w:szCs w:val="18"/>
          <w:color w:val="auto"/>
        </w:rPr>
        <w:t xml:space="preserve">. The parties hereto hereby agree to amend and restate the terms of the Series G Preferred Stock as set forth in the Certificate of Amendment to the Certificate of Designations of the Series G Convertible Preferred Stock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The Company shall promptly file the Certificate of Amendment with the Secretary of State of the State of Delaware and provide a copy thereof to the Holders promptly after such filing.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Amended and Restated Warrants</w:t>
      </w:r>
      <w:r>
        <w:rPr>
          <w:rFonts w:ascii="Times New Roman" w:cs="Times New Roman" w:eastAsia="Times New Roman" w:hAnsi="Times New Roman"/>
          <w:sz w:val="18"/>
          <w:szCs w:val="18"/>
          <w:color w:val="auto"/>
        </w:rPr>
        <w:t xml:space="preserve">. The parties hereto hereby agree to (i) amend and restate the Series A Warrants as set forth in the Amended and Restated Series A Warrants, a form of which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and Restated Series A Warrants</w:t>
      </w:r>
      <w:r>
        <w:rPr>
          <w:rFonts w:ascii="Times New Roman" w:cs="Times New Roman" w:eastAsia="Times New Roman" w:hAnsi="Times New Roman"/>
          <w:sz w:val="18"/>
          <w:szCs w:val="18"/>
          <w:color w:val="auto"/>
        </w:rPr>
        <w:t>”) and</w:t>
      </w:r>
    </w:p>
    <w:p>
      <w:pPr>
        <w:jc w:val="both"/>
        <w:ind w:firstLine="8"/>
        <w:spacing w:after="0" w:line="255" w:lineRule="auto"/>
        <w:tabs>
          <w:tab w:leader="none" w:pos="27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and restate the Series B Warrants as set forth in the Amended and Restated Series B Warrants, a form of which is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and Restated Series B Warrants</w:t>
      </w:r>
      <w:r>
        <w:rPr>
          <w:rFonts w:ascii="Times New Roman" w:cs="Times New Roman" w:eastAsia="Times New Roman" w:hAnsi="Times New Roman"/>
          <w:sz w:val="18"/>
          <w:szCs w:val="18"/>
          <w:color w:val="auto"/>
        </w:rPr>
        <w:t>” and, together with the Amended and Restated Series A Warrants, the “</w:t>
      </w:r>
      <w:r>
        <w:rPr>
          <w:rFonts w:ascii="Times New Roman" w:cs="Times New Roman" w:eastAsia="Times New Roman" w:hAnsi="Times New Roman"/>
          <w:sz w:val="18"/>
          <w:szCs w:val="18"/>
          <w:b w:val="1"/>
          <w:b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Deliveries</w:t>
      </w:r>
      <w:r>
        <w:rPr>
          <w:rFonts w:ascii="Times New Roman" w:cs="Times New Roman" w:eastAsia="Times New Roman" w:hAnsi="Times New Roman"/>
          <w:sz w:val="18"/>
          <w:szCs w:val="18"/>
          <w:color w:val="auto"/>
        </w:rPr>
        <w:t>. On or prior to the Closing Date, the Company shall deliver or cause to be delivered to each Holder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duly executed by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legal opinion of Company Counsel, directed to the Holders, in form and substance reasonably acceptable to the Holders;</w:t>
      </w:r>
    </w:p>
    <w:p>
      <w:pPr>
        <w:spacing w:after="0" w:line="23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an ink-original Note with a principal amount equal to the amount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registered in the name of such Holder, provided that such ink-original Note may be delivered promptly after such Closing by the Company, in which case the Company will provide an electronically signed version of the Note on or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both"/>
        <w:ind w:left="960" w:firstLine="648"/>
        <w:spacing w:after="0" w:line="258" w:lineRule="auto"/>
        <w:rPr>
          <w:sz w:val="20"/>
          <w:szCs w:val="20"/>
          <w:color w:val="auto"/>
        </w:rPr>
      </w:pPr>
      <w:r>
        <w:rPr>
          <w:rFonts w:ascii="Times New Roman" w:cs="Times New Roman" w:eastAsia="Times New Roman" w:hAnsi="Times New Roman"/>
          <w:sz w:val="18"/>
          <w:szCs w:val="18"/>
          <w:color w:val="auto"/>
        </w:rPr>
        <w:t>(iv)          any and all certificates and other instruments representing or evidencing all of the capital stock and other equity interests of the Company’s Subsidiaries and corresponding stock powers, and any other documents and filings required under the Notes in order to grant the Holders a first priority security interest in the assets of the Company and the Subsidiaries as provided in the Notes (collectively, the “</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and, collectively with this Agreement, the Certificate of Amendment, the Notes and the Amended and Restated Warrants,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          the Amended and Restated Warrants registered in the name of the applicable Holder;</w:t>
      </w:r>
    </w:p>
    <w:p>
      <w:pPr>
        <w:spacing w:after="0" w:line="225" w:lineRule="exact"/>
        <w:rPr>
          <w:sz w:val="20"/>
          <w:szCs w:val="20"/>
          <w:color w:val="auto"/>
        </w:rPr>
      </w:pPr>
    </w:p>
    <w:p>
      <w:pPr>
        <w:jc w:val="both"/>
        <w:ind w:left="960" w:firstLine="648"/>
        <w:spacing w:after="0" w:line="282" w:lineRule="auto"/>
        <w:rPr>
          <w:sz w:val="20"/>
          <w:szCs w:val="20"/>
          <w:color w:val="auto"/>
        </w:rPr>
      </w:pPr>
      <w:r>
        <w:rPr>
          <w:rFonts w:ascii="Times New Roman" w:cs="Times New Roman" w:eastAsia="Times New Roman" w:hAnsi="Times New Roman"/>
          <w:sz w:val="18"/>
          <w:szCs w:val="18"/>
          <w:color w:val="auto"/>
        </w:rPr>
        <w:t>(vi)          a certificate, executed on behalf of the Company by its Chief Executive Officer or its Chief Financial Officer, dated as of the Closing Date, certifying to the fulfillment of the conditions specified in Section 1.05(b);</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(vii)         a certified copy of the Certificate of Amendment as certified by the Delaware Secretary of State of the State of Delaware;</w:t>
      </w:r>
    </w:p>
    <w:p>
      <w:pPr>
        <w:spacing w:after="0" w:line="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left="960" w:firstLine="648"/>
        <w:spacing w:after="0" w:line="258" w:lineRule="auto"/>
        <w:rPr>
          <w:sz w:val="20"/>
          <w:szCs w:val="20"/>
          <w:color w:val="auto"/>
        </w:rPr>
      </w:pPr>
      <w:r>
        <w:rPr>
          <w:rFonts w:ascii="Times New Roman" w:cs="Times New Roman" w:eastAsia="Times New Roman" w:hAnsi="Times New Roman"/>
          <w:sz w:val="18"/>
          <w:szCs w:val="18"/>
          <w:color w:val="auto"/>
        </w:rPr>
        <w:t>(viii)        a certificate, executed on behalf of the Company and each of the Company’s Subsidiaries, dated as of the Closing Date, certifying the resolutions adopted by the Board of Directors of the Company, approving the transactions contemplated by this Agreement and the other Transaction Documents, as applicable, certifying the current versions of the Company’s certificate or articles of incorporation and bylaws and certifying as to the signatures and authority of Persons signing this Agreement and the other Transaction Documents, as applicable, and related documents on behalf of the Company.</w:t>
      </w:r>
    </w:p>
    <w:p>
      <w:pPr>
        <w:spacing w:after="0" w:line="183"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(a)            On or prior to the Closing Date, each Holder shall deliver or cause to be delivered to the Company this Agreement duly executed by such Holder.</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5" w:lineRule="exact"/>
        <w:rPr>
          <w:sz w:val="20"/>
          <w:szCs w:val="20"/>
          <w:color w:val="auto"/>
        </w:rPr>
      </w:pPr>
    </w:p>
    <w:p>
      <w:pPr>
        <w:ind w:left="960" w:right="300" w:firstLine="648"/>
        <w:spacing w:after="0" w:line="282" w:lineRule="auto"/>
        <w:rPr>
          <w:sz w:val="20"/>
          <w:szCs w:val="20"/>
          <w:color w:val="auto"/>
        </w:rPr>
      </w:pPr>
      <w:r>
        <w:rPr>
          <w:rFonts w:ascii="Times New Roman" w:cs="Times New Roman" w:eastAsia="Times New Roman" w:hAnsi="Times New Roman"/>
          <w:sz w:val="18"/>
          <w:szCs w:val="18"/>
          <w:color w:val="auto"/>
        </w:rPr>
        <w:t>(i)            all obligations, covenants and agreements of each Holder required to be performed at or prior to the Closing Date shall have been performed;</w:t>
      </w:r>
    </w:p>
    <w:p>
      <w:pPr>
        <w:spacing w:after="0" w:line="162" w:lineRule="exact"/>
        <w:rPr>
          <w:sz w:val="20"/>
          <w:szCs w:val="20"/>
          <w:color w:val="auto"/>
        </w:rPr>
      </w:pPr>
    </w:p>
    <w:p>
      <w:pPr>
        <w:jc w:val="both"/>
        <w:ind w:left="960" w:firstLine="648"/>
        <w:spacing w:after="0" w:line="258" w:lineRule="auto"/>
        <w:rPr>
          <w:sz w:val="20"/>
          <w:szCs w:val="20"/>
          <w:color w:val="auto"/>
        </w:rPr>
      </w:pPr>
      <w:r>
        <w:rPr>
          <w:rFonts w:ascii="Times New Roman" w:cs="Times New Roman" w:eastAsia="Times New Roman" w:hAnsi="Times New Roman"/>
          <w:sz w:val="18"/>
          <w:szCs w:val="18"/>
          <w:color w:val="auto"/>
        </w:rPr>
        <w:t>(ii)           the accuracy in all material respects (or, to the extent representations or warranties are qualified by materiality or Material Adverse Effect, in all respects) when made and on the Closing Date of the representations and warranties of the Holders contained herein and in the Purchase Agreement (unless such representation or warranty is as of a specific date therein in which case they shall be accurate in all material respects (or, to the extent representations or warranties are qualified by materiality or Material Adverse Effect, in all respects) as of such date); and</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the delivery by each Holder of the items set forth in Section 1.04(b)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445770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18"/>
          <w:szCs w:val="18"/>
          <w:color w:val="auto"/>
        </w:rPr>
        <w:t>(b)            The obligations of each Holder hereunder in connection with the Closing are subject to the following conditions being met:</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            the accuracy in all material respects (or, to the extent representations or warranties are qualified by materiality or Material Adverse Effect, in all respects) when made and on the Closing Date of the representations and warranties of the Company contained herein and in the Purchase Agreement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83" w:lineRule="exact"/>
        <w:rPr>
          <w:sz w:val="20"/>
          <w:szCs w:val="20"/>
          <w:color w:val="auto"/>
        </w:rPr>
      </w:pPr>
    </w:p>
    <w:p>
      <w:pPr>
        <w:ind w:left="1300" w:right="18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the Company required to be performed at or prior to the Closing Date shall have been performed;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delivery by the Company of the items set forth in Section 1.04(a) of this Agreement;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there shall have been no Material Adverse Effect with respect to the Company; and</w:t>
      </w:r>
    </w:p>
    <w:p>
      <w:pPr>
        <w:spacing w:after="0" w:line="225"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(v)           from the date hereof to the Closing Date, trading in the Common Stock shall not have been suspended by the Commission or the Company’s Principal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Holders, makes it impracticable or inadvisable to consummate the Exchange.</w:t>
      </w:r>
    </w:p>
    <w:p>
      <w:pPr>
        <w:spacing w:after="0" w:line="18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ARTICLE II.      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each Holder as of the date hereof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2.01       </w:t>
      </w:r>
      <w:r>
        <w:rPr>
          <w:rFonts w:ascii="Times New Roman" w:cs="Times New Roman" w:eastAsia="Times New Roman" w:hAnsi="Times New Roman"/>
          <w:sz w:val="18"/>
          <w:szCs w:val="18"/>
          <w:u w:val="single" w:color="auto"/>
          <w:color w:val="auto"/>
        </w:rPr>
        <w:t>  Organization, Good Standing and Power</w:t>
      </w:r>
      <w:r>
        <w:rPr>
          <w:rFonts w:ascii="Times New Roman" w:cs="Times New Roman" w:eastAsia="Times New Roman" w:hAnsi="Times New Roman"/>
          <w:sz w:val="18"/>
          <w:szCs w:val="18"/>
          <w:color w:val="auto"/>
        </w:rPr>
        <w:t>. The Company is a corporation duly incorporated, validly existing and in good standing under the laws of the State of Delaware and has the requisite corporate power to own, lease and operate its properties and assets and to conduct its business as it is now being conducted.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2.02       </w:t>
      </w:r>
      <w:r>
        <w:rPr>
          <w:rFonts w:ascii="Times New Roman" w:cs="Times New Roman" w:eastAsia="Times New Roman" w:hAnsi="Times New Roman"/>
          <w:sz w:val="18"/>
          <w:szCs w:val="18"/>
          <w:u w:val="single" w:color="auto"/>
          <w:color w:val="auto"/>
        </w:rPr>
        <w:t>  Authorization; Enforcement</w:t>
      </w:r>
      <w:r>
        <w:rPr>
          <w:rFonts w:ascii="Times New Roman" w:cs="Times New Roman" w:eastAsia="Times New Roman" w:hAnsi="Times New Roman"/>
          <w:sz w:val="18"/>
          <w:szCs w:val="18"/>
          <w:color w:val="auto"/>
        </w:rPr>
        <w:t>. The Company has the requisite corporate power and authority to enter into and perform this Agreement, the transactions contemplated by this Agreement and the other Transaction Documents and to issue the Securities in accordance with the terms thereof. The execution, delivery and performance of the Transaction Documents by the Company and the consummation by it of the transactions contemplated thereby have been duly and validly authorized by all necessary corporate action of the Company, and no further consent or authorization of the Company or its board of directors or stockholders is required. When executed and delivered by the Company, the Transaction Documents shall constitute a valid and binding obligation of the Company, enforceable against the Company in accordance with their terms, except as such enforceability may be limited by applicable bankruptcy, reorganization, moratorium, liquidation, conservatorship, receivership or similar laws relating to, or affecting generally the enforcement of, creditor’s rights and remedies or by other equitable principles of general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2.03       </w:t>
      </w:r>
      <w:r>
        <w:rPr>
          <w:rFonts w:ascii="Times New Roman" w:cs="Times New Roman" w:eastAsia="Times New Roman" w:hAnsi="Times New Roman"/>
          <w:sz w:val="18"/>
          <w:szCs w:val="18"/>
          <w:u w:val="single" w:color="auto"/>
          <w:color w:val="auto"/>
        </w:rPr>
        <w:t>  Issuance of Securities</w:t>
      </w:r>
      <w:r>
        <w:rPr>
          <w:rFonts w:ascii="Times New Roman" w:cs="Times New Roman" w:eastAsia="Times New Roman" w:hAnsi="Times New Roman"/>
          <w:sz w:val="18"/>
          <w:szCs w:val="18"/>
          <w:color w:val="auto"/>
        </w:rPr>
        <w:t>. When the Conversion Shares are issued in accordance with the terms of this Agreement and the Notes, the Conversion Shares shall be validly issued and outstanding, fully-paid, non-assessable and free and clear of all liens, of any pre-emptive rights and of rights of refusal of any kind.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2.04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thereby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the Transaction Documents.</w:t>
      </w:r>
    </w:p>
    <w:p>
      <w:pPr>
        <w:spacing w:after="0" w:line="18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HOLDER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represents and warrants to the Company as of the date hereof as follows: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3.01       </w:t>
      </w:r>
      <w:r>
        <w:rPr>
          <w:rFonts w:ascii="Times New Roman" w:cs="Times New Roman" w:eastAsia="Times New Roman" w:hAnsi="Times New Roman"/>
          <w:sz w:val="18"/>
          <w:szCs w:val="18"/>
          <w:u w:val="single" w:color="auto"/>
          <w:color w:val="auto"/>
        </w:rPr>
        <w:t>  Organization and Standing of the Holder</w:t>
      </w:r>
      <w:r>
        <w:rPr>
          <w:rFonts w:ascii="Times New Roman" w:cs="Times New Roman" w:eastAsia="Times New Roman" w:hAnsi="Times New Roman"/>
          <w:sz w:val="18"/>
          <w:szCs w:val="18"/>
          <w:color w:val="auto"/>
        </w:rPr>
        <w:t>. Such Holder is duly organized, validly existing and in good standing under the laws of the jurisdiction of its organization.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3.02       </w:t>
      </w:r>
      <w:r>
        <w:rPr>
          <w:rFonts w:ascii="Times New Roman" w:cs="Times New Roman" w:eastAsia="Times New Roman" w:hAnsi="Times New Roman"/>
          <w:sz w:val="18"/>
          <w:szCs w:val="18"/>
          <w:u w:val="single" w:color="auto"/>
          <w:color w:val="auto"/>
        </w:rPr>
        <w:t>  Authorization and Power</w:t>
      </w:r>
      <w:r>
        <w:rPr>
          <w:rFonts w:ascii="Times New Roman" w:cs="Times New Roman" w:eastAsia="Times New Roman" w:hAnsi="Times New Roman"/>
          <w:sz w:val="18"/>
          <w:szCs w:val="18"/>
          <w:color w:val="auto"/>
        </w:rPr>
        <w:t>. Such Holder has the requisite power and authority to enter into and perform this Agreement. The execution, delivery and performance of this Agreement by such Holder and the consummation by it of the transactions contemplated hereby have been duly authorized by all necessary corporate action, and no further consent or authorization of such Holder or its board of directors or stockholders is required. When executed and delivered by such Holder, this Agreement shall constitute the valid and binding obligations of such Holder enforceable against such Holder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MISCELLANEOUS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4.01       </w:t>
      </w:r>
      <w:r>
        <w:rPr>
          <w:rFonts w:ascii="Times New Roman" w:cs="Times New Roman" w:eastAsia="Times New Roman" w:hAnsi="Times New Roman"/>
          <w:sz w:val="18"/>
          <w:szCs w:val="18"/>
          <w:u w:val="single" w:color="auto"/>
          <w:color w:val="auto"/>
        </w:rPr>
        <w:t>  Disclosure of Transaction</w:t>
      </w:r>
      <w:r>
        <w:rPr>
          <w:rFonts w:ascii="Times New Roman" w:cs="Times New Roman" w:eastAsia="Times New Roman" w:hAnsi="Times New Roman"/>
          <w:sz w:val="18"/>
          <w:szCs w:val="18"/>
          <w:color w:val="auto"/>
        </w:rPr>
        <w:t>. The Company shall, on or before 5:00 pm New York time, on the first trading day following the date of this Agreement, furnish or file a Report on Form 8-K or a press release describing all the material terms of the Agreement (the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From and after the Announcement, the Company shall have disclosed all material, non-public information (if any) provided to a Holder by the Company or any of its officers, directors, employees or agents in connection with the Agreement, or otherwise if applicable. In addition, effective upon the Announcement the Company acknowledges and agrees that any and all confidentiality or similar obligations with respect to the Agreement, or otherwise if applicable, whether written or oral, between itself or any of its officers, directors, affiliates, employees or agents, on the one hand, and any Holders or any of their affiliates, on the other hand,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4.02       </w:t>
      </w:r>
      <w:r>
        <w:rPr>
          <w:rFonts w:ascii="Times New Roman" w:cs="Times New Roman" w:eastAsia="Times New Roman" w:hAnsi="Times New Roman"/>
          <w:sz w:val="18"/>
          <w:szCs w:val="18"/>
          <w:u w:val="single" w:color="auto"/>
          <w:color w:val="auto"/>
        </w:rPr>
        <w:t>  Stockholder Approval</w:t>
      </w:r>
      <w:r>
        <w:rPr>
          <w:rFonts w:ascii="Times New Roman" w:cs="Times New Roman" w:eastAsia="Times New Roman" w:hAnsi="Times New Roman"/>
          <w:sz w:val="18"/>
          <w:szCs w:val="18"/>
          <w:color w:val="auto"/>
        </w:rPr>
        <w:t>. The Company shall file with the SEC a proxy statement, in a form reasonably acceptable to the Holders, soliciting the affirmative votes of each of its stockholders of record for approval of resolutions providing for the issuance of the Securities and terms of the Certificate of Amendment, including, for the avoidance of doubt, in compliance with the rules and regulations of the Principal Market (“</w:t>
      </w:r>
      <w:r>
        <w:rPr>
          <w:rFonts w:ascii="Times New Roman" w:cs="Times New Roman" w:eastAsia="Times New Roman" w:hAnsi="Times New Roman"/>
          <w:sz w:val="18"/>
          <w:szCs w:val="18"/>
          <w:b w:val="1"/>
          <w:bCs w:val="1"/>
          <w:color w:val="auto"/>
        </w:rPr>
        <w:t>November 2025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and the date the November 2025 Stockholder Approval is obtained, the “</w:t>
      </w:r>
      <w:r>
        <w:rPr>
          <w:rFonts w:ascii="Times New Roman" w:cs="Times New Roman" w:eastAsia="Times New Roman" w:hAnsi="Times New Roman"/>
          <w:sz w:val="18"/>
          <w:szCs w:val="18"/>
          <w:b w:val="1"/>
          <w:bCs w:val="1"/>
          <w:color w:val="auto"/>
        </w:rPr>
        <w:t>November 2025 Stockholder Approval Date</w:t>
      </w:r>
      <w:r>
        <w:rPr>
          <w:rFonts w:ascii="Times New Roman" w:cs="Times New Roman" w:eastAsia="Times New Roman" w:hAnsi="Times New Roman"/>
          <w:sz w:val="18"/>
          <w:szCs w:val="18"/>
          <w:color w:val="auto"/>
        </w:rPr>
        <w:t>”)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use its reasonable best efforts to, at the expense of the Company, solicit its stockholders’ approval of such resolution and to cause the Board of Directors of the Company to recommend to the stockholders that they approve such resolution. The Company shall hold a special meeting of stockholders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for purposes of obtaining the November 2025 Stockholder Approval no later than December 31, 2025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Deadline</w:t>
      </w:r>
      <w:r>
        <w:rPr>
          <w:rFonts w:ascii="Times New Roman" w:cs="Times New Roman" w:eastAsia="Times New Roman" w:hAnsi="Times New Roman"/>
          <w:sz w:val="18"/>
          <w:szCs w:val="18"/>
          <w:color w:val="auto"/>
        </w:rPr>
        <w:t>”), and the Company shall be obligated to seek to obtain the November 2025 Stockholder Approval by the Stockholder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Deadline. If, despite the Company’s reasonable best efforts the November 2025 Stockholder Approval is not obtained on or prior to the Stockholder Meeting Deadline, the Company shall cause an additional Stockholder Meeting to be held within 90 days later. If, despite the Company’s reasonable best efforts the November 2025 Stockholder Approval is not obtained after such subsequent stockholder meetings, the Company shall cause an additional Stockholder Meeting to be held semi-annually thereafter until such November 2025 Stockholder Approval is obtained. Notwithstanding the above, the Company shall not be required to hold a Stockholder Meeting or seek November 2025 Stockholder Approval any time following the time when the Notes are no longer outstanding. Each Holder covenants to vote, and shall cause its affiliates to vote, all voting securities of the Company owned by such Holder or its affiliates, as applicable, in respect of any resolution presented to the stockholders of the Company for the purpose of obtaining the November 2025 Stockholder Approval. For clarity, the Holder’s agreement to vote its voting securities in accordance with the foregoing sentence, does not require the Holder to vote such shares for or against any other proposal or proposals, whether or not such other proposal or proposals are recommended by the Board of Directors.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4.03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On the Closing Date, the Company shall reimburse the Holders a non-accountable amount of $25,000 for all costs and expenses incurred by it or its affiliates in connection with the structuring, documentation, negotiation and closing of the transactions contemplated by the Transaction Documents (including, without limitation, any other reasonable fees and expenses in connection with the structuring, documentation, negotiation and closing of the transactions contemplated by the Transaction Documents and due diligence and regulatory filings in connection therewith). The Company shall be responsible for the payment of any placement agent’s fees, financial advisory fees, transfer agent fees, DTC fees or broker’s commissions (other than for Persons engaged by any Holder) relating to or arising out of the transactions contemplated hereby. The Company shall pay, and the Company shall hold each Holder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issuance of the Securities and the Amended and Restated Warrants to the Holders.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4.04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No provision of this Agreement may be waived or amended except in a written instrument signed by the Company and the Required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4.05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or (c) upon delivery by e-mail (if delivered on a business day during normal business hours where such notice is to be received) upon recipient’s actual receipt and acknowledgement of such e-mail. The addresses for such communications shall be: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to the Company:</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Ezra T. Ernst</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Telephone: (212) 750-9595</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Email: eernst@xwell.com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30 Rockefeller Plaza, 26th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Telephone: (212) 659-7300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Rick Werner, Esq.</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E-mail: rick.werner@haynesboone.com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 Holder, to its mailing address and e-mail address set forth on the Holder’s respective signature page attached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Holder hereto may from time to time change its address for notices by giving written notice of such changed address to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article, section and subsection headings in this Agreement are for convenience only and shall not constitute a part of this Agreement for any other purpose and shall not be deemed to limit or affect any of the provisions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4.07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THIS AGREEMENT SHALL BE SUBJECT TO THE PROVISIONS REGARDING GOVERNING LAW SET FORTH IN SECTION 9(A) OF THE PURCHASE AGREEMENT, AND SUCH PROVISIONS ARE INCORPORATED HEREIN BY THIS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4.08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all of which taken together shall constitute one and the same instrument and shall become effective when counterparts have been signed by each party and delivered to the other parties hereto, it being understood that all parties need not sign the same counterpart. Signature pages to this Agreement may be delivered by facsimile or other means of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Securities Exchange and Amendment Agreement to be duly executed by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authorized officers as of the date first above written.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31889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0" w:right="67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Holder</w:t>
            </w:r>
          </w:p>
        </w:tc>
        <w:tc>
          <w:tcPr>
            <w:tcW w:w="40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Series G Preferred Stock</w:t>
            </w:r>
          </w:p>
        </w:tc>
        <w:tc>
          <w:tcPr>
            <w:tcW w:w="44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Note Principal Amount</w:t>
            </w:r>
          </w:p>
        </w:tc>
      </w:tr>
      <w:tr>
        <w:trPr>
          <w:trHeight w:val="210"/>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09"/>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668"/>
        </w:trPr>
        <w:tc>
          <w:tcPr>
            <w:tcW w:w="27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Senior Secured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Certificate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Amended and Restated Series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Amended and Restated Series B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1)"/>
      <w:numFmt w:val="upperLetter"/>
      <w:start w:val="1"/>
    </w:lvl>
  </w:abstractNum>
  <w:abstractNum w:abstractNumId="2">
    <w:nsid w:val="39386575"/>
    <w:multiLevelType w:val="hybridMultilevel"/>
    <w:lvl w:ilvl="0">
      <w:lvlJc w:val="left"/>
      <w:lvlText w:val="%1."/>
      <w:numFmt w:val="decimal"/>
      <w:start w:val="1"/>
    </w:lvl>
    <w:lvl w:ilvl="1">
      <w:lvlJc w:val="left"/>
      <w:lvlText w:val="(%2)"/>
      <w:numFmt w:val="lowerRoman"/>
      <w:start w:val="2"/>
    </w:lvl>
  </w:abstractNum>
  <w:abstractNum w:abstractNumId="3">
    <w:nsid w:val="1CF10FD8"/>
    <w:multiLevelType w:val="hybridMultilevel"/>
    <w:lvl w:ilvl="0">
      <w:lvlJc w:val="left"/>
      <w:lvlText w:val="(%1)"/>
      <w:numFmt w:val="decimal"/>
      <w:start w:val="10"/>
    </w:lvl>
  </w:abstractNum>
  <w:abstractNum w:abstractNumId="4">
    <w:nsid w:val="180115BE"/>
    <w:multiLevelType w:val="hybridMultilevel"/>
    <w:lvl w:ilvl="0">
      <w:lvlJc w:val="left"/>
      <w:lvlText w:val="(%1)"/>
      <w:numFmt w:val="upperLetter"/>
      <w:start w:val="1"/>
    </w:lvl>
  </w:abstractNum>
  <w:abstractNum w:abstractNumId="5">
    <w:nsid w:val="235BA861"/>
    <w:multiLevelType w:val="hybridMultilevel"/>
    <w:lvl w:ilvl="0">
      <w:lvlJc w:val="left"/>
      <w:lvlText w:val="(%1)"/>
      <w:numFmt w:val="lowerRoman"/>
      <w:start w:val="3"/>
    </w:lvl>
  </w:abstractNum>
  <w:abstractNum w:abstractNumId="6">
    <w:nsid w:val="47398C89"/>
    <w:multiLevelType w:val="hybridMultilevel"/>
    <w:lvl w:ilvl="0">
      <w:lvlJc w:val="left"/>
      <w:lvlText w:val="(%1)"/>
      <w:numFmt w:val="lowerRoman"/>
      <w:start w:val="2"/>
    </w:lvl>
  </w:abstractNum>
  <w:abstractNum w:abstractNumId="7">
    <w:nsid w:val="354FE9F9"/>
    <w:multiLevelType w:val="hybridMultilevel"/>
    <w:lvl w:ilvl="0">
      <w:lvlJc w:val="left"/>
      <w:lvlText w:val="(%1)"/>
      <w:numFmt w:val="lowerRoman"/>
      <w:start w:val="2"/>
    </w:lvl>
  </w:abstractNum>
  <w:abstractNum w:abstractNumId="8">
    <w:nsid w:val="15B5AF5C"/>
    <w:multiLevelType w:val="hybridMultilevel"/>
    <w:lvl w:ilvl="0">
      <w:lvlJc w:val="left"/>
      <w:lvlText w:val="(%1)"/>
      <w:numFmt w:val="lowerRoman"/>
      <w:start w:val="10"/>
    </w:lvl>
  </w:abstractNum>
  <w:abstractNum w:abstractNumId="9">
    <w:nsid w:val="741226BB"/>
    <w:multiLevelType w:val="hybridMultilevel"/>
    <w:lvl w:ilvl="0">
      <w:lvlJc w:val="left"/>
      <w:lvlText w:val="(%1)"/>
      <w:numFmt w:val="upperLetter"/>
      <w:start w:val="1"/>
    </w:lvl>
  </w:abstractNum>
  <w:abstractNum w:abstractNumId="10">
    <w:nsid w:val="D34B6A8"/>
    <w:multiLevelType w:val="hybridMultilevel"/>
    <w:lvl w:ilvl="0">
      <w:lvlJc w:val="left"/>
      <w:lvlText w:val="(%1)"/>
      <w:numFmt w:val="lowerRoman"/>
      <w:start w:val="1"/>
    </w:lvl>
  </w:abstractNum>
  <w:abstractNum w:abstractNumId="11">
    <w:nsid w:val="10233C99"/>
    <w:multiLevelType w:val="hybridMultilevel"/>
    <w:lvl w:ilvl="0">
      <w:lvlJc w:val="left"/>
      <w:lvlText w:val="(%1)"/>
      <w:numFmt w:val="upperLetter"/>
      <w:start w:val="1"/>
    </w:lvl>
  </w:abstractNum>
  <w:abstractNum w:abstractNumId="12">
    <w:nsid w:val="3F6AB60F"/>
    <w:multiLevelType w:val="hybridMultilevel"/>
    <w:lvl w:ilvl="0">
      <w:lvlJc w:val="left"/>
      <w:lvlText w:val="(%1)"/>
      <w:numFmt w:val="lowerRoman"/>
      <w:start w:val="2"/>
    </w:lvl>
  </w:abstractNum>
  <w:abstractNum w:abstractNumId="13">
    <w:nsid w:val="61574095"/>
    <w:multiLevelType w:val="hybridMultilevel"/>
    <w:lvl w:ilvl="0">
      <w:lvlJc w:val="left"/>
      <w:lvlText w:val="(%1)"/>
      <w:numFmt w:val="decimal"/>
      <w:start w:val="5"/>
    </w:lvl>
  </w:abstractNum>
  <w:abstractNum w:abstractNumId="14">
    <w:nsid w:val="7E0C57B1"/>
    <w:multiLevelType w:val="hybridMultilevel"/>
    <w:lvl w:ilvl="0">
      <w:lvlJc w:val="left"/>
      <w:lvlText w:val="(%1)"/>
      <w:numFmt w:val="lowerRoman"/>
      <w:start w:val="1"/>
    </w:lvl>
  </w:abstractNum>
  <w:abstractNum w:abstractNumId="15">
    <w:nsid w:val="77AE35EB"/>
    <w:multiLevelType w:val="hybridMultilevel"/>
    <w:lvl w:ilvl="0">
      <w:lvlJc w:val="left"/>
      <w:lvlText w:val="(%1)"/>
      <w:numFmt w:val="decimal"/>
      <w:start w:val="10"/>
    </w:lvl>
  </w:abstractNum>
  <w:abstractNum w:abstractNumId="16">
    <w:nsid w:val="579BE4F1"/>
    <w:multiLevelType w:val="hybridMultilevel"/>
    <w:lvl w:ilvl="0">
      <w:lvlJc w:val="left"/>
      <w:lvlText w:val="(%1)"/>
      <w:numFmt w:val="lowerRoman"/>
      <w:start w:val="1"/>
    </w:lvl>
  </w:abstractNum>
  <w:abstractNum w:abstractNumId="17">
    <w:nsid w:val="310C50B3"/>
    <w:multiLevelType w:val="hybridMultilevel"/>
    <w:lvl w:ilvl="0">
      <w:lvlJc w:val="left"/>
      <w:lvlText w:val="(%1)"/>
      <w:numFmt w:val="lowerLetter"/>
      <w:start w:val="27"/>
    </w:lvl>
  </w:abstractNum>
  <w:abstractNum w:abstractNumId="18">
    <w:nsid w:val="5FF87E05"/>
    <w:multiLevelType w:val="hybridMultilevel"/>
    <w:lvl w:ilvl="0">
      <w:lvlJc w:val="left"/>
      <w:lvlText w:val="(%1)"/>
      <w:numFmt w:val="lowerLetter"/>
      <w:start w:val="28"/>
    </w:lvl>
  </w:abstractNum>
  <w:abstractNum w:abstractNumId="19">
    <w:nsid w:val="2F305DEF"/>
    <w:multiLevelType w:val="hybridMultilevel"/>
    <w:lvl w:ilvl="0">
      <w:lvlJc w:val="left"/>
      <w:lvlText w:val="(%1)"/>
      <w:numFmt w:val="lowerLetter"/>
      <w:start w:val="30"/>
    </w:lvl>
  </w:abstractNum>
  <w:abstractNum w:abstractNumId="20">
    <w:nsid w:val="25A70BF7"/>
    <w:multiLevelType w:val="hybridMultilevel"/>
    <w:lvl w:ilvl="0">
      <w:lvlJc w:val="left"/>
      <w:lvlText w:val="(%1)"/>
      <w:numFmt w:val="lowerLetter"/>
      <w:start w:val="31"/>
    </w:lvl>
  </w:abstractNum>
  <w:abstractNum w:abstractNumId="21">
    <w:nsid w:val="1DBABF00"/>
    <w:multiLevelType w:val="hybridMultilevel"/>
    <w:lvl w:ilvl="0">
      <w:lvlJc w:val="left"/>
      <w:lvlText w:val="(%1)"/>
      <w:numFmt w:val="lowerLetter"/>
      <w:start w:val="32"/>
    </w:lvl>
  </w:abstractNum>
  <w:abstractNum w:abstractNumId="22">
    <w:nsid w:val="4AD084E9"/>
    <w:multiLevelType w:val="hybridMultilevel"/>
    <w:lvl w:ilvl="0">
      <w:lvlJc w:val="left"/>
      <w:lvlText w:val="(%1)"/>
      <w:numFmt w:val="lowerLetter"/>
      <w:start w:val="33"/>
    </w:lvl>
  </w:abstractNum>
  <w:abstractNum w:abstractNumId="23">
    <w:nsid w:val="1F48EAA1"/>
    <w:multiLevelType w:val="hybridMultilevel"/>
    <w:lvl w:ilvl="0">
      <w:lvlJc w:val="left"/>
      <w:lvlText w:val="(%1)"/>
      <w:numFmt w:val="lowerLetter"/>
      <w:start w:val="36"/>
    </w:lvl>
  </w:abstractNum>
  <w:abstractNum w:abstractNumId="24">
    <w:nsid w:val="1381823A"/>
    <w:multiLevelType w:val="hybridMultilevel"/>
    <w:lvl w:ilvl="0">
      <w:lvlJc w:val="left"/>
      <w:lvlText w:val="(%1)"/>
      <w:numFmt w:val="lowerLetter"/>
      <w:start w:val="37"/>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decimal"/>
      <w:start w:val="1"/>
    </w:lvl>
    <w:lvl w:ilvl="1">
      <w:lvlJc w:val="left"/>
      <w:lvlText w:val="(%2)"/>
      <w:numFmt w:val="lowerLetter"/>
      <w:start w:val="1"/>
    </w:lvl>
  </w:abstractNum>
  <w:abstractNum w:abstractNumId="28">
    <w:nsid w:val="15014ACB"/>
    <w:multiLevelType w:val="hybridMultilevel"/>
    <w:lvl w:ilvl="0">
      <w:lvlJc w:val="left"/>
      <w:lvlText w:val="%1"/>
      <w:numFmt w:val="lowerLetter"/>
      <w:start w:val="1"/>
    </w:lvl>
    <w:lvl w:ilvl="1">
      <w:lvlJc w:val="left"/>
      <w:lvlText w:val="(%2)"/>
      <w:numFmt w:val="lowerLetter"/>
      <w:start w:val="2"/>
    </w:lvl>
  </w:abstractNum>
  <w:abstractNum w:abstractNumId="29">
    <w:nsid w:val="5F5E7FD0"/>
    <w:multiLevelType w:val="hybridMultilevel"/>
    <w:lvl w:ilvl="0">
      <w:lvlJc w:val="left"/>
      <w:lvlText w:val="(%1)"/>
      <w:numFmt w:val="lowerLetter"/>
      <w:start w:val="24"/>
    </w:lvl>
    <w:lvl w:ilvl="1">
      <w:lvlJc w:val="left"/>
      <w:lvlText w:val="%2"/>
      <w:numFmt w:val="lowerLetter"/>
      <w:start w:val="1"/>
    </w:lvl>
  </w:abstractNum>
  <w:abstractNum w:abstractNumId="30">
    <w:nsid w:val="98A3148"/>
    <w:multiLevelType w:val="hybridMultilevel"/>
    <w:lvl w:ilvl="0">
      <w:lvlJc w:val="left"/>
      <w:lvlText w:val="(%1)"/>
      <w:numFmt w:val="lowerLetter"/>
      <w:start w:val="4"/>
    </w:lvl>
  </w:abstractNum>
  <w:abstractNum w:abstractNumId="31">
    <w:nsid w:val="799D0247"/>
    <w:multiLevelType w:val="hybridMultilevel"/>
    <w:lvl w:ilvl="0">
      <w:lvlJc w:val="left"/>
      <w:lvlText w:val="A"/>
      <w:numFmt w:val="bullet"/>
      <w:start w:val="1"/>
    </w:lvl>
  </w:abstractNum>
  <w:abstractNum w:abstractNumId="32">
    <w:nsid w:val="6B94764"/>
    <w:multiLevelType w:val="hybridMultilevel"/>
    <w:lvl w:ilvl="0">
      <w:lvlJc w:val="left"/>
      <w:lvlText w:val="B"/>
      <w:numFmt w:val="bullet"/>
      <w:start w:val="1"/>
    </w:lvl>
  </w:abstractNum>
  <w:abstractNum w:abstractNumId="33">
    <w:nsid w:val="42C296BD"/>
    <w:multiLevelType w:val="hybridMultilevel"/>
    <w:lvl w:ilvl="0">
      <w:lvlJc w:val="left"/>
      <w:lvlText w:val="C"/>
      <w:numFmt w:val="bullet"/>
      <w:start w:val="1"/>
    </w:lvl>
  </w:abstractNum>
  <w:abstractNum w:abstractNumId="34">
    <w:nsid w:val="168E121F"/>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5">
    <w:nsid w:val="1EBA5D2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6">
    <w:nsid w:val="661E3F1E"/>
    <w:multiLevelType w:val="hybridMultilevel"/>
    <w:lvl w:ilvl="0">
      <w:lvlJc w:val="left"/>
      <w:lvlText w:val="%1"/>
      <w:numFmt w:val="lowerLetter"/>
      <w:start w:val="1"/>
    </w:lvl>
    <w:lvl w:ilvl="1">
      <w:lvlJc w:val="left"/>
      <w:lvlText w:val="(%2)"/>
      <w:numFmt w:val="lowerLetter"/>
      <w:start w:val="35"/>
    </w:lvl>
  </w:abstractNum>
  <w:abstractNum w:abstractNumId="37">
    <w:nsid w:val="5DC79EA8"/>
    <w:multiLevelType w:val="hybridMultilevel"/>
    <w:lvl w:ilvl="0">
      <w:lvlJc w:val="left"/>
      <w:lvlText w:val="(%1)"/>
      <w:numFmt w:val="lowerLetter"/>
      <w:start w:val="7"/>
    </w:lvl>
    <w:lvl w:ilvl="1">
      <w:lvlJc w:val="left"/>
      <w:lvlText w:val="(%2)"/>
      <w:numFmt w:val="lowerLetter"/>
      <w:start w:val="9"/>
    </w:lvl>
  </w:abstractNum>
  <w:abstractNum w:abstractNumId="38">
    <w:nsid w:val="540A471C"/>
    <w:multiLevelType w:val="hybridMultilevel"/>
    <w:lvl w:ilvl="0">
      <w:lvlJc w:val="left"/>
      <w:lvlText w:val="%1"/>
      <w:numFmt w:val="decimal"/>
      <w:start w:val="1"/>
    </w:lvl>
    <w:lvl w:ilvl="1">
      <w:lvlJc w:val="left"/>
      <w:lvlText w:val="(%2)"/>
      <w:numFmt w:val="lowerRoman"/>
      <w:start w:val="2"/>
    </w:lvl>
  </w:abstractNum>
  <w:abstractNum w:abstractNumId="39">
    <w:nsid w:val="7BD3EE7B"/>
    <w:multiLevelType w:val="hybridMultilevel"/>
    <w:lvl w:ilvl="0">
      <w:lvlJc w:val="left"/>
      <w:lvlText w:val="%1."/>
      <w:numFmt w:val="decimal"/>
      <w:start w:val="2"/>
    </w:lvl>
    <w:lvl w:ilvl="1">
      <w:lvlJc w:val="left"/>
      <w:lvlText w:val="%2"/>
      <w:numFmt w:val="lowerRoman"/>
      <w:start w:val="1"/>
    </w:lvl>
  </w:abstractNum>
  <w:abstractNum w:abstractNumId="40">
    <w:nsid w:val="51D9C564"/>
    <w:multiLevelType w:val="hybridMultilevel"/>
    <w:lvl w:ilvl="0">
      <w:lvlJc w:val="left"/>
      <w:lvlText w:val="%1"/>
      <w:numFmt w:val="lowerLetter"/>
      <w:start w:val="1"/>
    </w:lvl>
    <w:lvl w:ilvl="1">
      <w:lvlJc w:val="left"/>
      <w:lvlText w:val="(%2)"/>
      <w:numFmt w:val="lowerLetter"/>
      <w:start w:val="1"/>
    </w:lvl>
  </w:abstractNum>
  <w:abstractNum w:abstractNumId="41">
    <w:nsid w:val="613EFDC5"/>
    <w:multiLevelType w:val="hybridMultilevel"/>
    <w:lvl w:ilvl="0">
      <w:lvlJc w:val="left"/>
      <w:lvlText w:val="(%1)"/>
      <w:numFmt w:val="lowerLetter"/>
      <w:start w:val="35"/>
    </w:lvl>
    <w:lvl w:ilvl="1">
      <w:lvlJc w:val="left"/>
      <w:lvlText w:val="%2"/>
      <w:numFmt w:val="lowerLetter"/>
      <w:start w:val="1"/>
    </w:lvl>
  </w:abstractNum>
  <w:abstractNum w:abstractNumId="42">
    <w:nsid w:val="BF72B14"/>
    <w:multiLevelType w:val="hybridMultilevel"/>
    <w:lvl w:ilvl="0">
      <w:lvlJc w:val="left"/>
      <w:lvlText w:val="(%1)"/>
      <w:numFmt w:val="lowerLetter"/>
      <w:start w:val="2"/>
    </w:lvl>
    <w:lvl w:ilvl="1">
      <w:lvlJc w:val="left"/>
      <w:lvlText w:val="(%2)"/>
      <w:numFmt w:val="lowerLetter"/>
      <w:start w:val="9"/>
    </w:lvl>
  </w:abstractNum>
  <w:abstractNum w:abstractNumId="43">
    <w:nsid w:val="11447B73"/>
    <w:multiLevelType w:val="hybridMultilevel"/>
    <w:lvl w:ilvl="0">
      <w:lvlJc w:val="left"/>
      <w:lvlText w:val="%1"/>
      <w:numFmt w:val="decimal"/>
      <w:start w:val="1"/>
    </w:lvl>
    <w:lvl w:ilvl="1">
      <w:lvlJc w:val="left"/>
      <w:lvlText w:val="(%2)"/>
      <w:numFmt w:val="lowerRoman"/>
      <w:start w:val="2"/>
    </w:lvl>
  </w:abstractNum>
  <w:abstractNum w:abstractNumId="44">
    <w:nsid w:val="42963E5A"/>
    <w:multiLevelType w:val="hybridMultilevel"/>
    <w:lvl w:ilvl="0">
      <w:lvlJc w:val="left"/>
      <w:lvlText w:val="(%1)"/>
      <w:numFmt w:val="decimal"/>
      <w:start w:val="5"/>
    </w:lvl>
    <w:lvl w:ilvl="1">
      <w:lvlJc w:val="left"/>
      <w:lvlText w:val="%2"/>
      <w:numFmt w:val="lowerRoman"/>
      <w:start w:val="1"/>
    </w:lvl>
  </w:abstractNum>
  <w:abstractNum w:abstractNumId="45">
    <w:nsid w:val="A0382C5"/>
    <w:multiLevelType w:val="hybridMultilevel"/>
    <w:lvl w:ilvl="0">
      <w:lvlJc w:val="left"/>
      <w:lvlText w:val="(%1)"/>
      <w:numFmt w:val="decimal"/>
      <w:start w:val="5"/>
    </w:lvl>
  </w:abstractNum>
  <w:abstractNum w:abstractNumId="46">
    <w:nsid w:val="8F2B15E"/>
    <w:multiLevelType w:val="hybridMultilevel"/>
    <w:lvl w:ilvl="0">
      <w:lvlJc w:val="left"/>
      <w:lvlText w:val="%1"/>
      <w:numFmt w:val="lowerLetter"/>
      <w:start w:val="1"/>
    </w:lvl>
    <w:lvl w:ilvl="1">
      <w:lvlJc w:val="left"/>
      <w:lvlText w:val="(%2)"/>
      <w:numFmt w:val="lowerRoman"/>
      <w:start w:val="4"/>
    </w:lvl>
  </w:abstractNum>
  <w:abstractNum w:abstractNumId="47">
    <w:nsid w:val="1A32234B"/>
    <w:multiLevelType w:val="hybridMultilevel"/>
    <w:lvl w:ilvl="0">
      <w:lvlJc w:val="left"/>
      <w:lvlText w:val="(%1)"/>
      <w:numFmt w:val="lowerLetter"/>
      <w:start w:val="3"/>
    </w:lvl>
    <w:lvl w:ilvl="1">
      <w:lvlJc w:val="left"/>
      <w:lvlText w:val="%2"/>
      <w:numFmt w:val="lowerRoman"/>
      <w:start w:val="1"/>
    </w:lvl>
  </w:abstractNum>
  <w:abstractNum w:abstractNumId="48">
    <w:nsid w:val="3B0FD379"/>
    <w:multiLevelType w:val="hybridMultilevel"/>
    <w:lvl w:ilvl="0">
      <w:lvlJc w:val="left"/>
      <w:lvlText w:val="%1"/>
      <w:numFmt w:val="decimal"/>
      <w:start w:val="1"/>
    </w:lvl>
    <w:lvl w:ilvl="1">
      <w:lvlJc w:val="left"/>
      <w:lvlText w:val="(%2)"/>
      <w:numFmt w:val="lowerLetter"/>
      <w:start w:val="9"/>
    </w:lvl>
  </w:abstractNum>
  <w:abstractNum w:abstractNumId="49">
    <w:nsid w:val="68EB2F63"/>
    <w:multiLevelType w:val="hybridMultilevel"/>
    <w:lvl w:ilvl="0">
      <w:lvlJc w:val="left"/>
      <w:lvlText w:val="%1."/>
      <w:numFmt w:val="decimal"/>
      <w:start w:val="3"/>
    </w:lvl>
    <w:lvl w:ilvl="1">
      <w:lvlJc w:val="left"/>
      <w:lvlText w:val="(%2)"/>
      <w:numFmt w:val="lowerLetter"/>
      <w:start w:val="1"/>
    </w:lvl>
  </w:abstractNum>
  <w:abstractNum w:abstractNumId="50">
    <w:nsid w:val="4962813B"/>
    <w:multiLevelType w:val="hybridMultilevel"/>
    <w:lvl w:ilvl="0">
      <w:lvlJc w:val="left"/>
      <w:lvlText w:val="%1"/>
      <w:numFmt w:val="lowerLetter"/>
      <w:start w:val="1"/>
    </w:lvl>
    <w:lvl w:ilvl="1">
      <w:lvlJc w:val="left"/>
      <w:lvlText w:val="(%2)"/>
      <w:numFmt w:val="lowerLetter"/>
      <w:start w:val="2"/>
    </w:lvl>
  </w:abstractNum>
  <w:abstractNum w:abstractNumId="51">
    <w:nsid w:val="60B6DF70"/>
    <w:multiLevelType w:val="hybridMultilevel"/>
    <w:lvl w:ilvl="0">
      <w:lvlJc w:val="left"/>
      <w:lvlText w:val="(%1)"/>
      <w:numFmt w:val="lowerLetter"/>
      <w:start w:val="35"/>
    </w:lvl>
    <w:lvl w:ilvl="1">
      <w:lvlJc w:val="left"/>
      <w:lvlText w:val="(%2)"/>
      <w:numFmt w:val="lowerLetter"/>
      <w:start w:val="3"/>
    </w:lvl>
  </w:abstractNum>
  <w:abstractNum w:abstractNumId="52">
    <w:nsid w:val="6A5EE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53">
    <w:nsid w:val="14330624"/>
    <w:multiLevelType w:val="hybridMultilevel"/>
    <w:lvl w:ilvl="0">
      <w:lvlJc w:val="left"/>
      <w:lvlText w:val="%1."/>
      <w:numFmt w:val="decimal"/>
      <w:start w:val="5"/>
    </w:lvl>
    <w:lvl w:ilvl="1">
      <w:lvlJc w:val="left"/>
      <w:lvlText w:val="%2."/>
      <w:numFmt w:val="decimal"/>
      <w:start w:val="7"/>
    </w:lvl>
    <w:lvl w:ilvl="2">
      <w:lvlJc w:val="left"/>
      <w:lvlText w:val="(%3)"/>
      <w:numFmt w:val="lowerLetter"/>
      <w:start w:val="1"/>
    </w:lvl>
  </w:abstractNum>
  <w:abstractNum w:abstractNumId="54">
    <w:nsid w:val="7FFFCA11"/>
    <w:multiLevelType w:val="hybridMultilevel"/>
    <w:lvl w:ilvl="0">
      <w:lvlJc w:val="left"/>
      <w:lvlText w:val="%1"/>
      <w:numFmt w:val="lowerLetter"/>
      <w:start w:val="1"/>
    </w:lvl>
    <w:lvl w:ilvl="1">
      <w:lvlJc w:val="left"/>
      <w:lvlText w:val="(%2)"/>
      <w:numFmt w:val="lowerLetter"/>
      <w:start w:val="2"/>
    </w:lvl>
  </w:abstractNum>
  <w:abstractNum w:abstractNumId="55">
    <w:nsid w:val="1A27709E"/>
    <w:multiLevelType w:val="hybridMultilevel"/>
    <w:lvl w:ilvl="0">
      <w:lvlJc w:val="left"/>
      <w:lvlText w:val="(%1)"/>
      <w:numFmt w:val="lowerLetter"/>
      <w:start w:val="9"/>
    </w:lvl>
    <w:lvl w:ilvl="1">
      <w:lvlJc w:val="left"/>
      <w:lvlText w:val="(%2)"/>
      <w:numFmt w:val="lowerLetter"/>
      <w:start w:val="5"/>
    </w:lvl>
  </w:abstractNum>
  <w:abstractNum w:abstractNumId="56">
    <w:nsid w:val="71EA1109"/>
    <w:multiLevelType w:val="hybridMultilevel"/>
    <w:lvl w:ilvl="0">
      <w:lvlJc w:val="left"/>
      <w:lvlText w:val="%1."/>
      <w:numFmt w:val="decimal"/>
      <w:start w:val="8"/>
    </w:lvl>
  </w:abstractNum>
  <w:abstractNum w:abstractNumId="57">
    <w:nsid w:val="100F59DC"/>
    <w:multiLevelType w:val="hybridMultilevel"/>
    <w:lvl w:ilvl="0">
      <w:lvlJc w:val="left"/>
      <w:lvlText w:val="(%1)"/>
      <w:numFmt w:val="lowerRoman"/>
      <w:start w:val="1"/>
    </w:lvl>
  </w:abstractNum>
  <w:abstractNum w:abstractNumId="58">
    <w:nsid w:val="7FB7E0AA"/>
    <w:multiLevelType w:val="hybridMultilevel"/>
    <w:lvl w:ilvl="0">
      <w:lvlJc w:val="left"/>
      <w:lvlText w:val="%1."/>
      <w:numFmt w:val="decimal"/>
      <w:start w:val="9"/>
    </w:lvl>
  </w:abstractNum>
  <w:abstractNum w:abstractNumId="59">
    <w:nsid w:val="6EB5BD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0">
    <w:nsid w:val="6F6DD9AC"/>
    <w:multiLevelType w:val="hybridMultilevel"/>
    <w:lvl w:ilvl="0">
      <w:lvlJc w:val="left"/>
      <w:lvlText w:val="%1."/>
      <w:numFmt w:val="decimal"/>
      <w:start w:val="16"/>
    </w:lvl>
    <w:lvl w:ilvl="1">
      <w:lvlJc w:val="left"/>
      <w:lvlText w:val="(%2)"/>
      <w:numFmt w:val="lowerLetter"/>
      <w:start w:val="1"/>
    </w:lvl>
  </w:abstractNum>
  <w:abstractNum w:abstractNumId="61">
    <w:nsid w:val="94211F2"/>
    <w:multiLevelType w:val="hybridMultilevel"/>
    <w:lvl w:ilvl="0">
      <w:lvlJc w:val="left"/>
      <w:lvlText w:val="%1"/>
      <w:numFmt w:val="lowerLetter"/>
      <w:start w:val="1"/>
    </w:lvl>
    <w:lvl w:ilvl="1">
      <w:lvlJc w:val="left"/>
      <w:lvlText w:val="(%2)"/>
      <w:numFmt w:val="lowerLetter"/>
      <w:start w:val="4"/>
    </w:lvl>
  </w:abstractNum>
  <w:abstractNum w:abstractNumId="62">
    <w:nsid w:val="885E1B"/>
    <w:multiLevelType w:val="hybridMultilevel"/>
    <w:lvl w:ilvl="0">
      <w:lvlJc w:val="left"/>
      <w:lvlText w:val="(%1)"/>
      <w:numFmt w:val="lowerLetter"/>
      <w:start w:val="35"/>
    </w:lvl>
    <w:lvl w:ilvl="1">
      <w:lvlJc w:val="left"/>
      <w:lvlText w:val="(%2)"/>
      <w:numFmt w:val="lowerLetter"/>
      <w:start w:val="9"/>
    </w:lvl>
  </w:abstractNum>
  <w:abstractNum w:abstractNumId="63">
    <w:nsid w:val="76272110"/>
    <w:multiLevelType w:val="hybridMultilevel"/>
    <w:lvl w:ilvl="0">
      <w:lvlJc w:val="left"/>
      <w:lvlText w:val="(%1)"/>
      <w:numFmt w:val="lowerLetter"/>
      <w:start w:val="11"/>
    </w:lvl>
  </w:abstractNum>
  <w:abstractNum w:abstractNumId="64">
    <w:nsid w:val="4C04A8AF"/>
    <w:multiLevelType w:val="hybridMultilevel"/>
    <w:lvl w:ilvl="0">
      <w:lvlJc w:val="left"/>
      <w:lvlText w:val="%1"/>
      <w:numFmt w:val="lowerRoman"/>
      <w:start w:val="1"/>
    </w:lvl>
    <w:lvl w:ilvl="1">
      <w:lvlJc w:val="left"/>
      <w:lvlText w:val="(%2)"/>
      <w:numFmt w:val="lowerLetter"/>
      <w:start w:val="18"/>
    </w:lvl>
  </w:abstractNum>
  <w:abstractNum w:abstractNumId="65">
    <w:nsid w:val="1716703B"/>
    <w:multiLevelType w:val="hybridMultilevel"/>
    <w:lvl w:ilvl="0">
      <w:lvlJc w:val="left"/>
      <w:lvlText w:val="(%1)"/>
      <w:numFmt w:val="lowerRoman"/>
      <w:start w:val="2"/>
    </w:lvl>
    <w:lvl w:ilvl="1">
      <w:lvlJc w:val="left"/>
      <w:lvlText w:val="%2"/>
      <w:numFmt w:val="lowerLetter"/>
      <w:start w:val="1"/>
    </w:lvl>
  </w:abstractNum>
  <w:abstractNum w:abstractNumId="66">
    <w:nsid w:val="14E17E33"/>
    <w:multiLevelType w:val="hybridMultilevel"/>
    <w:lvl w:ilvl="0">
      <w:lvlJc w:val="left"/>
      <w:lvlText w:val="(%1)"/>
      <w:numFmt w:val="lowerRoman"/>
      <w:start w:val="4"/>
    </w:lvl>
    <w:lvl w:ilvl="1">
      <w:lvlJc w:val="left"/>
      <w:lvlText w:val="(%2)"/>
      <w:numFmt w:val="lowerLetter"/>
      <w:start w:val="19"/>
    </w:lvl>
  </w:abstractNum>
  <w:abstractNum w:abstractNumId="67">
    <w:nsid w:val="3222E7CD"/>
    <w:multiLevelType w:val="hybridMultilevel"/>
    <w:lvl w:ilvl="0">
      <w:lvlJc w:val="left"/>
      <w:lvlText w:val="(%1)"/>
      <w:numFmt w:val="lowerLetter"/>
      <w:start w:val="27"/>
    </w:lvl>
  </w:abstractNum>
  <w:abstractNum w:abstractNumId="68">
    <w:nsid w:val="74DE0EE3"/>
    <w:multiLevelType w:val="hybridMultilevel"/>
    <w:lvl w:ilvl="0">
      <w:lvlJc w:val="left"/>
      <w:lvlText w:val="☐"/>
      <w:numFmt w:val="bullet"/>
      <w:start w:val="1"/>
    </w:lvl>
    <w:lvl w:ilvl="1">
      <w:lvlJc w:val="left"/>
      <w:lvlText w:val="%2."/>
      <w:numFmt w:val="decimal"/>
      <w:start w:val="1"/>
    </w:lvl>
  </w:abstractNum>
  <w:abstractNum w:abstractNumId="69">
    <w:nsid w:val="68EBC550"/>
    <w:multiLevelType w:val="hybridMultilevel"/>
    <w:lvl w:ilvl="0">
      <w:lvlJc w:val="left"/>
      <w:lvlText w:val="(%1)"/>
      <w:numFmt w:val="lowerRoman"/>
      <w:start w:val="2"/>
    </w:lvl>
    <w:lvl w:ilvl="1">
      <w:lvlJc w:val="left"/>
      <w:lvlText w:val="%2."/>
      <w:numFmt w:val="decimal"/>
      <w:start w:val="2"/>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1"/>
    </w:lvl>
    <w:lvl w:ilvl="1">
      <w:lvlJc w:val="left"/>
      <w:lvlText w:val="(%2)"/>
      <w:numFmt w:val="lowerLetter"/>
      <w:start w:val="1"/>
    </w:lvl>
  </w:abstractNum>
  <w:abstractNum w:abstractNumId="72">
    <w:nsid w:val="4A2AC315"/>
    <w:multiLevelType w:val="hybridMultilevel"/>
    <w:lvl w:ilvl="0">
      <w:lvlJc w:val="left"/>
      <w:lvlText w:val="%1"/>
      <w:numFmt w:val="lowerLetter"/>
      <w:start w:val="1"/>
    </w:lvl>
    <w:lvl w:ilvl="1">
      <w:lvlJc w:val="left"/>
      <w:lvlText w:val="(%2)"/>
      <w:numFmt w:val="lowerLetter"/>
      <w:start w:val="2"/>
    </w:lvl>
  </w:abstractNum>
  <w:abstractNum w:abstractNumId="73">
    <w:nsid w:val="39EE015C"/>
    <w:multiLevelType w:val="hybridMultilevel"/>
    <w:lvl w:ilvl="0">
      <w:lvlJc w:val="left"/>
      <w:lvlText w:val="(%1)"/>
      <w:numFmt w:val="lowerLetter"/>
      <w:start w:val="24"/>
    </w:lvl>
    <w:lvl w:ilvl="1">
      <w:lvlJc w:val="left"/>
      <w:lvlText w:val="%2"/>
      <w:numFmt w:val="lowerLetter"/>
      <w:start w:val="1"/>
    </w:lvl>
  </w:abstractNum>
  <w:abstractNum w:abstractNumId="74">
    <w:nsid w:val="57FC4FBB"/>
    <w:multiLevelType w:val="hybridMultilevel"/>
    <w:lvl w:ilvl="0">
      <w:lvlJc w:val="left"/>
      <w:lvlText w:val="(%1)"/>
      <w:numFmt w:val="lowerLetter"/>
      <w:start w:val="4"/>
    </w:lvl>
  </w:abstractNum>
  <w:abstractNum w:abstractNumId="75">
    <w:nsid w:val="CC1016F"/>
    <w:multiLevelType w:val="hybridMultilevel"/>
    <w:lvl w:ilvl="0">
      <w:lvlJc w:val="left"/>
      <w:lvlText w:val="A"/>
      <w:numFmt w:val="bullet"/>
      <w:start w:val="1"/>
    </w:lvl>
  </w:abstractNum>
  <w:abstractNum w:abstractNumId="76">
    <w:nsid w:val="43F18422"/>
    <w:multiLevelType w:val="hybridMultilevel"/>
    <w:lvl w:ilvl="0">
      <w:lvlJc w:val="left"/>
      <w:lvlText w:val="B"/>
      <w:numFmt w:val="bullet"/>
      <w:start w:val="1"/>
    </w:lvl>
  </w:abstractNum>
  <w:abstractNum w:abstractNumId="77">
    <w:nsid w:val="60EF0119"/>
    <w:multiLevelType w:val="hybridMultilevel"/>
    <w:lvl w:ilvl="0">
      <w:lvlJc w:val="left"/>
      <w:lvlText w:val="C"/>
      <w:numFmt w:val="bullet"/>
      <w:start w:val="1"/>
    </w:lvl>
  </w:abstractNum>
  <w:abstractNum w:abstractNumId="78">
    <w:nsid w:val="26F324B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79">
    <w:nsid w:val="7F01579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80">
    <w:nsid w:val="49DA307D"/>
    <w:multiLevelType w:val="hybridMultilevel"/>
    <w:lvl w:ilvl="0">
      <w:lvlJc w:val="left"/>
      <w:lvlText w:val="(%1)"/>
      <w:numFmt w:val="lowerRoman"/>
      <w:start w:val="2"/>
    </w:lvl>
  </w:abstractNum>
  <w:abstractNum w:abstractNumId="81">
    <w:nsid w:val="7055A5F5"/>
    <w:multiLevelType w:val="hybridMultilevel"/>
    <w:lvl w:ilvl="0">
      <w:lvlJc w:val="left"/>
      <w:lvlText w:val="(%1)"/>
      <w:numFmt w:val="lowerLetter"/>
      <w:start w:val="7"/>
    </w:lvl>
    <w:lvl w:ilvl="1">
      <w:lvlJc w:val="left"/>
      <w:lvlText w:val="(%2)"/>
      <w:numFmt w:val="lowerRoman"/>
      <w:start w:val="1"/>
    </w:lvl>
  </w:abstractNum>
  <w:abstractNum w:abstractNumId="82">
    <w:nsid w:val="5FB8370B"/>
    <w:multiLevelType w:val="hybridMultilevel"/>
    <w:lvl w:ilvl="0">
      <w:lvlJc w:val="left"/>
      <w:lvlText w:val="%1."/>
      <w:numFmt w:val="decimal"/>
      <w:start w:val="2"/>
    </w:lvl>
  </w:abstractNum>
  <w:abstractNum w:abstractNumId="83">
    <w:nsid w:val="50801EE1"/>
    <w:multiLevelType w:val="hybridMultilevel"/>
    <w:lvl w:ilvl="0">
      <w:lvlJc w:val="left"/>
      <w:lvlText w:val="(%1)"/>
      <w:numFmt w:val="lowerLetter"/>
      <w:start w:val="2"/>
    </w:lvl>
    <w:lvl w:ilvl="1">
      <w:lvlJc w:val="left"/>
      <w:lvlText w:val="(%2)"/>
      <w:numFmt w:val="lowerLetter"/>
      <w:start w:val="9"/>
    </w:lvl>
  </w:abstractNum>
  <w:abstractNum w:abstractNumId="84">
    <w:nsid w:val="488AC1A"/>
    <w:multiLevelType w:val="hybridMultilevel"/>
    <w:lvl w:ilvl="0">
      <w:lvlJc w:val="left"/>
      <w:lvlText w:val="%1"/>
      <w:numFmt w:val="decimal"/>
      <w:start w:val="1"/>
    </w:lvl>
    <w:lvl w:ilvl="1">
      <w:lvlJc w:val="left"/>
      <w:lvlText w:val="(%2)"/>
      <w:numFmt w:val="lowerRoman"/>
      <w:start w:val="2"/>
    </w:lvl>
  </w:abstractNum>
  <w:abstractNum w:abstractNumId="85">
    <w:nsid w:val="5FB8011C"/>
    <w:multiLevelType w:val="hybridMultilevel"/>
    <w:lvl w:ilvl="0">
      <w:lvlJc w:val="left"/>
      <w:lvlText w:val="(%1)"/>
      <w:numFmt w:val="decimal"/>
      <w:start w:val="5"/>
    </w:lvl>
    <w:lvl w:ilvl="1">
      <w:lvlJc w:val="left"/>
      <w:lvlText w:val="%2"/>
      <w:numFmt w:val="lowerRoman"/>
      <w:start w:val="1"/>
    </w:lvl>
  </w:abstractNum>
  <w:abstractNum w:abstractNumId="86">
    <w:nsid w:val="6AA78F7F"/>
    <w:multiLevelType w:val="hybridMultilevel"/>
    <w:lvl w:ilvl="0">
      <w:lvlJc w:val="left"/>
      <w:lvlText w:val="(%1)"/>
      <w:numFmt w:val="decimal"/>
      <w:start w:val="5"/>
    </w:lvl>
  </w:abstractNum>
  <w:abstractNum w:abstractNumId="87">
    <w:nsid w:val="7672BD23"/>
    <w:multiLevelType w:val="hybridMultilevel"/>
    <w:lvl w:ilvl="0">
      <w:lvlJc w:val="left"/>
      <w:lvlText w:val="%1"/>
      <w:numFmt w:val="lowerLetter"/>
      <w:start w:val="1"/>
    </w:lvl>
    <w:lvl w:ilvl="1">
      <w:lvlJc w:val="left"/>
      <w:lvlText w:val="(%2)"/>
      <w:numFmt w:val="lowerRoman"/>
      <w:start w:val="4"/>
    </w:lvl>
  </w:abstractNum>
  <w:abstractNum w:abstractNumId="88">
    <w:nsid w:val="6FC75AF8"/>
    <w:multiLevelType w:val="hybridMultilevel"/>
    <w:lvl w:ilvl="0">
      <w:lvlJc w:val="left"/>
      <w:lvlText w:val="(%1)"/>
      <w:numFmt w:val="lowerLetter"/>
      <w:start w:val="3"/>
    </w:lvl>
    <w:lvl w:ilvl="1">
      <w:lvlJc w:val="left"/>
      <w:lvlText w:val="%2"/>
      <w:numFmt w:val="lowerRoman"/>
      <w:start w:val="1"/>
    </w:lvl>
  </w:abstractNum>
  <w:abstractNum w:abstractNumId="89">
    <w:nsid w:val="6A5F7029"/>
    <w:multiLevelType w:val="hybridMultilevel"/>
    <w:lvl w:ilvl="0">
      <w:lvlJc w:val="left"/>
      <w:lvlText w:val="%1"/>
      <w:numFmt w:val="decimal"/>
      <w:start w:val="1"/>
    </w:lvl>
    <w:lvl w:ilvl="1">
      <w:lvlJc w:val="left"/>
      <w:lvlText w:val="(%2)"/>
      <w:numFmt w:val="lowerLetter"/>
      <w:start w:val="9"/>
    </w:lvl>
  </w:abstractNum>
  <w:abstractNum w:abstractNumId="90">
    <w:nsid w:val="7D5E18F8"/>
    <w:multiLevelType w:val="hybridMultilevel"/>
    <w:lvl w:ilvl="0">
      <w:lvlJc w:val="left"/>
      <w:lvlText w:val="%1."/>
      <w:numFmt w:val="decimal"/>
      <w:start w:val="3"/>
    </w:lvl>
    <w:lvl w:ilvl="1">
      <w:lvlJc w:val="left"/>
      <w:lvlText w:val="(%2)"/>
      <w:numFmt w:val="lowerLetter"/>
      <w:start w:val="1"/>
    </w:lvl>
  </w:abstractNum>
  <w:abstractNum w:abstractNumId="91">
    <w:nsid w:val="5F3534A4"/>
    <w:multiLevelType w:val="hybridMultilevel"/>
    <w:lvl w:ilvl="0">
      <w:lvlJc w:val="left"/>
      <w:lvlText w:val="%1"/>
      <w:numFmt w:val="lowerLetter"/>
      <w:start w:val="1"/>
    </w:lvl>
    <w:lvl w:ilvl="1">
      <w:lvlJc w:val="left"/>
      <w:lvlText w:val="(%2)"/>
      <w:numFmt w:val="lowerLetter"/>
      <w:start w:val="2"/>
    </w:lvl>
  </w:abstractNum>
  <w:abstractNum w:abstractNumId="92">
    <w:nsid w:val="73A1821B"/>
    <w:multiLevelType w:val="hybridMultilevel"/>
    <w:lvl w:ilvl="0">
      <w:lvlJc w:val="left"/>
      <w:lvlText w:val="(%1)"/>
      <w:numFmt w:val="lowerLetter"/>
      <w:start w:val="35"/>
    </w:lvl>
    <w:lvl w:ilvl="1">
      <w:lvlJc w:val="left"/>
      <w:lvlText w:val="(%2)"/>
      <w:numFmt w:val="lowerLetter"/>
      <w:start w:val="3"/>
    </w:lvl>
  </w:abstractNum>
  <w:abstractNum w:abstractNumId="93">
    <w:nsid w:val="7DE67713"/>
    <w:multiLevelType w:val="hybridMultilevel"/>
    <w:lvl w:ilvl="0">
      <w:lvlJc w:val="left"/>
      <w:lvlText w:val="%1"/>
      <w:numFmt w:val="decimal"/>
      <w:start w:val="1"/>
    </w:lvl>
    <w:lvl w:ilvl="1">
      <w:lvlJc w:val="left"/>
      <w:lvlText w:val="(%2)"/>
      <w:numFmt w:val="lowerLetter"/>
      <w:start w:val="5"/>
    </w:lvl>
  </w:abstractNum>
  <w:abstractNum w:abstractNumId="94">
    <w:nsid w:val="555C55B5"/>
    <w:multiLevelType w:val="hybridMultilevel"/>
    <w:lvl w:ilvl="0">
      <w:lvlJc w:val="left"/>
      <w:lvlText w:val="%1."/>
      <w:numFmt w:val="decimal"/>
      <w:start w:val="5"/>
    </w:lvl>
    <w:lvl w:ilvl="1">
      <w:lvlJc w:val="left"/>
      <w:lvlText w:val="(%2)"/>
      <w:numFmt w:val="lowerLetter"/>
      <w:start w:val="1"/>
    </w:lvl>
  </w:abstractNum>
  <w:abstractNum w:abstractNumId="95">
    <w:nsid w:val="3FA62ACA"/>
    <w:multiLevelType w:val="hybridMultilevel"/>
    <w:lvl w:ilvl="0">
      <w:lvlJc w:val="left"/>
      <w:lvlText w:val="%1"/>
      <w:numFmt w:val="lowerLetter"/>
      <w:start w:val="1"/>
    </w:lvl>
    <w:lvl w:ilvl="1">
      <w:lvlJc w:val="left"/>
      <w:lvlText w:val="(%2)"/>
      <w:numFmt w:val="lowerLetter"/>
      <w:start w:val="2"/>
    </w:lvl>
  </w:abstractNum>
  <w:abstractNum w:abstractNumId="96">
    <w:nsid w:val="14FCE74E"/>
    <w:multiLevelType w:val="hybridMultilevel"/>
    <w:lvl w:ilvl="0">
      <w:lvlJc w:val="left"/>
      <w:lvlText w:val="(%1)"/>
      <w:numFmt w:val="lowerLetter"/>
      <w:start w:val="9"/>
    </w:lvl>
    <w:lvl w:ilvl="1">
      <w:lvlJc w:val="left"/>
      <w:lvlText w:val="(%2)"/>
      <w:numFmt w:val="lowerLetter"/>
      <w:start w:val="5"/>
    </w:lvl>
  </w:abstractNum>
  <w:abstractNum w:abstractNumId="97">
    <w:nsid w:val="6A3DD3E8"/>
    <w:multiLevelType w:val="hybridMultilevel"/>
    <w:lvl w:ilvl="0">
      <w:lvlJc w:val="left"/>
      <w:lvlText w:val="%1."/>
      <w:numFmt w:val="decimal"/>
      <w:start w:val="8"/>
    </w:lvl>
  </w:abstractNum>
  <w:abstractNum w:abstractNumId="98">
    <w:nsid w:val="71C91298"/>
    <w:multiLevelType w:val="hybridMultilevel"/>
    <w:lvl w:ilvl="0">
      <w:lvlJc w:val="left"/>
      <w:lvlText w:val="(%1)"/>
      <w:numFmt w:val="lowerRoman"/>
      <w:start w:val="1"/>
    </w:lvl>
  </w:abstractNum>
  <w:abstractNum w:abstractNumId="99">
    <w:nsid w:val="9DAF632"/>
    <w:multiLevelType w:val="hybridMultilevel"/>
    <w:lvl w:ilvl="0">
      <w:lvlJc w:val="left"/>
      <w:lvlText w:val="%1."/>
      <w:numFmt w:val="decimal"/>
      <w:start w:val="9"/>
    </w:lvl>
  </w:abstractNum>
  <w:abstractNum w:abstractNumId="100">
    <w:nsid w:val="5329993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1">
    <w:nsid w:val="1FBFE8E0"/>
    <w:multiLevelType w:val="hybridMultilevel"/>
    <w:lvl w:ilvl="0">
      <w:lvlJc w:val="left"/>
      <w:lvlText w:val="%1."/>
      <w:numFmt w:val="decimal"/>
      <w:start w:val="16"/>
    </w:lvl>
  </w:abstractNum>
  <w:abstractNum w:abstractNumId="102">
    <w:nsid w:val="5092CA79"/>
    <w:multiLevelType w:val="hybridMultilevel"/>
    <w:lvl w:ilvl="0">
      <w:lvlJc w:val="left"/>
      <w:lvlText w:val="(%1)"/>
      <w:numFmt w:val="lowerRoman"/>
      <w:start w:val="2"/>
    </w:lvl>
  </w:abstractNum>
  <w:abstractNum w:abstractNumId="103">
    <w:nsid w:val="1D545C4D"/>
    <w:multiLevelType w:val="hybridMultilevel"/>
    <w:lvl w:ilvl="0">
      <w:lvlJc w:val="left"/>
      <w:lvlText w:val="(%1)"/>
      <w:numFmt w:val="lowerRoman"/>
      <w:start w:val="2"/>
    </w:lvl>
  </w:abstractNum>
  <w:abstractNum w:abstractNumId="104">
    <w:nsid w:val="59ADEA3D"/>
    <w:multiLevelType w:val="hybridMultilevel"/>
    <w:lvl w:ilvl="0">
      <w:lvlJc w:val="left"/>
      <w:lvlText w:val="(%1)"/>
      <w:numFmt w:val="lowerRoman"/>
      <w:start w:val="4"/>
    </w:lvl>
  </w:abstractNum>
  <w:abstractNum w:abstractNumId="105">
    <w:nsid w:val="288F1A34"/>
    <w:multiLevelType w:val="hybridMultilevel"/>
    <w:lvl w:ilvl="0">
      <w:lvlJc w:val="left"/>
      <w:lvlText w:val="☐"/>
      <w:numFmt w:val="bullet"/>
      <w:start w:val="1"/>
    </w:lvl>
    <w:lvl w:ilvl="1">
      <w:lvlJc w:val="left"/>
      <w:lvlText w:val="%2."/>
      <w:numFmt w:val="decimal"/>
      <w:start w:val="1"/>
    </w:lvl>
  </w:abstractNum>
  <w:abstractNum w:abstractNumId="106">
    <w:nsid w:val="2A155DBC"/>
    <w:multiLevelType w:val="hybridMultilevel"/>
    <w:lvl w:ilvl="0">
      <w:lvlJc w:val="left"/>
      <w:lvlText w:val="(%1)"/>
      <w:numFmt w:val="lowerRoman"/>
      <w:start w:val="2"/>
    </w:lvl>
    <w:lvl w:ilvl="1">
      <w:lvlJc w:val="left"/>
      <w:lvlText w:val="%2."/>
      <w:numFmt w:val="decimal"/>
      <w:start w:val="2"/>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1)"/>
      <w:numFmt w:val="lowerRoman"/>
      <w:start w:val="3"/>
    </w:lvl>
  </w:abstractNum>
  <w:abstractNum w:abstractNumId="109">
    <w:nsid w:val="5108827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2025-11-04T16:22:50Z</dcterms:created>
  <dcterms:modified xsi:type="dcterms:W3CDTF">2025-11-04T16:22:50Z</dcterms:modified>
</cp:coreProperties>
</file>