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333-182823</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5715</wp:posOffset>
            </wp:positionV>
            <wp:extent cx="155194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194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10,344,998 Shares of Common Stock</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We are offering up to 10,344,998 shares of our common stock pursuant to this prospectus supplement and the accompanying prospectus.</w:t>
      </w:r>
    </w:p>
    <w:p>
      <w:pPr>
        <w:spacing w:after="0" w:line="237"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Our common stock is listed on NYSE MKT under the symbol “VRNG.” The last reported sale price of our common stock on October 4, 2012 was $5.25 per share.</w:t>
      </w:r>
    </w:p>
    <w:p>
      <w:pPr>
        <w:spacing w:after="0" w:line="166" w:lineRule="exact"/>
        <w:rPr>
          <w:sz w:val="24"/>
          <w:szCs w:val="24"/>
          <w:color w:val="auto"/>
        </w:rPr>
      </w:pPr>
    </w:p>
    <w:p>
      <w:pPr>
        <w:ind w:right="820" w:firstLine="648"/>
        <w:spacing w:after="0" w:line="282" w:lineRule="auto"/>
        <w:rPr>
          <w:sz w:val="20"/>
          <w:szCs w:val="20"/>
          <w:color w:val="auto"/>
        </w:rPr>
      </w:pPr>
      <w:r>
        <w:rPr>
          <w:rFonts w:ascii="Arial" w:cs="Arial" w:eastAsia="Arial" w:hAnsi="Arial"/>
          <w:sz w:val="18"/>
          <w:szCs w:val="18"/>
          <w:b w:val="1"/>
          <w:bCs w:val="1"/>
          <w:color w:val="auto"/>
        </w:rPr>
        <w:t>Investing in our common stock involves a high degree of risk. Please read “Risk Factors” beginning on page S-5 of this prospectus supplement and page 7 of the accompanying prospectus.</w:t>
      </w:r>
    </w:p>
    <w:p>
      <w:pPr>
        <w:spacing w:after="0" w:line="162" w:lineRule="exact"/>
        <w:rPr>
          <w:sz w:val="24"/>
          <w:szCs w:val="24"/>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the adequacy or accuracy of this prospectus supplement or the accompanying prospectus. Any representation to the contrary is a criminal offense.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3920" w:type="dxa"/>
            <w:vAlign w:val="bottom"/>
          </w:tcPr>
          <w:p>
            <w:pPr>
              <w:jc w:val="right"/>
              <w:ind w:right="30"/>
              <w:spacing w:after="0"/>
              <w:rPr>
                <w:sz w:val="20"/>
                <w:szCs w:val="20"/>
                <w:color w:val="auto"/>
              </w:rPr>
            </w:pPr>
            <w:r>
              <w:rPr>
                <w:rFonts w:ascii="Arial" w:cs="Arial" w:eastAsia="Arial" w:hAnsi="Arial"/>
                <w:sz w:val="18"/>
                <w:szCs w:val="18"/>
                <w:b w:val="1"/>
                <w:bCs w:val="1"/>
                <w:color w:val="auto"/>
              </w:rPr>
              <w:t>Per share</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2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16"/>
        </w:trPr>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Offering price</w:t>
            </w:r>
          </w:p>
        </w:tc>
        <w:tc>
          <w:tcPr>
            <w:tcW w:w="3920" w:type="dxa"/>
            <w:vAlign w:val="bottom"/>
            <w:shd w:val="clear" w:color="auto" w:fill="CCFFCC"/>
          </w:tcPr>
          <w:p>
            <w:pPr>
              <w:jc w:val="right"/>
              <w:ind w:right="12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4.35</w:t>
            </w:r>
          </w:p>
        </w:tc>
        <w:tc>
          <w:tcPr>
            <w:tcW w:w="5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45,000,741.30</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Proceeds to us, before expenses</w:t>
            </w:r>
          </w:p>
        </w:tc>
        <w:tc>
          <w:tcPr>
            <w:tcW w:w="392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4.35</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45,000,741.30</w:t>
            </w:r>
          </w:p>
        </w:tc>
      </w:tr>
    </w:tbl>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Delivery of the shares of common stock is expected to be made on or about October 9, 2012.</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Supplement dated October 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0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Prospectus Supplement</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ABOUT THIS PROSPECTUS SUPPLEMENT</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PROSPECTUS SUPPLEMENT SUMMARY</w:t>
            </w:r>
          </w:p>
        </w:tc>
        <w:tc>
          <w:tcPr>
            <w:tcW w:w="2500" w:type="dxa"/>
            <w:vAlign w:val="bottom"/>
          </w:tcPr>
          <w:p>
            <w:pPr>
              <w:jc w:val="right"/>
              <w:spacing w:after="0"/>
              <w:rPr>
                <w:sz w:val="20"/>
                <w:szCs w:val="20"/>
                <w:color w:val="auto"/>
              </w:rPr>
            </w:pPr>
            <w:r>
              <w:rPr>
                <w:rFonts w:ascii="Arial" w:cs="Arial" w:eastAsia="Arial" w:hAnsi="Arial"/>
                <w:sz w:val="18"/>
                <w:szCs w:val="18"/>
                <w:color w:val="auto"/>
              </w:rPr>
              <w:t>S-1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RISK FACTORS</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S-5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S-5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S-6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PRICE RANGE OF COMMON STOCK</w:t>
            </w:r>
          </w:p>
        </w:tc>
        <w:tc>
          <w:tcPr>
            <w:tcW w:w="2500" w:type="dxa"/>
            <w:vAlign w:val="bottom"/>
          </w:tcPr>
          <w:p>
            <w:pPr>
              <w:jc w:val="right"/>
              <w:spacing w:after="0"/>
              <w:rPr>
                <w:sz w:val="20"/>
                <w:szCs w:val="20"/>
                <w:color w:val="auto"/>
              </w:rPr>
            </w:pPr>
            <w:r>
              <w:rPr>
                <w:rFonts w:ascii="Arial" w:cs="Arial" w:eastAsia="Arial" w:hAnsi="Arial"/>
                <w:sz w:val="18"/>
                <w:szCs w:val="18"/>
                <w:color w:val="auto"/>
              </w:rPr>
              <w:t>S-6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DIVIDEND POLICY</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S-6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PLAN OF DISTRIBUTION</w:t>
            </w:r>
          </w:p>
        </w:tc>
        <w:tc>
          <w:tcPr>
            <w:tcW w:w="2500" w:type="dxa"/>
            <w:vAlign w:val="bottom"/>
          </w:tcPr>
          <w:p>
            <w:pPr>
              <w:jc w:val="right"/>
              <w:spacing w:after="0"/>
              <w:rPr>
                <w:sz w:val="20"/>
                <w:szCs w:val="20"/>
                <w:color w:val="auto"/>
              </w:rPr>
            </w:pPr>
            <w:r>
              <w:rPr>
                <w:rFonts w:ascii="Arial" w:cs="Arial" w:eastAsia="Arial" w:hAnsi="Arial"/>
                <w:sz w:val="18"/>
                <w:szCs w:val="18"/>
                <w:color w:val="auto"/>
              </w:rPr>
              <w:t>S-6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LEGAL MATTERS</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EXPERTS</w:t>
            </w:r>
          </w:p>
        </w:tc>
        <w:tc>
          <w:tcPr>
            <w:tcW w:w="2500" w:type="dxa"/>
            <w:vAlign w:val="bottom"/>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WHERE YOU CAN FIND MORE INFORMATION</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INCORPORATION OF DOCUMENTS BY REFERENCE</w:t>
            </w:r>
          </w:p>
        </w:tc>
        <w:tc>
          <w:tcPr>
            <w:tcW w:w="2500" w:type="dxa"/>
            <w:vAlign w:val="bottom"/>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Prospectus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ABOUT THIS PROSPECTUS</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PROSPECTUS SUMMARY</w:t>
            </w:r>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RISK FACTORS</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5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SPECIAL NOTE REGARDING FORWARD-LOOKING STATEMENTS</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UNAUDITED PRO FORMA CONSOLIDATED FINANCIAL INFORMATION</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PLAN OF DISTRIBUTION</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DESCRIPTION OF CAPITAL STOCK</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DESCRIPTION OF WARRANTS</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DESCRIPTION OF RIGHTS</w:t>
            </w:r>
          </w:p>
        </w:tc>
        <w:tc>
          <w:tcPr>
            <w:tcW w:w="25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DESCRIPTION OF PURCHASE CONTRACTS</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DESCRIPTION OF UNITS</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LEGAL MATTERS</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EXPERTS</w:t>
            </w:r>
          </w:p>
        </w:tc>
        <w:tc>
          <w:tcPr>
            <w:tcW w:w="25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FFCC"/>
          </w:tcPr>
          <w:p>
            <w:pPr>
              <w:spacing w:after="0"/>
              <w:rPr>
                <w:sz w:val="20"/>
                <w:szCs w:val="20"/>
                <w:color w:val="auto"/>
              </w:rPr>
            </w:pPr>
            <w:r>
              <w:rPr>
                <w:rFonts w:ascii="Arial" w:cs="Arial" w:eastAsia="Arial" w:hAnsi="Arial"/>
                <w:sz w:val="18"/>
                <w:szCs w:val="18"/>
                <w:color w:val="auto"/>
              </w:rPr>
              <w:t>WHERE YOU CAN FIND MORE INFORMATION</w:t>
            </w:r>
          </w:p>
        </w:tc>
        <w:tc>
          <w:tcPr>
            <w:tcW w:w="2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INCORPORATION OF DOCUMENTS BY REFERENCE</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July 24, 2012, we filed with the Securities and Exchange Commission, or SEC, a registration statement on Form S-3 (File No. 333-182823) utilizing a shelf registration process relating to the securities described in this prospectus supplement, which registration statement became effective on August 2, 2012. Under this shelf registration process, we may, from time to time, sell common stock and other securities, including the securities to be sold in this offering. On August 10, 2012, we sold of 9.6 million shares of our common stock in a registered direct offering, at a purchase price of $3.25 per share, for a total gross proceeds of $31.2 million utilizing a shelf registration process under our registration statement on Form S-3 (File No. 333-182823).</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common stock offering and also adds to and updates information contained in the accompanying prospectus and the documents incorporated by reference into the prospectus. The second part, the accompanying prospectus, gives more general information, some of which does not apply to this offering. Generally, when we refer to this prospectus, we are referring to both parts of this document combined.</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the description of the offering varies between this prospectus supplement and the accompanying prospectus, you should rely on the information contained in this prospectus supplement. However,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jc w:val="both"/>
        <w:ind w:right="60" w:firstLine="661"/>
        <w:spacing w:after="0" w:line="286" w:lineRule="auto"/>
        <w:rPr>
          <w:sz w:val="20"/>
          <w:szCs w:val="20"/>
          <w:color w:val="auto"/>
        </w:rPr>
      </w:pPr>
      <w:r>
        <w:rPr>
          <w:rFonts w:ascii="Arial" w:cs="Arial" w:eastAsia="Arial" w:hAnsi="Arial"/>
          <w:sz w:val="17"/>
          <w:szCs w:val="17"/>
          <w:color w:val="auto"/>
        </w:rPr>
        <w:t>Unless the context otherwise requires, “Vringo,” “the Company,” “we,” “us,” “our” and similar terms refer to Vringo, Inc. and our subsidiaries prior to the merger described below and also include Innovate/Protect, Inc. and its subsidiaries following the merger described below. Unless stated or the context otherwise requires, references in this prospectus to “Innovate/Protect” refer to Innovate/Protect, Inc. and its subsidiaries.</w:t>
      </w:r>
    </w:p>
    <w:p>
      <w:pPr>
        <w:spacing w:after="0" w:line="166" w:lineRule="exact"/>
        <w:rPr>
          <w:sz w:val="20"/>
          <w:szCs w:val="20"/>
          <w:color w:val="auto"/>
        </w:rPr>
      </w:pPr>
    </w:p>
    <w:p>
      <w:pPr>
        <w:ind w:right="40" w:firstLine="661"/>
        <w:spacing w:after="0" w:line="259" w:lineRule="auto"/>
        <w:rPr>
          <w:sz w:val="20"/>
          <w:szCs w:val="20"/>
          <w:color w:val="auto"/>
        </w:rPr>
      </w:pPr>
      <w:r>
        <w:rPr>
          <w:rFonts w:ascii="Arial" w:cs="Arial" w:eastAsia="Arial" w:hAnsi="Arial"/>
          <w:sz w:val="18"/>
          <w:szCs w:val="18"/>
          <w:color w:val="auto"/>
        </w:rPr>
        <w:t>References to “the merger” refer to the transaction consummated on July 19, 2012, by which Innovate/Protect merged with and into a wholly-owned subsidiary of Vringo, which was renamed Innovate/Protect, Inc. Information about the merger is included in our Current Report on Form 8-K filed with the Commission on July 20, 2012 and incorporated by reference herein. See “Where You Can Find More Information” and “Incorporation of Information by Reference.”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or incorporated by reference in this prospectus supplement and the accompanying prospectus. This summary does not contain all of the information that you should consider before deciding to invest in our common stock. You should read this entire prospectus supplement and the accompanying prospectus carefully, including the “Risk Factors” section contained in this prospectus supplement, our consolidated financial statements and the related notes thereto and the other documents incorporated by reference in this prospectus supplement and the accompanying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engaged in the innovation, development and monetization of mobile technologies and intellectual property. Our intellectual property portfolio consists of over 500 patents and patent applications covering telecom infrastructure, internet search, and mobile technologies. The patents and patent applications have been developed internally, and acquired from third parties. We operate a global platform for the distribution of mobile social applications and services including Facetones® and Video Ringtones which transform the basic act of making and receiving mobile phone calls into a highly visual, social experience.</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181818"/>
        </w:rPr>
        <w:t>On August 10, 2012, we acquired from Nokia Corporation a portfolio consisting of over 500 patents and patent applications worldwide, including 109 issued United States patents pursuant to that certain Patent Purchase Agreement (the “Patent Purchase Agreement”) by and between us and Nokia, dated August 9, 2012. In accordance with the Patent Purchase Agreement, we paid to Nokia $22 million in cash as purchase price for the portfolio. In addition, we may pay, to the extent that the gross revenue (as defined in the Patent Purchase Agreement) generated by the acquired patent portfolio exceeds $22 million, a royalty of 35% of such excess. The portfolio encompasses a broad range of technologies relating to cellular infrastructure, including communication management, data and signal transmission, mobility management, radio resources management and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intend to attempt to maximize the economic benefits of our intellectual property portfolio, excel in technological innovation, and potentially enhance our opportunities for revenue generation through the monetization of our assets, including patents owned by Innovate/Protect and the outcome of the litigation against certain online search companies.</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undergone changes in connection with the merger with Innovate/Protect, Inc. as described below. Prior to the merger, Vringo was engaged in developing software platforms and applications for mobile devices and Innovate/Protect’s business was to maximize the economic benefits of intellectual property assets through acquiring or internally developing patents or other intellectual property assets. Following the merger, we have enhanced technological capabilities to create, build and deliver mobile applications and services to our handset and mobile operator partners as well as directly to consumers. We believe that the value of each company’s intellectual property portfolio will be enhanced through the combined company’s ability to license and enforce its intellectual property rights. In addition, as described below, we are acquiring new intellectual property rights.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two key areas of operation:</w:t>
      </w:r>
    </w:p>
    <w:p>
      <w:pPr>
        <w:spacing w:after="0" w:line="225"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211" w:lineRule="exact"/>
        <w:rPr>
          <w:sz w:val="20"/>
          <w:szCs w:val="20"/>
          <w:color w:val="auto"/>
        </w:rPr>
      </w:pPr>
    </w:p>
    <w:p>
      <w:pPr>
        <w:ind w:right="640" w:firstLine="90"/>
        <w:spacing w:after="0" w:line="277" w:lineRule="auto"/>
        <w:rPr>
          <w:sz w:val="20"/>
          <w:szCs w:val="20"/>
          <w:color w:val="auto"/>
        </w:rPr>
      </w:pPr>
      <w:r>
        <w:rPr>
          <w:rFonts w:ascii="Arial" w:cs="Arial" w:eastAsia="Arial" w:hAnsi="Arial"/>
          <w:sz w:val="18"/>
          <w:szCs w:val="18"/>
          <w:color w:val="auto"/>
        </w:rPr>
        <w:t>We have developed a platform for the distribution of mobile applications. We believe that our technology and business relationships will allow us to distribute new applications and services through:</w:t>
      </w:r>
    </w:p>
    <w:p>
      <w:pPr>
        <w:spacing w:after="0" w:line="170"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21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intend to expand our intellectual property portfolio through both internal development and acquisition. We believe that our experience and liquidity will enable us to expand our intellectual property portfolio as well as create additional intellectually property internally. We intend to monetize our intellectual property through:</w:t>
      </w:r>
    </w:p>
    <w:p>
      <w:pPr>
        <w:spacing w:after="0" w:line="181"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licensing,</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 w:name="page5"/>
    <w:bookmarkEnd w:id="4"/>
    <w:p>
      <w:pPr>
        <w:ind w:right="20" w:firstLine="648"/>
        <w:spacing w:after="0" w:line="264" w:lineRule="auto"/>
        <w:rPr>
          <w:sz w:val="20"/>
          <w:szCs w:val="20"/>
          <w:color w:val="auto"/>
        </w:rPr>
      </w:pPr>
      <w:r>
        <w:rPr>
          <w:rFonts w:ascii="Arial" w:cs="Arial" w:eastAsia="Arial" w:hAnsi="Arial"/>
          <w:sz w:val="18"/>
          <w:szCs w:val="18"/>
          <w:color w:val="auto"/>
        </w:rPr>
        <w:t>We continue to actively seek to broaden our intellectual property portfolio. Our philosophy is to seek to acquire intellectual property and technology. We are reviewing portfolio opportunities with a view toward acquiring those which we believe have potential for monetization through licensing opportunities or enforcement.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Innovate/Protect’s Initial Litigation</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one of the means of realizing the value of the Lycos Patents, on September 15, 2011, Innovate/Protect initiated (through I/P Engine) litigation in the United States District Court, Eastern District of Virginia, against AOL, Inc. (“AOL”), Google, Inc. (“Google”), IAC Search &amp; Media, Inc. (“IAC”), Gannett Company, Inc. (“Gannett”), and Target Corporation (“Target”) for patent infringement regarding two of the Lycos Patents (U.S. Patent Nos. 6,314,420 and 6,775,664). The case number is 2:11 CV 512-RAJ/FBS, and is pending in the Norfolk Division.</w:t>
      </w:r>
    </w:p>
    <w:p>
      <w:pPr>
        <w:spacing w:after="0" w:line="17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 xml:space="preserve">The court docket for the case, including the parties’ briefs, is publicly available on the Public Access to Court Electronic Records website (“PACER”), </w:t>
      </w:r>
      <w:r>
        <w:rPr>
          <w:rFonts w:ascii="Arial" w:cs="Arial" w:eastAsia="Arial" w:hAnsi="Arial"/>
          <w:sz w:val="18"/>
          <w:szCs w:val="18"/>
          <w:i w:val="1"/>
          <w:iCs w:val="1"/>
          <w:color w:val="auto"/>
        </w:rPr>
        <w:t>www.pacer.gov</w:t>
      </w:r>
      <w:r>
        <w:rPr>
          <w:rFonts w:ascii="Arial" w:cs="Arial" w:eastAsia="Arial" w:hAnsi="Arial"/>
          <w:sz w:val="18"/>
          <w:szCs w:val="18"/>
          <w:color w:val="auto"/>
        </w:rPr>
        <w:t>, which is operated by the Administrative Office of the U.S. Courts.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16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173"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On March 15, 2012, Google submitted a request to the USPTO for ex parte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 On May 24, 2012, Google resubmitted their request to the USPTO. This resubmission purports to address the issues identified by the USPTO. On July 18, 2012 the USPTO issued a determination ordering a reexamination. On September 25, 2012 the USPTO issued a first, Non-Final Office Action. Innovate/Protect has two months from issuance of the Office Action to respond to the USPTO. Google’s request has not resulted in any delay of the dates set out in the Court’s scheduling order dated February 15, 2012. The record in the re-examination can be found on the USPTO’s website (www.uspto.gov) under the “Public Patent Application Information Retrieval” system or Public PAIR.</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 w:name="page6"/>
    <w:bookmarkEnd w:id="5"/>
    <w:p>
      <w:pPr>
        <w:ind w:right="80" w:firstLine="648"/>
        <w:spacing w:after="0" w:line="271" w:lineRule="auto"/>
        <w:rPr>
          <w:sz w:val="20"/>
          <w:szCs w:val="20"/>
          <w:color w:val="auto"/>
        </w:rPr>
      </w:pPr>
      <w:r>
        <w:rPr>
          <w:rFonts w:ascii="Arial" w:cs="Arial" w:eastAsia="Arial" w:hAnsi="Arial"/>
          <w:sz w:val="17"/>
          <w:szCs w:val="17"/>
          <w:color w:val="auto"/>
        </w:rPr>
        <w:t>Within the Markman,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Markman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was filed by Vringo with the Securities and Exchange Commission. On August 16, 2012, the Court issued an amended claim construction Memorandum Order in response to a motion by Defendants.</w:t>
      </w:r>
    </w:p>
    <w:p>
      <w:pPr>
        <w:spacing w:after="0" w:line="179" w:lineRule="exact"/>
        <w:rPr>
          <w:sz w:val="20"/>
          <w:szCs w:val="20"/>
          <w:color w:val="auto"/>
        </w:rPr>
      </w:pPr>
    </w:p>
    <w:p>
      <w:pPr>
        <w:ind w:right="300" w:firstLine="693"/>
        <w:spacing w:after="0" w:line="277" w:lineRule="auto"/>
        <w:rPr>
          <w:sz w:val="20"/>
          <w:szCs w:val="20"/>
          <w:color w:val="auto"/>
        </w:rPr>
      </w:pPr>
      <w:r>
        <w:rPr>
          <w:rFonts w:ascii="Arial" w:cs="Arial" w:eastAsia="Arial" w:hAnsi="Arial"/>
          <w:sz w:val="18"/>
          <w:szCs w:val="18"/>
          <w:color w:val="auto"/>
        </w:rPr>
        <w:t>On July 30, 2012, I/P Engine and AOL Inc. entered into a partial settlement agreement, which resulted in I/P Engine granting a partial release of AOL as to certain claims raised in the lawsuit in exchange for $100,000. AOL remains a defendant in the proceeding.</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August 2, 2012, I/P Engine and defendants Google and IAC agreed to dismiss the patent infringement claims as to Google Search and IAC’s Ask Sponsored Listings. For the avoidance of doubt, the patent infringement claims being dismissed explicitly excluded, and I/P Engine explicitly reserved and retained all rights and remedies with respect to, any and all other claims asserted in the present litigation including, without limitation, the patent infringement claims as to Google AdWords, Google AdSense for Search, Google AdSense for Mobile Search and AOL’s Search Marketplace.</w:t>
      </w:r>
    </w:p>
    <w:p>
      <w:pPr>
        <w:spacing w:after="0" w:line="17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Fact and expert discovery have concluded. Commencing on September 12, 2012, the parties began filing evidentiary motions requesting rulings from the Court governing what evidence will be permitted at trial. The filing of evidentiary motions prior to trial is a standard practice. Innovate/Protect expects that the Court will rule on the motions in the days immediately prior to trial.</w:t>
      </w:r>
    </w:p>
    <w:p>
      <w:pPr>
        <w:spacing w:after="0" w:line="181" w:lineRule="exact"/>
        <w:rPr>
          <w:sz w:val="20"/>
          <w:szCs w:val="20"/>
          <w:color w:val="auto"/>
        </w:rPr>
      </w:pPr>
    </w:p>
    <w:p>
      <w:pPr>
        <w:jc w:val="both"/>
        <w:ind w:right="700" w:firstLine="648"/>
        <w:spacing w:after="0" w:line="264" w:lineRule="auto"/>
        <w:rPr>
          <w:sz w:val="20"/>
          <w:szCs w:val="20"/>
          <w:color w:val="auto"/>
        </w:rPr>
      </w:pPr>
      <w:r>
        <w:rPr>
          <w:rFonts w:ascii="Arial" w:cs="Arial" w:eastAsia="Arial" w:hAnsi="Arial"/>
          <w:sz w:val="18"/>
          <w:szCs w:val="18"/>
          <w:color w:val="auto"/>
        </w:rPr>
        <w:t>On September 12, 2012, Defendants filed a motion for summary judgment seeking to dismiss all of Innovate/Protect’s claims. Briefing was concluded on October 3, 2012. On October 4, 2012, the Court denied the Defendants' motion. In addition, the Court ordered the parties to engage in settlement discussions before the US Magistrate Judge on October 9, 2012.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case remains scheduled for trial on October 16,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by Certain Directors and Executive Officers Pursuant to Rule 10b5-1 Plans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October 3, 2012, pursuant to previously entered into pre-arranged trading plans that comply with Rule 10b5-1 under the Securities Exchange Act of 1934, as amended (the “Exchange Act”), certain of our directors and executive officers exercised options to purchase a total of 257,332 shares of our common stock and warrants to purchase a total of 340,910 shares of our common stock and sold an aggregate of 625,222 shares of common stock at sales prices between $4.0018 and $4.250. The exercise of the options and warrants resulted in an aggregate of $606,374.92 proceeds to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 and Corporate Information</w:t>
      </w:r>
    </w:p>
    <w:p>
      <w:pPr>
        <w:spacing w:after="0" w:line="229"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Vringo is headquartered in New York, New York and was incorporated in Delaware in 2006. Vringo’s principal offices are located at 780 Third Avenue, 15th Floor, New York, New York 10017 and its telephone number is (212) 309-7549. Vringo’s principal website is www.vringo.com. The information contained on our website is not incorporated by reference into, and does not form any part of, this prospectus supplement or the accompanying prospectus. We have included our website address as a factual reference and do not intend it to be an active link to our website. Vringo’s common stock is listed on the NYSE MKT and trades under the symbol “VRNG.” Our Annual Reports on Form 10-K, Quarterly Reports on Form 10-Q, Current Reports on Form 8-K, and all amendments to those reports, are available free of charge through the “Investors—SEC Filings” section of our website as soon as reasonably practicable after such materials have been electronically filed with, or furnished to, the SEC.</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20"/>
          </w:cols>
          <w:pgMar w:left="240" w:top="904"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10,344,998 shares</w:t>
      </w:r>
    </w:p>
    <w:p>
      <w:pPr>
        <w:spacing w:after="0" w:line="211" w:lineRule="exact"/>
        <w:rPr>
          <w:sz w:val="20"/>
          <w:szCs w:val="20"/>
          <w:color w:val="auto"/>
        </w:rPr>
      </w:pPr>
    </w:p>
    <w:p>
      <w:pPr>
        <w:sectPr>
          <w:pgSz w:w="11900" w:h="16838" w:orient="portrait"/>
          <w:cols w:equalWidth="0" w:num="2">
            <w:col w:w="6360" w:space="720"/>
            <w:col w:w="4340"/>
          </w:cols>
          <w:pgMar w:left="240" w:top="90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75,756,269 shares</w:t>
      </w:r>
    </w:p>
    <w:p>
      <w:pPr>
        <w:spacing w:after="0" w:line="211" w:lineRule="exact"/>
        <w:rPr>
          <w:sz w:val="20"/>
          <w:szCs w:val="20"/>
          <w:color w:val="auto"/>
        </w:rPr>
      </w:pPr>
    </w:p>
    <w:p>
      <w:pPr>
        <w:sectPr>
          <w:pgSz w:w="11900" w:h="16838" w:orient="portrait"/>
          <w:cols w:equalWidth="0" w:num="2">
            <w:col w:w="6360" w:space="720"/>
            <w:col w:w="4340"/>
          </w:cols>
          <w:pgMar w:left="240" w:top="90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Price per share of common stock</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$4.35</w:t>
      </w:r>
    </w:p>
    <w:p>
      <w:pPr>
        <w:spacing w:after="0" w:line="211" w:lineRule="exact"/>
        <w:rPr>
          <w:sz w:val="20"/>
          <w:szCs w:val="20"/>
          <w:color w:val="auto"/>
        </w:rPr>
      </w:pPr>
    </w:p>
    <w:p>
      <w:pPr>
        <w:sectPr>
          <w:pgSz w:w="11900" w:h="16838" w:orient="portrait"/>
          <w:cols w:equalWidth="0" w:num="2">
            <w:col w:w="6360" w:space="720"/>
            <w:col w:w="4340"/>
          </w:cols>
          <w:pgMar w:left="240" w:top="90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We intend to use the proceeds from this offering for general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corporate working capital purposes. See “Use of Proceeds”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page S-6 of this prospectus supplement.</w:t>
      </w:r>
    </w:p>
    <w:p>
      <w:pPr>
        <w:spacing w:after="0" w:line="200" w:lineRule="exact"/>
        <w:rPr>
          <w:sz w:val="20"/>
          <w:szCs w:val="20"/>
          <w:color w:val="auto"/>
        </w:rPr>
      </w:pPr>
    </w:p>
    <w:p>
      <w:pPr>
        <w:sectPr>
          <w:pgSz w:w="11900" w:h="16838" w:orient="portrait"/>
          <w:cols w:equalWidth="0" w:num="2">
            <w:col w:w="6360" w:space="720"/>
            <w:col w:w="4340"/>
          </w:cols>
          <w:pgMar w:left="240" w:top="904"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Investing in our common stock involves a high degree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risk. See “Risk Factors” beginning on page S-5 and page 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accompanying prospectus.</w:t>
      </w:r>
    </w:p>
    <w:p>
      <w:pPr>
        <w:spacing w:after="0" w:line="200" w:lineRule="exact"/>
        <w:rPr>
          <w:sz w:val="20"/>
          <w:szCs w:val="20"/>
          <w:color w:val="auto"/>
        </w:rPr>
      </w:pPr>
    </w:p>
    <w:p>
      <w:pPr>
        <w:sectPr>
          <w:pgSz w:w="11900" w:h="16838" w:orient="portrait"/>
          <w:cols w:equalWidth="0" w:num="2">
            <w:col w:w="6360" w:space="720"/>
            <w:col w:w="4340"/>
          </w:cols>
          <w:pgMar w:left="240" w:top="904"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NYSE MKT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VRNG</w:t>
      </w:r>
    </w:p>
    <w:p>
      <w:pPr>
        <w:spacing w:after="0" w:line="200" w:lineRule="exact"/>
        <w:rPr>
          <w:sz w:val="20"/>
          <w:szCs w:val="20"/>
          <w:color w:val="auto"/>
        </w:rPr>
      </w:pPr>
    </w:p>
    <w:p>
      <w:pPr>
        <w:sectPr>
          <w:pgSz w:w="11900" w:h="16838" w:orient="portrait"/>
          <w:cols w:equalWidth="0" w:num="2">
            <w:col w:w="6360" w:space="720"/>
            <w:col w:w="4340"/>
          </w:cols>
          <w:pgMar w:left="240" w:top="904" w:right="239" w:bottom="1440" w:gutter="0" w:footer="0" w:header="0"/>
          <w:type w:val="continuous"/>
        </w:sectPr>
      </w:pPr>
    </w:p>
    <w:p>
      <w:pPr>
        <w:spacing w:after="0" w:line="3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number of shares to be outstanding after this offering is based on 65,411,271 shares of common stock outstanding as of October 4, 2012. It does not include:</w:t>
      </w:r>
    </w:p>
    <w:p>
      <w:pPr>
        <w:spacing w:after="0" w:line="170" w:lineRule="exact"/>
        <w:rPr>
          <w:sz w:val="20"/>
          <w:szCs w:val="20"/>
          <w:color w:val="auto"/>
        </w:rPr>
      </w:pPr>
    </w:p>
    <w:p>
      <w:pPr>
        <w:ind w:left="1380" w:right="20" w:hanging="683"/>
        <w:spacing w:after="0" w:line="277"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9,434,660 shares of our common stock issuable upon exercise of stock options outstanding as of October 4, 2012 under our equity incentive plan as of that date, at a weighted average exercise price of $3.23 per share;</w:t>
      </w:r>
    </w:p>
    <w:p>
      <w:pPr>
        <w:spacing w:after="0" w:line="170" w:lineRule="exact"/>
        <w:rPr>
          <w:rFonts w:ascii="Arial" w:cs="Arial" w:eastAsia="Arial" w:hAnsi="Arial"/>
          <w:sz w:val="18"/>
          <w:szCs w:val="18"/>
          <w:color w:val="auto"/>
        </w:rPr>
      </w:pPr>
    </w:p>
    <w:p>
      <w:pPr>
        <w:ind w:left="1380" w:hanging="683"/>
        <w:spacing w:after="0" w:line="277"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3,123,334 shares of our common stock underlying restricted stock units outstanding as of October 4, 2012 pursuant to our equity incentive plan for employees, directors and consultants;</w:t>
      </w:r>
    </w:p>
    <w:p>
      <w:pPr>
        <w:spacing w:after="0" w:line="170" w:lineRule="exact"/>
        <w:rPr>
          <w:rFonts w:ascii="Arial" w:cs="Arial" w:eastAsia="Arial" w:hAnsi="Arial"/>
          <w:sz w:val="18"/>
          <w:szCs w:val="18"/>
          <w:color w:val="auto"/>
        </w:rPr>
      </w:pPr>
    </w:p>
    <w:p>
      <w:pPr>
        <w:ind w:left="1380" w:hanging="683"/>
        <w:spacing w:after="0" w:line="277"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6,998,333 shares of our common stock are available as of October 4, 2012 for future grant or issuance pursuant to our 2012 stock-based plan for employees, directors and consultants; and</w:t>
      </w:r>
    </w:p>
    <w:p>
      <w:pPr>
        <w:spacing w:after="0" w:line="170" w:lineRule="exact"/>
        <w:rPr>
          <w:rFonts w:ascii="Arial" w:cs="Arial" w:eastAsia="Arial" w:hAnsi="Arial"/>
          <w:sz w:val="18"/>
          <w:szCs w:val="18"/>
          <w:color w:val="auto"/>
        </w:rPr>
      </w:pPr>
    </w:p>
    <w:p>
      <w:pPr>
        <w:ind w:left="1380" w:right="20" w:hanging="683"/>
        <w:spacing w:after="0" w:line="277"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21,538,440 shares of common stock issuable upon the exercise of warrants outstanding as of October 4, 2012 at a weighted-average exercise price of $2.48 per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An investment in our common stock involves a high degree of risk. Before deciding whether to invest in our common stock, you should consider carefully the risks discussed under the section captioned “Risk Factors” contained in our most recent annual report on Form 10-K, as revised or supplemented by our subsequent quarterly reports on Form 10-Q and our current reports on Form 8-K on file with the SEC, all of which are incorporated herein by reference, and which may be amended, supplemented or superseded from time to time by other reports we file with the SEC which are incorporated by reference in the prospectus supplement and the accompanying prospectus in their entirety, together with other information in this prospectus supplement, the accompanying prospectus and the information and documents incorporated by reference. If any of these risks actually occurs, our business, financial condition, results of operation or cash flow could be seriously harmed. This could cause the trading price of our common stock to decline, resulting in a loss of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in this offering will experience immediate substantial dilution in the net tangible book value per share.</w:t>
      </w:r>
    </w:p>
    <w:p>
      <w:pPr>
        <w:spacing w:after="0" w:line="22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You will suffer substantial dilution in the net tangible book value of the common stock you purchase in this offering because the price per share of our common stock being offered hereby is substantially higher than the book value per share of our common stock. On a pro forma basis, after giving effect to the consummation of the merger with Innovate/Protect and subsequent conversions of preferred shares and warrants, our net tangible book value as of June 30, 2012 would have been approximately $(0.48) per share of common stock. Based on an offering price of $4.35 per share in this offering, if you purchase shares of common stock in this offering, you will suffer immediate and substantial dilution of $4.71 per share in the net tangible book value of the common stock.</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Factors that could cause our actual results to differ materially include, but are not limited to:</w:t>
      </w:r>
    </w:p>
    <w:p>
      <w:pPr>
        <w:spacing w:after="0" w:line="193" w:lineRule="exact"/>
        <w:rPr>
          <w:sz w:val="20"/>
          <w:szCs w:val="20"/>
          <w:color w:val="auto"/>
        </w:rPr>
      </w:pPr>
    </w:p>
    <w:p>
      <w:pPr>
        <w:ind w:left="1160" w:right="340" w:hanging="463"/>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realize the potential value created by the merger with Innovate/Protect and subsequent acquisitions of patent assets for our stockholders;</w:t>
      </w:r>
    </w:p>
    <w:p>
      <w:pPr>
        <w:spacing w:after="0" w:line="170" w:lineRule="exact"/>
        <w:rPr>
          <w:rFonts w:ascii="Arial" w:cs="Arial" w:eastAsia="Arial" w:hAnsi="Arial"/>
          <w:sz w:val="18"/>
          <w:szCs w:val="18"/>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raise additional capital to fund our operations and business plan;</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maintain the listing of our securities on the NYSE MKT;</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lack of market acceptance of our products;</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competition from other providers and products;</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inability to license and monetize our patents, including the outcome of the litigation against online search firms and other companies; and</w:t>
      </w:r>
    </w:p>
    <w:p>
      <w:pPr>
        <w:spacing w:after="0" w:line="248" w:lineRule="exact"/>
        <w:rPr>
          <w:rFonts w:ascii="Arial" w:cs="Arial" w:eastAsia="Arial" w:hAnsi="Arial"/>
          <w:sz w:val="16"/>
          <w:szCs w:val="16"/>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monetize and recoup our investment with respect to patent assets that we acquire.</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under the heading “Risk Factors” on page S-5 of this prospectus supplement and page 7 of the accompanying prospectus and in our SEC filings. Also, these forward-looking statements represent our estimates and assumptions only as of the date of the document containing the applicable statement.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 w:name="page9"/>
    <w:bookmarkEnd w:id="8"/>
    <w:p>
      <w:pPr>
        <w:ind w:firstLine="648"/>
        <w:spacing w:after="0" w:line="276" w:lineRule="auto"/>
        <w:rPr>
          <w:sz w:val="20"/>
          <w:szCs w:val="20"/>
          <w:color w:val="auto"/>
        </w:rPr>
      </w:pPr>
      <w:r>
        <w:rPr>
          <w:rFonts w:ascii="Arial" w:cs="Arial" w:eastAsia="Arial" w:hAnsi="Arial"/>
          <w:sz w:val="17"/>
          <w:szCs w:val="17"/>
          <w:color w:val="auto"/>
        </w:rPr>
        <w:t>You should read this prospectus supplement, the accompanying prospectus and the documents we have filed with the SEC that are incorporated by reference completely and with the understanding that our actual future results may be materially different from what we expect. We qualify all of the forward-looking statements in the foregoing documents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net proceeds from the sale of all 10,344,998 shares in this offering are estimated to be approximately $44.9 million, after deducting estimated offering expenses of $100,000 payable by us. We intend to use the net proceeds from this offering for general corporate working capital purposes.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Our common stock is listed on NYSE MKT under the symbol “VRNG.” The last reported sale price for our common stock on October 4, 2012 was $5.25 per share. The table below sets forth information on the range of high and low sales prices for our common stock during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5"/>
          </w:tcPr>
          <w:p>
            <w:pPr>
              <w:ind w:left="320"/>
              <w:spacing w:after="0"/>
              <w:rPr>
                <w:sz w:val="20"/>
                <w:szCs w:val="20"/>
                <w:color w:val="auto"/>
              </w:rPr>
            </w:pPr>
            <w:r>
              <w:rPr>
                <w:rFonts w:ascii="Arial" w:cs="Arial" w:eastAsia="Arial" w:hAnsi="Arial"/>
                <w:sz w:val="18"/>
                <w:szCs w:val="18"/>
                <w:b w:val="1"/>
                <w:bCs w:val="1"/>
                <w:color w:val="auto"/>
              </w:rPr>
              <w:t>Vringo Common Stock</w:t>
            </w:r>
          </w:p>
        </w:tc>
        <w:tc>
          <w:tcPr>
            <w:tcW w:w="0" w:type="dxa"/>
            <w:vAlign w:val="bottom"/>
          </w:tcPr>
          <w:p>
            <w:pPr>
              <w:spacing w:after="0"/>
              <w:rPr>
                <w:sz w:val="1"/>
                <w:szCs w:val="1"/>
                <w:color w:val="auto"/>
              </w:rPr>
            </w:pPr>
          </w:p>
        </w:tc>
      </w:tr>
      <w:tr>
        <w:trPr>
          <w:trHeight w:val="223"/>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Fiscal Year 2010</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740"/>
              <w:spacing w:after="0"/>
              <w:rPr>
                <w:sz w:val="20"/>
                <w:szCs w:val="20"/>
                <w:color w:val="auto"/>
              </w:rPr>
            </w:pPr>
            <w:r>
              <w:rPr>
                <w:rFonts w:ascii="Arial" w:cs="Arial" w:eastAsia="Arial" w:hAnsi="Arial"/>
                <w:sz w:val="18"/>
                <w:szCs w:val="18"/>
                <w:b w:val="1"/>
                <w:bCs w:val="1"/>
                <w:color w:val="auto"/>
              </w:rPr>
              <w:t>High</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Low</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Third Quarter</w:t>
            </w:r>
            <w:r>
              <w:rPr>
                <w:rFonts w:ascii="Arial" w:cs="Arial" w:eastAsia="Arial" w:hAnsi="Arial"/>
                <w:sz w:val="29"/>
                <w:szCs w:val="29"/>
                <w:color w:val="auto"/>
                <w:vertAlign w:val="superscript"/>
              </w:rPr>
              <w:t>(1)</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3.30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Fiscal Year 2011</w:t>
            </w:r>
          </w:p>
        </w:tc>
        <w:tc>
          <w:tcPr>
            <w:tcW w:w="2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3.30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2.63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1.89</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Fiscal Year 2012</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spacing w:after="0"/>
              <w:rPr>
                <w:sz w:val="20"/>
                <w:szCs w:val="20"/>
                <w:color w:val="auto"/>
              </w:rPr>
            </w:pPr>
            <w:r>
              <w:rPr>
                <w:rFonts w:ascii="Arial" w:cs="Arial" w:eastAsia="Arial" w:hAnsi="Arial"/>
                <w:sz w:val="18"/>
                <w:szCs w:val="18"/>
                <w:color w:val="auto"/>
              </w:rPr>
              <w:t>First Quarter</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Second Quarter</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5.45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500" w:type="dxa"/>
            <w:vAlign w:val="bottom"/>
            <w:shd w:val="clear" w:color="auto" w:fill="CCFFCC"/>
          </w:tcPr>
          <w:p>
            <w:pPr>
              <w:spacing w:after="0"/>
              <w:rPr>
                <w:sz w:val="20"/>
                <w:szCs w:val="20"/>
                <w:color w:val="auto"/>
              </w:rPr>
            </w:pPr>
            <w:r>
              <w:rPr>
                <w:rFonts w:ascii="Arial" w:cs="Arial" w:eastAsia="Arial" w:hAnsi="Arial"/>
                <w:sz w:val="18"/>
                <w:szCs w:val="18"/>
                <w:color w:val="auto"/>
              </w:rPr>
              <w:t>Third Quarter</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4.32</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Fourth Quarter (through October 4, 2012)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5.55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Vringo shares of common stock commenced trading on the NYSE MKT (formerly, NYSE Amex) on June 22, 2010.</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earnings, if any, to finance the growth and development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selling 10,344,998 of our shares of common stock offered under this prospectus supplement directly to several investors in a privately negotiated transaction in which no party is acting as an underwriter or placement agent. Subject to the terms of subscription agreements dated the date of this prospectus supplement, the purchasers have agreed to purchase and we have agreed to sell to the purchasers an aggregate of 10,344,998 shares of our common stock at a price of $4.35 per share of common stock. In order to comply with certain rules and regulations of the NYSE MKT, the shares will be sold at a price per share of $4.35, which is above the closing price of our common stock of $4.30 as reported on the NYSE MKT on October 3, 2012. We expect to deliver the shares of common stock through the book entry facilities of The Depository Trust Company against payment of the aggregate purchase price for the shares of common stock purchased.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Mintz, Levin, Cohn, Ferris, Glovsky and Popeo, P.C., New York, New York.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60" w:firstLine="441"/>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have been incorporated by reference herein in reliance upon the report of Somekh Chaikin, a member firm of KPMG International, independent registered public accounting firm, incorporated by reference herein, and upon the authority of said firm as experts in accounting and auditing.</w:t>
      </w:r>
    </w:p>
    <w:p>
      <w:pPr>
        <w:spacing w:after="0" w:line="17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81"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The audited consolidated financial statements of Innovate/Protect,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in giving said report.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w:t>
      </w:r>
      <w:r>
        <w:rPr>
          <w:rFonts w:ascii="Arial" w:cs="Arial" w:eastAsia="Arial" w:hAnsi="Arial"/>
          <w:sz w:val="18"/>
          <w:szCs w:val="18"/>
          <w:i w:val="1"/>
          <w:iCs w:val="1"/>
          <w:color w:val="auto"/>
        </w:rPr>
        <w:t>http://www.sec.gov.</w:t>
      </w:r>
    </w:p>
    <w:p>
      <w:pPr>
        <w:spacing w:after="0" w:line="18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This prospectus supplement and the accompanying prospectus are only part of a registration statement on Form S-3 that we have filed with the SEC under the Securities Act of 1933, as amended, and therefore omits certain information contained in the registration statement. We have also filed exhibits and schedules with the registration statement that are excluded from this prospectus supplement,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5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www.vringo.com</w:t>
      </w:r>
      <w:r>
        <w:rPr>
          <w:rFonts w:ascii="Arial" w:cs="Arial" w:eastAsia="Arial" w:hAnsi="Arial"/>
          <w:sz w:val="18"/>
          <w:szCs w:val="18"/>
          <w:color w:val="auto"/>
        </w:rPr>
        <w:t>, through which you can access our SEC filings. The information set forth on our website is not part of this prospectus supplement.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SEC allows us to “incorporate by reference” information from other documents that we file with them, which means that we can disclose important information in this prospectus supplement by referring to those documents. The information incorporated by reference is considered to be part of this prospectus supplement, and information that we file later with the SEC will automatically update and supersede the information in this prospectus supplement. We incorporate by reference the following documents (unless otherwise noted, the SEC file number for each of the documents listed below is 001-34785):</w:t>
      </w:r>
    </w:p>
    <w:p>
      <w:pPr>
        <w:spacing w:after="0" w:line="188" w:lineRule="exact"/>
        <w:rPr>
          <w:sz w:val="20"/>
          <w:szCs w:val="20"/>
          <w:color w:val="auto"/>
        </w:rPr>
      </w:pPr>
    </w:p>
    <w:p>
      <w:pPr>
        <w:ind w:left="1380" w:hanging="683"/>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on March 30, 2012;</w:t>
      </w:r>
    </w:p>
    <w:p>
      <w:pPr>
        <w:spacing w:after="0" w:line="225" w:lineRule="exact"/>
        <w:rPr>
          <w:rFonts w:ascii="Arial" w:cs="Arial" w:eastAsia="Arial" w:hAnsi="Arial"/>
          <w:sz w:val="18"/>
          <w:szCs w:val="18"/>
          <w:color w:val="auto"/>
        </w:rPr>
      </w:pPr>
    </w:p>
    <w:p>
      <w:pPr>
        <w:ind w:left="1380" w:hanging="683"/>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Reports on Form 10-Q, filed on May 15, 2012 and August 14, 2012;</w:t>
      </w:r>
    </w:p>
    <w:p>
      <w:pPr>
        <w:spacing w:after="0" w:line="225" w:lineRule="exact"/>
        <w:rPr>
          <w:rFonts w:ascii="Arial" w:cs="Arial" w:eastAsia="Arial" w:hAnsi="Arial"/>
          <w:sz w:val="18"/>
          <w:szCs w:val="18"/>
          <w:color w:val="auto"/>
        </w:rPr>
      </w:pPr>
    </w:p>
    <w:p>
      <w:pPr>
        <w:jc w:val="both"/>
        <w:ind w:left="1380" w:hanging="683"/>
        <w:spacing w:after="0" w:line="264"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Reports on Form 8-K filed on February 7, 2012, February 14, 2012, February 15, 2012, March 14, 2012, April 25, 2012, June 19, 2012, two filed on July 20, 2012, August 9, 2012, two filed on August 14, 2012, August 29, 2012, August 31, 2012, September 7, 2012 and September 26, 2012;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ind w:left="1380" w:hanging="683"/>
        <w:spacing w:after="0" w:line="279" w:lineRule="auto"/>
        <w:tabs>
          <w:tab w:leader="none" w:pos="1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description of our common stock and public warrants contained in our Registration Statement on Form 8-A, filed on June 16, 2010 (File No. 001-34785), which incorporates by reference the description of the shares of our common stock and public warrants contained in our Registration Statement on Form S-1 (File No. 333-164575) filed on January 29, 2010 and declared effective by the SEC on June 21, 2010, and any amendment or reports filed with the SEC for purposes of updating such description; and</w:t>
      </w:r>
    </w:p>
    <w:p>
      <w:pPr>
        <w:spacing w:after="0" w:line="171" w:lineRule="exact"/>
        <w:rPr>
          <w:rFonts w:ascii="Arial" w:cs="Arial" w:eastAsia="Arial" w:hAnsi="Arial"/>
          <w:sz w:val="17"/>
          <w:szCs w:val="17"/>
          <w:color w:val="auto"/>
        </w:rPr>
      </w:pPr>
    </w:p>
    <w:p>
      <w:pPr>
        <w:jc w:val="both"/>
        <w:ind w:left="1380" w:hanging="683"/>
        <w:spacing w:after="0" w:line="312" w:lineRule="auto"/>
        <w:tabs>
          <w:tab w:leader="none" w:pos="1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reports and other documents subsequently filed by us pursuant to Sections 13(a), 13(c), 14 and 15(d) of the Securities Exchange Act of 1934, as amended, after the date of this prospectus supplement and prior to the termination of this offering shall be deemed to be incorporated by reference in this prospectus supplement and to be a part hereof from the date of filing such reports and other documents.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 statement contained in a document incorporated by reference into this prospectus supplement and the accompanying prospectus shall be deemed to be modified or superseded for purposes of this prospectus supplement and the accompanying prospectus to the extent that a statement contained in this prospectus supplement, the accompanying prospectus or in any other subsequently filed document which is also incorporated in this prospectus supplement or the accompanying prospectus modifies or replaces such statement. Any statements so modified or superseded shall not be deemed, except as so modified or superseded, to constitute a part of this prospectus supplement or the accompanying prospectus.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780 Third Avenue, 15th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309-7549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prospectus will allow us to issue, from time to time at prices and on terms to be determined at or prior to the time of the offering,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$100,000,000 of any combination of the securities described in this prospectus, either individually or in units. We may also offer common stock or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upon conversion of or exchange for the debt securities; common stock upon conversion of or exchange for the preferred stock; common stock, preferred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or debt securities upon the exercise of warrants, rights or performance of purchase contracts; or any combination of these securities upon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performance of purchase contracts.</w:t>
      </w:r>
    </w:p>
    <w:p>
      <w:pPr>
        <w:spacing w:after="0" w:line="211" w:lineRule="exact"/>
        <w:rPr>
          <w:sz w:val="20"/>
          <w:szCs w:val="20"/>
          <w:color w:val="auto"/>
        </w:rPr>
      </w:pPr>
    </w:p>
    <w:p>
      <w:pPr>
        <w:ind w:firstLine="661"/>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ind w:firstLine="661"/>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109220</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5" w:lineRule="exact"/>
        <w:rPr>
          <w:sz w:val="20"/>
          <w:szCs w:val="20"/>
          <w:color w:val="auto"/>
        </w:rPr>
      </w:pPr>
    </w:p>
    <w:p>
      <w:pPr>
        <w:jc w:val="both"/>
        <w:ind w:right="180" w:firstLine="661"/>
        <w:spacing w:after="0" w:line="259" w:lineRule="auto"/>
        <w:rPr>
          <w:sz w:val="20"/>
          <w:szCs w:val="20"/>
          <w:color w:val="auto"/>
        </w:rPr>
      </w:pPr>
      <w:r>
        <w:rPr>
          <w:rFonts w:ascii="Arial" w:cs="Arial" w:eastAsia="Arial" w:hAnsi="Arial"/>
          <w:sz w:val="18"/>
          <w:szCs w:val="18"/>
          <w:color w:val="auto"/>
        </w:rPr>
        <w:t>Our common stock is listed on the NYSE MKT under the symbol “VRNG.” On August 2, 2012, the last reported sale price of our common stock was $3.16 per share. The applicable prospectus supplement will contain information, where applicable, as to any other listing, if any, on the NYSE MKT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127635</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40" w:firstLine="661"/>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4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125730</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320" w:firstLine="667"/>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August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720" w:type="dxa"/>
            <w:vAlign w:val="bottom"/>
            <w:gridSpan w:val="3"/>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ABOUT THIS PROSPECTUS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PROSPECTUS SUMMARY</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RISK FACTORS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RATIO OF EARNINGS TO FIXED CHARGES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SPECIAL NOTE REGARDING FORWARD-LOOKING STATEMENTS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UNAUDITED PRO FORMA CONSOLIDATED FINANCIAL INFORMATION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PLAN OF DISTRIBUTION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CAPITAL STOCK</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DEBT SECURITIES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WARRANTS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RIGHTS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PURCHASE CONTRACTS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UNITS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LEGAL MATTERS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EXPERTS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WHERE YOU CAN FIND MORE INFORMATION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INCORPORATION OF INFORMATION BY REFERENCE</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SEC, utilizing a “shelf”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shares of our common stock and preferred stock, various series of debt securities and/or warrants,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or purchase contracts to purchase any of such securities, either individually or in units, in one or more offerings, with a total value of up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$100,000,000. This prospectus provides you with a general description of the securities we may offer. Each time we offer a type or series of securities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we will provide a prospectus supplement that will contain specific information about the terms of that offering.</w:t>
      </w:r>
    </w:p>
    <w:p>
      <w:pPr>
        <w:spacing w:after="0" w:line="211" w:lineRule="exact"/>
        <w:rPr>
          <w:sz w:val="20"/>
          <w:szCs w:val="20"/>
          <w:color w:val="auto"/>
        </w:rPr>
      </w:pPr>
    </w:p>
    <w:p>
      <w:pPr>
        <w:ind w:right="20" w:firstLine="661"/>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8" w:lineRule="exact"/>
        <w:rPr>
          <w:sz w:val="20"/>
          <w:szCs w:val="20"/>
          <w:color w:val="auto"/>
        </w:rPr>
      </w:pPr>
    </w:p>
    <w:p>
      <w:pPr>
        <w:ind w:right="20" w:firstLine="661"/>
        <w:spacing w:after="0" w:line="272"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78" w:lineRule="exact"/>
        <w:rPr>
          <w:sz w:val="20"/>
          <w:szCs w:val="20"/>
          <w:color w:val="auto"/>
        </w:rPr>
      </w:pPr>
    </w:p>
    <w:p>
      <w:pPr>
        <w:ind w:right="60" w:firstLine="661"/>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ind w:right="60" w:firstLine="661"/>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jc w:val="both"/>
        <w:ind w:right="60" w:firstLine="661"/>
        <w:spacing w:after="0" w:line="286" w:lineRule="auto"/>
        <w:rPr>
          <w:sz w:val="20"/>
          <w:szCs w:val="20"/>
          <w:color w:val="auto"/>
        </w:rPr>
      </w:pPr>
      <w:r>
        <w:rPr>
          <w:rFonts w:ascii="Arial" w:cs="Arial" w:eastAsia="Arial" w:hAnsi="Arial"/>
          <w:sz w:val="17"/>
          <w:szCs w:val="17"/>
          <w:color w:val="auto"/>
        </w:rPr>
        <w:t>Unless the context otherwise requires, “Vringo,” “the Company,” “we,” “us,” “our” and similar terms refer to Vringo, Inc. and our subsidiaries prior to the merger described below and also include Innovate/Protect, Inc. and its subsidiaries following the merger described below. Unless stated or the context otherwise requires, references in this prospectus to “Innovate/Protect” refer to Innovate/Protect, Inc. and its subsidiaries.</w:t>
      </w:r>
    </w:p>
    <w:p>
      <w:pPr>
        <w:spacing w:after="0" w:line="166" w:lineRule="exact"/>
        <w:rPr>
          <w:sz w:val="20"/>
          <w:szCs w:val="20"/>
          <w:color w:val="auto"/>
        </w:rPr>
      </w:pPr>
    </w:p>
    <w:p>
      <w:pPr>
        <w:ind w:right="40" w:firstLine="661"/>
        <w:spacing w:after="0" w:line="259" w:lineRule="auto"/>
        <w:rPr>
          <w:sz w:val="20"/>
          <w:szCs w:val="20"/>
          <w:color w:val="auto"/>
        </w:rPr>
      </w:pPr>
      <w:r>
        <w:rPr>
          <w:rFonts w:ascii="Arial" w:cs="Arial" w:eastAsia="Arial" w:hAnsi="Arial"/>
          <w:sz w:val="18"/>
          <w:szCs w:val="18"/>
          <w:color w:val="auto"/>
        </w:rPr>
        <w:t>References to “the merger” refer to the transaction consummated on July 19, 2012, by which Innovate/Protect merged with and into a wholly-owned subsidiary of Vringo, which was renamed Innovate/Protect, Inc. Information about the merger is included in our Current Report on Form 8-K filed with the Commission on July 20, 2012 and incorporated by reference herein. See “Where You Can Find More Information” and “Incorporation of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120" w:firstLine="661"/>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intend to attempt to maximize the economic benefits of our intellectual property portfolio, add significant talent in technological innovation, and potentially enhance our opportunities for revenue generation through the monetization of our assets, including patents owned by Innovate/Protect and the outcome of the litigation against online search companies.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undergo changes in connection with the Merger with Innovate/Protect, Inc. as described below. Prior to the Merger, Vringo was engaged in developing software platforms and applications for mobile devices and Innovate/Protect’s business was to maximize, for inventors and investors, the economic benefits of intellectual property assets through acquiring or internally developing patents or other intellectual property assets. Following the Merger, we have enhanced technology capabilities to create, build and deliver mobile applications and services to our handset and mobile operator partners as well as directly to consumers. We believe that the value of each company’s intellectual property portfolio will be enhanced through the combined company’s ability to license and enforce its intellectual property rights.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have two key areas of operation:</w:t>
      </w:r>
    </w:p>
    <w:p>
      <w:pPr>
        <w:spacing w:after="0" w:line="225"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developed a platform for the distribution of mobile applications. We believe that our technology and business relationships will allow us to distribute new applications and services through:</w:t>
      </w:r>
    </w:p>
    <w:p>
      <w:pPr>
        <w:spacing w:after="0" w:line="170" w:lineRule="exact"/>
        <w:rPr>
          <w:sz w:val="20"/>
          <w:szCs w:val="20"/>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intend to expand our intellectual property portfolio through both internal development and acquisition. We believe that our experience and liquidity will enable us to expand our intellectual property portfolio as well as create additional intellectually property internally. We intend to monetize our intellectual property through:</w:t>
      </w:r>
    </w:p>
    <w:p>
      <w:pPr>
        <w:spacing w:after="0" w:line="181" w:lineRule="exact"/>
        <w:rPr>
          <w:sz w:val="20"/>
          <w:szCs w:val="20"/>
          <w:color w:val="auto"/>
        </w:rPr>
      </w:pPr>
    </w:p>
    <w:p>
      <w:pPr>
        <w:ind w:left="1960" w:hanging="331"/>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continue to actively seek to broaden our intellectual property portfolio. Our philosophy is to seek to acquire intellectual property and technology. We are reviewing portfolio opportunities with a view toward acquiring those which we believe have potential for monetization through licensing opportunities or enforcement. We are actively engaged in due diligence with respect to a number of patent and intellectual property portfolios and are in advanced discussions as to the acquisition of several such portfolios. We will likely need to raise additional capital to make any such acquisition. There is no assurance that we will succeed in acquiring any such portfolios, as to the terms of any such acquisition or that we will successfully monetize any portfolio that we acquire.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Innovate/Protect</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March 12, 2012, we entered into an Agreement and Plan of Merger (the “Merger Agreement”) with VIP Merger Sub, Inc., a Delaware corporation and our wholly-owned subsidiary (“Merger Sub”), and Innovate/Protect, Inc., a Delaware corporation and an intellectual property firm founded in 2011, whose wholly-owned subsidiary, I/P Engine, holds eight patents that were acquired from Lycos Inc. (“Innovate/Protect”), pursuant to which Innovate/Protect merged with and into Merger Sub, with Merger Sub being the surviving corporation renamed Innovate/Protect, Inc. (the “Surviving Corporation”) through an exchange of capital stock of Innovate/Protect for capital stock of Vringo (the “Merger”). The Merger was approved by our stockholders at our annual meeting of stockholders held on July 19, 2012 and we consummated the Merger on July 19, 2012.</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connection with the Merger, we caused to be issued, as of the closing date, our securities to Innovate/Protect’s stockholders in exchange for the capital stock owned by Innovate/Protect stockholders, as follows (the “Merger Consideration”): (i) an aggregate of 18,617,569 shares of our common stock, par value $0.01 per share, (ii) an aggregate of 6,673 shares of our Series A Preferred Stock, par value $0.01 per share, convertible into an aggregate of 20,136,445 shares of common stock, (iii) an aggregate of 8,299,116 Series 1 warrants to purchase up to an aggregate 8,299,116 shares of common stock, with an exercise price of $1.76 per share and expiring on July 19, 2017, and (iv) an aggregate of 7,660,722 Series 2 warrants to purchase up to an aggregate of 7,660,722 shares of common stock, with an exercise price of $1.76 per share and expiring on July 19, 2017. In addition, we assumed an option to purchase an aggregate of 41,178 shares of common stock at an exercise price of $0.994 per share, in exchange for the outstanding and unexercised stock option to purchase shares of Innovate/Protect’s common stock.</w:t>
      </w:r>
    </w:p>
    <w:p>
      <w:pPr>
        <w:sectPr>
          <w:pgSz w:w="11900" w:h="16838" w:orient="portrait"/>
          <w:cols w:equalWidth="0" w:num="1">
            <w:col w:w="11420"/>
          </w:cols>
          <w:pgMar w:left="240" w:top="877"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right="40" w:firstLine="648"/>
        <w:spacing w:after="0" w:line="259" w:lineRule="auto"/>
        <w:rPr>
          <w:sz w:val="20"/>
          <w:szCs w:val="20"/>
          <w:color w:val="auto"/>
        </w:rPr>
      </w:pPr>
      <w:r>
        <w:rPr>
          <w:rFonts w:ascii="Arial" w:cs="Arial" w:eastAsia="Arial" w:hAnsi="Arial"/>
          <w:sz w:val="18"/>
          <w:szCs w:val="18"/>
          <w:color w:val="auto"/>
        </w:rPr>
        <w:t>As a result of the consummation of the Merger, as of the closing date, the former stockholders of Innovate/Protect own approximately 55.04% of the outstanding shares of our common stock (or 67.61% of the outstanding shares of our common stock calculated on a fully diluted basis) and our stockholders prior to the Merger own approximately 44.96% of the outstanding shares of our common stock (or 32.39% of the outstanding shares of our common stock calculated on a fully diluted basis) and a change of control may be deemed to have occurred.</w:t>
      </w:r>
    </w:p>
    <w:p>
      <w:pPr>
        <w:spacing w:after="0" w:line="187"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For accounting purposes, the Merger is treated as a “reverse acquisition” and Innovate/Protect is considered the accounting acquirer. Accordingly, Innovate/Protect will be reflected as the predecessor and acquirer in our financial statements. Our financial statements will reflect the historical financial statements of Innovate/Protect as our historical financial statements, except for the legal capital which will reflect Vringo's legal capital (common stock).</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financial statements appearing in our Annual Report on Form 10-K, and which are incorporated by reference in this document do not reflect this adjustment, and include the historical financial information of Vringo. The Forms 8-K incorporated by reference herein include both financial information of Innovate/Protect as well as pro forma information intended to show how the Merger might have affected historical financial statements if the Merger had been completed on June 8, 2011, for the purposes of the statements of operations, and March 31, 2012, and December 31, 2011, for the purposes of the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Our applications and services have been launched with ten carriers in eight markets. The billing integrations that we have with these operators are of significant strategic value to our operations. In addition, we have deals in place with two of the four largest handset makers in the world. We also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 While our current portfolio of applications and services represents what we believe to be cutting edge mobile technology that can work across many operating systems, we recognize that the pace at which the mobile landscape is changing has increased and the two most dominant operating systems are Google’s Android and Apple’s iOS. Moving forward, we intend to develop additional applications and services for these two key operating systems, as well as other dominant smartphone operating systems that may emerge. We believe that we can leverage our existing distribution and relationships to promote apps and services for these two operating systems.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21" w:lineRule="exact"/>
        <w:rPr>
          <w:sz w:val="20"/>
          <w:szCs w:val="20"/>
          <w:color w:val="auto"/>
        </w:rPr>
      </w:pPr>
    </w:p>
    <w:p>
      <w:pPr>
        <w:ind w:left="1500" w:right="360" w:hanging="682"/>
        <w:spacing w:after="0" w:line="282" w:lineRule="auto"/>
        <w:tabs>
          <w:tab w:leader="none" w:pos="1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our original product platform that allows users to create, download and share mobile entertainment content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video ringtones for mobile phones;</w:t>
      </w:r>
    </w:p>
    <w:p>
      <w:pPr>
        <w:spacing w:after="0" w:line="161" w:lineRule="exact"/>
        <w:rPr>
          <w:rFonts w:ascii="Arial" w:cs="Arial" w:eastAsia="Arial" w:hAnsi="Arial"/>
          <w:sz w:val="18"/>
          <w:szCs w:val="18"/>
          <w:b w:val="1"/>
          <w:bCs w:val="1"/>
          <w:color w:val="auto"/>
        </w:rPr>
      </w:pPr>
    </w:p>
    <w:p>
      <w:pPr>
        <w:ind w:left="1500" w:hanging="682"/>
        <w:spacing w:after="0"/>
        <w:tabs>
          <w:tab w:leader="none" w:pos="1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25" w:lineRule="exact"/>
        <w:rPr>
          <w:rFonts w:ascii="Arial" w:cs="Arial" w:eastAsia="Arial" w:hAnsi="Arial"/>
          <w:sz w:val="18"/>
          <w:szCs w:val="18"/>
          <w:b w:val="1"/>
          <w:bCs w:val="1"/>
          <w:color w:val="auto"/>
        </w:rPr>
      </w:pPr>
    </w:p>
    <w:p>
      <w:pPr>
        <w:ind w:left="1500" w:hanging="682"/>
        <w:spacing w:after="0" w:line="282" w:lineRule="auto"/>
        <w:tabs>
          <w:tab w:leader="none" w:pos="1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161" w:lineRule="exact"/>
        <w:rPr>
          <w:rFonts w:ascii="Arial" w:cs="Arial" w:eastAsia="Arial" w:hAnsi="Arial"/>
          <w:sz w:val="18"/>
          <w:szCs w:val="18"/>
          <w:b w:val="1"/>
          <w:bCs w:val="1"/>
          <w:color w:val="auto"/>
        </w:rPr>
      </w:pPr>
    </w:p>
    <w:p>
      <w:pPr>
        <w:ind w:left="1500" w:right="140" w:hanging="682"/>
        <w:spacing w:after="0" w:line="282" w:lineRule="auto"/>
        <w:tabs>
          <w:tab w:leader="none" w:pos="1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 television series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stars and vote for contestants.</w:t>
      </w:r>
    </w:p>
    <w:p>
      <w:pPr>
        <w:spacing w:after="0" w:line="16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To develop these platforms, we have leveraged our existing technology, intellectual property and our extensive experience with mobile video, personalization and social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Innovate/Protect, Inc.</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Innovate/Protect is the owner of patent assets acquired from Lycos (the “Lycos Patents”), one of the largest search engine websites of its kind in the mid-late 1990s, with technologies that remain critical to current search platforms.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Through the strategic combination with Innovate/Protect, we expect to substantially increase our intellectual property portfolio, add significant talent in technological innovation, and be positioned to potentially enhance our opportunities for revenue generation through the monetization of the combined company’s assets.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Innovate/Protect’s Initial Litigation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187"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 xml:space="preserve">The court docket for the case, including the parties’ briefs, is publicly available on the Public Access to Court Electronic Records website (“PACER”), </w:t>
      </w:r>
      <w:r>
        <w:rPr>
          <w:rFonts w:ascii="Arial" w:cs="Arial" w:eastAsia="Arial" w:hAnsi="Arial"/>
          <w:sz w:val="18"/>
          <w:szCs w:val="18"/>
          <w:i w:val="1"/>
          <w:iCs w:val="1"/>
          <w:color w:val="auto"/>
        </w:rPr>
        <w:t>www.pacer.gov</w:t>
      </w:r>
      <w:r>
        <w:rPr>
          <w:rFonts w:ascii="Arial" w:cs="Arial" w:eastAsia="Arial" w:hAnsi="Arial"/>
          <w:sz w:val="18"/>
          <w:szCs w:val="18"/>
          <w:color w:val="auto"/>
        </w:rPr>
        <w:t>, which is operated by the Administrative Office of the U.S. Courts.</w:t>
      </w:r>
    </w:p>
    <w:p>
      <w:pPr>
        <w:spacing w:after="0" w:line="170"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w:t>
      </w:r>
    </w:p>
    <w:p>
      <w:pPr>
        <w:sectPr>
          <w:pgSz w:w="11900" w:h="16838" w:orient="portrait"/>
          <w:cols w:equalWidth="0" w:num="1">
            <w:col w:w="11400"/>
          </w:cols>
          <w:pgMar w:left="240" w:top="881" w:right="259" w:bottom="0" w:gutter="0" w:footer="0" w:header="0"/>
        </w:sectPr>
      </w:pPr>
    </w:p>
    <w:bookmarkStart w:id="17" w:name="page18"/>
    <w:bookmarkEnd w:id="17"/>
    <w:p>
      <w:pPr>
        <w:ind w:right="520"/>
        <w:spacing w:after="0" w:line="277" w:lineRule="auto"/>
        <w:rPr>
          <w:sz w:val="20"/>
          <w:szCs w:val="20"/>
          <w:color w:val="auto"/>
        </w:rPr>
      </w:pPr>
      <w:r>
        <w:rPr>
          <w:rFonts w:ascii="Arial" w:cs="Arial" w:eastAsia="Arial" w:hAnsi="Arial"/>
          <w:sz w:val="18"/>
          <w:szCs w:val="18"/>
          <w:color w:val="auto"/>
        </w:rPr>
        <w:t>Innovate/Protect’s relevant filtering patents. Innovate/Protect is seeking unspecified compensatory damages, past and future, amounting to no less than reasonable royalties, and attorneys’ fees.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8" w:name="page19"/>
    <w:bookmarkEnd w:id="18"/>
    <w:p>
      <w:pPr>
        <w:ind w:right="200" w:firstLine="648"/>
        <w:spacing w:after="0" w:line="259"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On March 15, 2012, Google submitted a request to the USPTO for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 On May 24, 2012, Google submitted their request to the USPTO. This resubmission purports to address the issues identified by the USPTO. On July 18, 2012 the USPTO issued a determination ordering a reexamination. Google’s request has not resulted in any delay of the dates set out in the Court's scheduling order dated February 15, 2012.</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Within the Markman,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Markman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is publicly available on the Public Access to Court Electronic Records (PACER) electronic public access service at http://www.pacer.uscourts.gov/, and was also filed by Vringo with the Securities and Exchange Commission.</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Vringo is headquartered in New York, New York and was incorporated in Delaware in 2006. Vringo’s principal offices are located at 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 New York, New York 10001 and its telephone number is (646) 525-4319. Vringo’s principal website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or that can be accessed through Vringo’s website is not part of this prospectus. Vringo’s common stock is listed on the NYSE MKT and trades under the symbol “VRNG.”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ind w:right="20" w:firstLine="661"/>
        <w:spacing w:after="0" w:line="276" w:lineRule="auto"/>
        <w:rPr>
          <w:sz w:val="20"/>
          <w:szCs w:val="20"/>
          <w:color w:val="auto"/>
        </w:rPr>
      </w:pPr>
      <w:r>
        <w:rPr>
          <w:rFonts w:ascii="Arial" w:cs="Arial" w:eastAsia="Arial" w:hAnsi="Arial"/>
          <w:sz w:val="17"/>
          <w:szCs w:val="17"/>
          <w:color w:val="auto"/>
        </w:rPr>
        <w:t>Under this prospectus, we may offer shares of our common stock and preferred stock, various series of debt securities and/or warrants, rights or purchase contracts to purchase any of such securities, either individually or in units, with a total value of up to $100,000,000,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7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redemption, conversion or sinking fund terms,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ind w:firstLine="661"/>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20" w:name="page21"/>
    <w:bookmarkEnd w:id="20"/>
    <w:p>
      <w:pPr>
        <w:ind w:firstLine="661"/>
        <w:spacing w:after="0" w:line="264"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This prospectus may not be used to consummate a sale of any securities unless it is accompanied by a prospectus supplement.</w:t>
      </w: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i w:val="1"/>
          <w:iCs w:val="1"/>
          <w:color w:val="auto"/>
        </w:rPr>
        <w:t>Investing in our securities involves significant risk. Prior to making a decision about investing in our securities, you should carefully consider the specific factors set forth below, together with all of the other information contained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on file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Relating to the Merger</w:t>
      </w:r>
    </w:p>
    <w:p>
      <w:pPr>
        <w:spacing w:after="0" w:line="225" w:lineRule="exact"/>
        <w:rPr>
          <w:sz w:val="20"/>
          <w:szCs w:val="20"/>
          <w:color w:val="auto"/>
        </w:rPr>
      </w:pPr>
    </w:p>
    <w:p>
      <w:pPr>
        <w:ind w:left="500" w:right="320" w:firstLine="270"/>
        <w:spacing w:after="0" w:line="282" w:lineRule="auto"/>
        <w:rPr>
          <w:sz w:val="20"/>
          <w:szCs w:val="20"/>
          <w:color w:val="auto"/>
        </w:rPr>
      </w:pPr>
      <w:r>
        <w:rPr>
          <w:rFonts w:ascii="Arial" w:cs="Arial" w:eastAsia="Arial" w:hAnsi="Arial"/>
          <w:sz w:val="18"/>
          <w:szCs w:val="18"/>
          <w:b w:val="1"/>
          <w:bCs w:val="1"/>
          <w:color w:val="auto"/>
        </w:rPr>
        <w:t>The failure to integrate successfully the businesses of Vringo and Innovate/Protect in the expected timeframe could adversely affect the combined company’s future results following the completion of the Merger.</w:t>
      </w:r>
    </w:p>
    <w:p>
      <w:pPr>
        <w:spacing w:after="0" w:line="166" w:lineRule="exact"/>
        <w:rPr>
          <w:sz w:val="20"/>
          <w:szCs w:val="20"/>
          <w:color w:val="auto"/>
        </w:rPr>
      </w:pPr>
    </w:p>
    <w:p>
      <w:pPr>
        <w:ind w:left="500" w:right="40" w:firstLine="270"/>
        <w:spacing w:after="0" w:line="277" w:lineRule="auto"/>
        <w:rPr>
          <w:sz w:val="20"/>
          <w:szCs w:val="20"/>
          <w:color w:val="auto"/>
        </w:rPr>
      </w:pPr>
      <w:r>
        <w:rPr>
          <w:rFonts w:ascii="Arial" w:cs="Arial" w:eastAsia="Arial" w:hAnsi="Arial"/>
          <w:sz w:val="18"/>
          <w:szCs w:val="18"/>
          <w:color w:val="auto"/>
        </w:rPr>
        <w:t>The success of the Merger will depend, in large part, on the ability of the combined company to realize the anticipated benefits from combining the businesses of Vringo and Innovate/Protect.</w:t>
      </w:r>
    </w:p>
    <w:p>
      <w:pPr>
        <w:spacing w:after="0" w:line="170" w:lineRule="exact"/>
        <w:rPr>
          <w:sz w:val="20"/>
          <w:szCs w:val="20"/>
          <w:color w:val="auto"/>
        </w:rPr>
      </w:pPr>
    </w:p>
    <w:p>
      <w:pPr>
        <w:ind w:left="500" w:right="340" w:firstLine="270"/>
        <w:spacing w:after="0" w:line="277" w:lineRule="auto"/>
        <w:rPr>
          <w:sz w:val="20"/>
          <w:szCs w:val="20"/>
          <w:color w:val="auto"/>
        </w:rPr>
      </w:pPr>
      <w:r>
        <w:rPr>
          <w:rFonts w:ascii="Arial" w:cs="Arial" w:eastAsia="Arial" w:hAnsi="Arial"/>
          <w:sz w:val="18"/>
          <w:szCs w:val="18"/>
          <w:color w:val="auto"/>
        </w:rPr>
        <w:t>The failure to integrate successfully and to manage successfully the challenges presented by the integration process may result in the combined company’s failure to achieve some or all of the anticipated benefits of the Merger.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using the combined company’s cash and other assets efficiently to develop the business of the combined company;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Merger and the operations of the combined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Merger; and</w:t>
      </w:r>
    </w:p>
    <w:p>
      <w:pPr>
        <w:spacing w:after="0" w:line="9" w:lineRule="exact"/>
        <w:rPr>
          <w:rFonts w:ascii="Arial" w:cs="Arial" w:eastAsia="Arial" w:hAnsi="Arial"/>
          <w:sz w:val="18"/>
          <w:szCs w:val="18"/>
          <w:color w:val="auto"/>
        </w:rPr>
      </w:pPr>
    </w:p>
    <w:p>
      <w:pPr>
        <w:ind w:left="980" w:right="140" w:hanging="324"/>
        <w:spacing w:after="0" w:line="261"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the companies’ operations.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We may not realize the potential value and benefits created by the Merger.</w:t>
      </w:r>
    </w:p>
    <w:p>
      <w:pPr>
        <w:spacing w:after="0" w:line="229" w:lineRule="exact"/>
        <w:rPr>
          <w:sz w:val="20"/>
          <w:szCs w:val="20"/>
          <w:color w:val="auto"/>
        </w:rPr>
      </w:pPr>
    </w:p>
    <w:p>
      <w:pPr>
        <w:ind w:left="500" w:right="100" w:firstLine="270"/>
        <w:spacing w:after="0" w:line="259" w:lineRule="auto"/>
        <w:rPr>
          <w:sz w:val="20"/>
          <w:szCs w:val="20"/>
          <w:color w:val="auto"/>
        </w:rPr>
      </w:pPr>
      <w:r>
        <w:rPr>
          <w:rFonts w:ascii="Arial" w:cs="Arial" w:eastAsia="Arial" w:hAnsi="Arial"/>
          <w:sz w:val="18"/>
          <w:szCs w:val="18"/>
          <w:color w:val="auto"/>
        </w:rPr>
        <w:t>The success of the Merger will depend, in part, on our ability to realize the expected potential value and benefits created from integrating Vringo’s existing business with Innovate/Protect’s business, which includes the maximization of the economic benefits of the combined company’s intellectual property portfolio. The integration process may be complex, costly, and time-consuming. The difficulties of integrating the operations of Innovate/Protect’s business could include, among others:</w:t>
      </w:r>
    </w:p>
    <w:p>
      <w:pPr>
        <w:spacing w:after="0" w:line="18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issues in integrating the business of both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lost sales and customers if any customer of Vringo decides not to do business with us after the Merger;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key employees with knowledge of Vringo’s historical business and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 and</w:t>
      </w:r>
    </w:p>
    <w:p>
      <w:pPr>
        <w:spacing w:after="0" w:line="9" w:lineRule="exact"/>
        <w:rPr>
          <w:rFonts w:ascii="Arial" w:cs="Arial" w:eastAsia="Arial" w:hAnsi="Arial"/>
          <w:sz w:val="18"/>
          <w:szCs w:val="18"/>
          <w:color w:val="auto"/>
        </w:rPr>
      </w:pPr>
    </w:p>
    <w:p>
      <w:pPr>
        <w:ind w:left="980" w:right="80" w:hanging="324"/>
        <w:spacing w:after="0" w:line="261"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unanticipated issues, expenses, or liabilities that could impact, among other things, our ability to realize any expected benefits on a timely basis, or at all.</w:t>
      </w:r>
    </w:p>
    <w:p>
      <w:pPr>
        <w:spacing w:after="0" w:line="184" w:lineRule="exact"/>
        <w:rPr>
          <w:sz w:val="20"/>
          <w:szCs w:val="20"/>
          <w:color w:val="auto"/>
        </w:rPr>
      </w:pPr>
    </w:p>
    <w:p>
      <w:pPr>
        <w:ind w:left="500" w:firstLine="270"/>
        <w:spacing w:after="0" w:line="257" w:lineRule="auto"/>
        <w:rPr>
          <w:sz w:val="20"/>
          <w:szCs w:val="20"/>
          <w:color w:val="auto"/>
        </w:rPr>
      </w:pPr>
      <w:r>
        <w:rPr>
          <w:rFonts w:ascii="Arial" w:cs="Arial" w:eastAsia="Arial" w:hAnsi="Arial"/>
          <w:sz w:val="18"/>
          <w:szCs w:val="18"/>
          <w:color w:val="auto"/>
        </w:rPr>
        <w:t>We may not accomplish the integration of Vringo’s and Innovate/Protect’s businesses smoothly, successfully, or within the anticipated costs or time frame. The diversion of the attention of management from our current operations to the integration effort and any difficulties encountered in combining businesses could prevent us from realizing the full expected potential value and benefits to result from the Merger and could adversely affect our business. In addition, the integration efforts could divert the focus and resources of our management from other strategic opportunities and operational matters during the integration process.</w:t>
      </w:r>
    </w:p>
    <w:p>
      <w:pPr>
        <w:spacing w:after="0" w:line="184" w:lineRule="exact"/>
        <w:rPr>
          <w:sz w:val="20"/>
          <w:szCs w:val="20"/>
          <w:color w:val="auto"/>
        </w:rPr>
      </w:pPr>
    </w:p>
    <w:p>
      <w:pPr>
        <w:ind w:left="500" w:right="260" w:firstLine="270"/>
        <w:spacing w:after="0" w:line="282" w:lineRule="auto"/>
        <w:rPr>
          <w:sz w:val="20"/>
          <w:szCs w:val="20"/>
          <w:color w:val="auto"/>
        </w:rPr>
      </w:pPr>
      <w:r>
        <w:rPr>
          <w:rFonts w:ascii="Arial" w:cs="Arial" w:eastAsia="Arial" w:hAnsi="Arial"/>
          <w:sz w:val="18"/>
          <w:szCs w:val="18"/>
          <w:b w:val="1"/>
          <w:bCs w:val="1"/>
          <w:color w:val="auto"/>
        </w:rPr>
        <w:t>We will be dependent on certain key personnel, and the loss of these key personnel could have a material adverse effect on our business, financial condition and results of operations.</w:t>
      </w:r>
    </w:p>
    <w:p>
      <w:pPr>
        <w:spacing w:after="0" w:line="166" w:lineRule="exact"/>
        <w:rPr>
          <w:sz w:val="20"/>
          <w:szCs w:val="20"/>
          <w:color w:val="auto"/>
        </w:rPr>
      </w:pPr>
    </w:p>
    <w:p>
      <w:pPr>
        <w:ind w:left="500" w:firstLine="270"/>
        <w:spacing w:after="0" w:line="259" w:lineRule="auto"/>
        <w:rPr>
          <w:sz w:val="20"/>
          <w:szCs w:val="20"/>
          <w:color w:val="auto"/>
        </w:rPr>
      </w:pPr>
      <w:r>
        <w:rPr>
          <w:rFonts w:ascii="Arial" w:cs="Arial" w:eastAsia="Arial" w:hAnsi="Arial"/>
          <w:sz w:val="18"/>
          <w:szCs w:val="18"/>
          <w:color w:val="auto"/>
        </w:rPr>
        <w:t>Our success and future prospects largely depend on the skills, experience and efforts of our key personnel, including Andrew D. Perlman, our Chief Executive Officer, and Andrew Kennedy Lang, our Chief Technology Officer and President. The loss of Messrs. Perlman or Lang or other executives of our company, or our failure to retain other key personnel, would jeopardize our ability to execute our strategic plan and materially harm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2" w:name="page23"/>
    <w:bookmarkEnd w:id="22"/>
    <w:p>
      <w:pPr>
        <w:ind w:right="200" w:firstLine="270"/>
        <w:spacing w:after="0" w:line="282" w:lineRule="auto"/>
        <w:rPr>
          <w:sz w:val="20"/>
          <w:szCs w:val="20"/>
          <w:color w:val="auto"/>
        </w:rPr>
      </w:pPr>
      <w:r>
        <w:rPr>
          <w:rFonts w:ascii="Arial" w:cs="Arial" w:eastAsia="Arial" w:hAnsi="Arial"/>
          <w:sz w:val="18"/>
          <w:szCs w:val="18"/>
          <w:b w:val="1"/>
          <w:bCs w:val="1"/>
          <w:color w:val="auto"/>
        </w:rPr>
        <w:t>The Merger resulted in changes to our board of directors and we may pursue different strategies than either Vringo or Innovate/Protect may have pursued independently.</w:t>
      </w:r>
    </w:p>
    <w:p>
      <w:pPr>
        <w:spacing w:after="0" w:line="166" w:lineRule="exact"/>
        <w:rPr>
          <w:sz w:val="20"/>
          <w:szCs w:val="20"/>
          <w:color w:val="auto"/>
        </w:rPr>
      </w:pPr>
    </w:p>
    <w:p>
      <w:pPr>
        <w:ind w:right="280" w:firstLine="270"/>
        <w:spacing w:after="0" w:line="255" w:lineRule="auto"/>
        <w:rPr>
          <w:sz w:val="20"/>
          <w:szCs w:val="20"/>
          <w:color w:val="auto"/>
        </w:rPr>
      </w:pPr>
      <w:r>
        <w:rPr>
          <w:rFonts w:ascii="Arial" w:cs="Arial" w:eastAsia="Arial" w:hAnsi="Arial"/>
          <w:sz w:val="18"/>
          <w:szCs w:val="18"/>
          <w:color w:val="auto"/>
        </w:rPr>
        <w:t>The composition of our board of directors has changed in accordance with the Merger Agreement. Following the completion of the Merger, our board of directors now consists of seven members, including Seth M. Siegel, as Chairman, Andrew D. Perlman, John Engelman, Andrew Kennedy Lang, Alexander R. Berger, Donald E. Stout and H. Van Sinclair. Currently, it is anticipated that we will maximize the economic benefits of our intellectual property portfolio, add significant talent in technological innovation and potentially enhance our opportunities for revenue generation through the monetization of our company’s assets. However, because the composition of our board of directors will consist of directors from both Vringo and Innovate/Protect, we may determine to pursue certain business strategies that neither Vringo nor Innovate/Protect would have pursued independently.</w:t>
      </w:r>
    </w:p>
    <w:p>
      <w:pPr>
        <w:spacing w:after="0" w:line="185" w:lineRule="exact"/>
        <w:rPr>
          <w:sz w:val="20"/>
          <w:szCs w:val="20"/>
          <w:color w:val="auto"/>
        </w:rPr>
      </w:pPr>
    </w:p>
    <w:p>
      <w:pPr>
        <w:ind w:right="100" w:firstLine="270"/>
        <w:spacing w:after="0" w:line="282" w:lineRule="auto"/>
        <w:rPr>
          <w:sz w:val="20"/>
          <w:szCs w:val="20"/>
          <w:color w:val="auto"/>
        </w:rPr>
      </w:pPr>
      <w:r>
        <w:rPr>
          <w:rFonts w:ascii="Arial" w:cs="Arial" w:eastAsia="Arial" w:hAnsi="Arial"/>
          <w:sz w:val="18"/>
          <w:szCs w:val="18"/>
          <w:b w:val="1"/>
          <w:bCs w:val="1"/>
          <w:color w:val="auto"/>
        </w:rPr>
        <w:t>Ownership of our common stock may be highly concentrated, and it may prevent you and other stockholders from influencing significant corporate decisions and may result in conflicts of interest that could cause our stock price to decline.</w:t>
      </w:r>
    </w:p>
    <w:p>
      <w:pPr>
        <w:spacing w:after="0" w:line="166"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After giving effect to the Merger, our executive officers and directors beneficially own or control approximately 38.4% of our company. Accordingly, these executive officers and directors, acting individually or as a group, will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our company,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74" w:lineRule="exact"/>
        <w:rPr>
          <w:sz w:val="20"/>
          <w:szCs w:val="20"/>
          <w:color w:val="auto"/>
        </w:rPr>
      </w:pPr>
    </w:p>
    <w:p>
      <w:pPr>
        <w:jc w:val="both"/>
        <w:ind w:right="420" w:firstLine="270"/>
        <w:spacing w:after="0" w:line="266" w:lineRule="auto"/>
        <w:rPr>
          <w:sz w:val="20"/>
          <w:szCs w:val="20"/>
          <w:color w:val="auto"/>
        </w:rPr>
      </w:pPr>
      <w:r>
        <w:rPr>
          <w:rFonts w:ascii="Arial" w:cs="Arial" w:eastAsia="Arial" w:hAnsi="Arial"/>
          <w:sz w:val="18"/>
          <w:szCs w:val="18"/>
          <w:b w:val="1"/>
          <w:bCs w:val="1"/>
          <w:color w:val="auto"/>
        </w:rPr>
        <w:t>Our success will depend in part on relationships with third parties, which relationships may be affected by third-party preferences or public attitudes about the Merger. Any adverse changes in these relationships could adversely affect our business, financial condition, or results of operations.</w:t>
      </w:r>
    </w:p>
    <w:p>
      <w:pPr>
        <w:spacing w:after="0" w:line="180"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Our success will be dependent on our ability to maintain and renew the business relationships of both Vringo and Innovate/Protect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67" w:lineRule="exact"/>
        <w:rPr>
          <w:sz w:val="20"/>
          <w:szCs w:val="20"/>
          <w:color w:val="auto"/>
        </w:rPr>
      </w:pPr>
    </w:p>
    <w:p>
      <w:pPr>
        <w:ind w:right="120" w:firstLine="270"/>
        <w:spacing w:after="0" w:line="313" w:lineRule="auto"/>
        <w:rPr>
          <w:sz w:val="20"/>
          <w:szCs w:val="20"/>
          <w:color w:val="auto"/>
        </w:rPr>
      </w:pPr>
      <w:r>
        <w:rPr>
          <w:rFonts w:ascii="Arial" w:cs="Arial" w:eastAsia="Arial" w:hAnsi="Arial"/>
          <w:sz w:val="17"/>
          <w:szCs w:val="17"/>
          <w:b w:val="1"/>
          <w:bCs w:val="1"/>
          <w:color w:val="auto"/>
        </w:rPr>
        <w:t>Our future results may differ materially from the unaudited pro forma financial statements presented in connection with the Merger and the financial forecasts prepared by Vringo and Innovate/Protect in connection with discussions concerning the Merger.</w:t>
      </w:r>
    </w:p>
    <w:p>
      <w:pPr>
        <w:spacing w:after="0" w:line="142"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Our future results may be materially different from those shown in the unaudited pro forma combined financial statements prepared in connection with the Merger, which show only a combination of the historical results of Vringo and Innovate/Protect prepared by Vringo and Innovate/Protect in connection with discussions concerning the Merger. We expect to incur significant costs associated with the completion of the Merger and combining the operations of the two companies. The exact magnitude of these costs are not yet known, but are estimated to be approximately $0.9 million. Furthermore, these costs may decrease the capital that we could use for continued development of our business in the future or may cause us to seek to raise new capital sooner than expected.</w:t>
      </w:r>
    </w:p>
    <w:p>
      <w:pPr>
        <w:spacing w:after="0" w:line="189" w:lineRule="exact"/>
        <w:rPr>
          <w:sz w:val="20"/>
          <w:szCs w:val="20"/>
          <w:color w:val="auto"/>
        </w:rPr>
      </w:pPr>
    </w:p>
    <w:p>
      <w:pPr>
        <w:ind w:right="140" w:firstLine="270"/>
        <w:spacing w:after="0" w:line="282" w:lineRule="auto"/>
        <w:rPr>
          <w:sz w:val="20"/>
          <w:szCs w:val="20"/>
          <w:color w:val="auto"/>
        </w:rPr>
      </w:pPr>
      <w:r>
        <w:rPr>
          <w:rFonts w:ascii="Arial" w:cs="Arial" w:eastAsia="Arial" w:hAnsi="Arial"/>
          <w:sz w:val="18"/>
          <w:szCs w:val="18"/>
          <w:b w:val="1"/>
          <w:bCs w:val="1"/>
          <w:color w:val="auto"/>
        </w:rPr>
        <w:t>We will require additional capital to support our present business plan and our anticipated business growth, and such capital may not be available on acceptable terms, or at all, which would adversely affect our ability to operate.</w:t>
      </w:r>
    </w:p>
    <w:p>
      <w:pPr>
        <w:spacing w:after="0" w:line="166"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Based on our current operating plans, the current resources of the combined company, together with existing funding commitments, are expected to be sufficient to fund its planned operations at least for the coming twelve months. We may need to raise additional funds in connection with any acquisitions of patent portfolios or other intellectual property assets that we pursue. Any such financing that we undertake will likely be dilutive to Vringo’s current stockholders.</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740" w:top="877" w:right="279" w:bottom="1440" w:gutter="0" w:footer="0" w:header="0"/>
        </w:sectPr>
      </w:pPr>
    </w:p>
    <w:bookmarkStart w:id="23" w:name="page24"/>
    <w:bookmarkEnd w:id="23"/>
    <w:p>
      <w:pPr>
        <w:ind w:firstLine="270"/>
        <w:spacing w:after="0" w:line="285"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as described below. Such obligations, when incurred, will be guaranteed by each of the Vringo entities and secured by a first priority lien on all assets of the Vringo entities. Although the combined company has access to up to $6,000,000 of financing under this facility if it meets the conditions to the commitment, it intends not to draw down any amounts under this facility and instead will attempt to raise additional capital through equity or equity-linked financings as well as through the exercise of its outstanding warrants.</w:t>
      </w:r>
    </w:p>
    <w:p>
      <w:pPr>
        <w:spacing w:after="0" w:line="175" w:lineRule="exact"/>
        <w:rPr>
          <w:sz w:val="20"/>
          <w:szCs w:val="20"/>
          <w:color w:val="auto"/>
        </w:rPr>
      </w:pPr>
    </w:p>
    <w:p>
      <w:pPr>
        <w:ind w:right="40" w:firstLine="270"/>
        <w:spacing w:after="0" w:line="272" w:lineRule="auto"/>
        <w:rPr>
          <w:sz w:val="20"/>
          <w:szCs w:val="20"/>
          <w:color w:val="auto"/>
        </w:rPr>
      </w:pPr>
      <w:r>
        <w:rPr>
          <w:rFonts w:ascii="Arial" w:cs="Arial" w:eastAsia="Arial" w:hAnsi="Arial"/>
          <w:sz w:val="17"/>
          <w:szCs w:val="17"/>
          <w:color w:val="auto"/>
        </w:rPr>
        <w:t>We intend to continue to make investments to support our business growth, including patent or other intellectual property asset creation. In addition, we may also need additional funds to respond to business opportunities and challenges, including our ongoing operating expenses, protecting our assets, satisfying debt payment obligations, developing new lines of business and enhancing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w:t>
      </w:r>
    </w:p>
    <w:p>
      <w:pPr>
        <w:spacing w:after="0" w:line="178"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In addition, the rights of the holders of Vringo preferred stock could adversely affect the combined company’s ability to raise additional funds, in particular, because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As of June 30,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business and financial condition could be constrained by the debt incurred in connection with the Merger.</w:t>
      </w:r>
    </w:p>
    <w:p>
      <w:pPr>
        <w:spacing w:after="0" w:line="229"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On July 19, 2012, in connection with the consummation of the Merger and in accordance with the Merger Agreement, Vringo entered into an Amended and Restated Pledge and Security Agreement and an Amended and Restated Guaranty with each of its subsidiaries to guaranty the obligations of Innovate/Protect under that certain Amended and Restated Senior Secured Promissory Note (the “Secured Note”), dated July 19, 2012, by and between Innovate/Protect and Hudson Bay. As of the Closing Date, the outstanding balance under the Secured Note was $3.2 million. The Secured Note accrues interest at 0.46% per annum and matures on June 22, 2013. From and after the date upon which (i) Vringo and its subsidiaries have more than $15,000,000 in the aggregate of cash and cash equivalents, Hudson Bay may require Vringo to redeem up to 50% of the outstanding principal amount of the Secured Note, (ii) Vringo and its subsidiaries have more than $20,000,000 in the aggregate of cash and cash equivalents, Hudson Bay may require Vringo to redeem up to 100% of the outstanding principal of the Secured Note, and (iii) Vringo and its subsidiaries receive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Secured Note provides that in the event of a change of control, Hudson Bay may require Vringo to redeem all or any portion of the Secured Note at a price in cash equal to 125% of the amount redeemed. Innovate/Protect has granted Hudson Bay a security interest in all of its tangible and intangible personal property (including the Lycos’s patents) to secure its obligations under the Secured Note. In connection with the Merger, Vringo assumed the Secured Note and guarantied the obligations thereunder.</w:t>
      </w:r>
    </w:p>
    <w:p>
      <w:pPr>
        <w:spacing w:after="0" w:line="200" w:lineRule="exact"/>
        <w:rPr>
          <w:sz w:val="20"/>
          <w:szCs w:val="20"/>
          <w:color w:val="auto"/>
        </w:rPr>
      </w:pP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740" w:top="881" w:right="279" w:bottom="1440" w:gutter="0" w:footer="0" w:header="0"/>
        </w:sectPr>
      </w:pPr>
    </w:p>
    <w:bookmarkStart w:id="24" w:name="page25"/>
    <w:bookmarkEnd w:id="24"/>
    <w:p>
      <w:pPr>
        <w:spacing w:after="0" w:line="9" w:lineRule="exact"/>
        <w:rPr>
          <w:sz w:val="20"/>
          <w:szCs w:val="20"/>
          <w:color w:val="auto"/>
        </w:rPr>
      </w:pPr>
    </w:p>
    <w:p>
      <w:pPr>
        <w:ind w:left="8" w:firstLine="270"/>
        <w:spacing w:after="0" w:line="283" w:lineRule="auto"/>
        <w:rPr>
          <w:sz w:val="20"/>
          <w:szCs w:val="20"/>
          <w:color w:val="auto"/>
        </w:rPr>
      </w:pPr>
      <w:r>
        <w:rPr>
          <w:rFonts w:ascii="Arial" w:cs="Arial" w:eastAsia="Arial" w:hAnsi="Arial"/>
          <w:sz w:val="16"/>
          <w:szCs w:val="16"/>
          <w:color w:val="auto"/>
        </w:rPr>
        <w:t>In addition, 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as described above.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automatically and immediately upon the earlier to occur of</w:t>
      </w:r>
    </w:p>
    <w:p>
      <w:pPr>
        <w:spacing w:after="0" w:line="5" w:lineRule="exact"/>
        <w:rPr>
          <w:sz w:val="20"/>
          <w:szCs w:val="20"/>
          <w:color w:val="auto"/>
        </w:rPr>
      </w:pPr>
    </w:p>
    <w:p>
      <w:pPr>
        <w:ind w:left="8" w:right="120" w:hanging="8"/>
        <w:spacing w:after="0" w:line="253" w:lineRule="auto"/>
        <w:tabs>
          <w:tab w:leader="none" w:pos="2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191" w:lineRule="exact"/>
        <w:rPr>
          <w:sz w:val="20"/>
          <w:szCs w:val="20"/>
          <w:color w:val="auto"/>
        </w:rPr>
      </w:pPr>
    </w:p>
    <w:p>
      <w:pPr>
        <w:jc w:val="both"/>
        <w:ind w:left="8" w:right="340" w:firstLine="270"/>
        <w:spacing w:after="0" w:line="264" w:lineRule="auto"/>
        <w:rPr>
          <w:sz w:val="20"/>
          <w:szCs w:val="20"/>
          <w:color w:val="auto"/>
        </w:rPr>
      </w:pPr>
      <w:r>
        <w:rPr>
          <w:rFonts w:ascii="Arial" w:cs="Arial" w:eastAsia="Arial" w:hAnsi="Arial"/>
          <w:sz w:val="18"/>
          <w:szCs w:val="18"/>
          <w:color w:val="auto"/>
        </w:rPr>
        <w:t>In connection with the Merger, Vringo guaranteed the senior secured note and any financing drawn down under new facility. This could have a material adverse effect on our financial condition following the Merger, including limiting our ability to incur additional indebtedness, limiting our available funds for future operations and making us vulnerable to economic or industry downturns.</w:t>
      </w:r>
    </w:p>
    <w:p>
      <w:pPr>
        <w:spacing w:after="0" w:line="177" w:lineRule="exact"/>
        <w:rPr>
          <w:sz w:val="20"/>
          <w:szCs w:val="20"/>
          <w:color w:val="auto"/>
        </w:rPr>
      </w:pPr>
    </w:p>
    <w:p>
      <w:pPr>
        <w:ind w:left="8" w:right="380" w:firstLine="270"/>
        <w:spacing w:after="0" w:line="282" w:lineRule="auto"/>
        <w:rPr>
          <w:sz w:val="20"/>
          <w:szCs w:val="20"/>
          <w:color w:val="auto"/>
        </w:rPr>
      </w:pPr>
      <w:r>
        <w:rPr>
          <w:rFonts w:ascii="Arial" w:cs="Arial" w:eastAsia="Arial" w:hAnsi="Arial"/>
          <w:sz w:val="18"/>
          <w:szCs w:val="18"/>
          <w:b w:val="1"/>
          <w:bCs w:val="1"/>
          <w:color w:val="auto"/>
        </w:rPr>
        <w:t>The price of our common stock following the Merger may be affected by factors different from those previously affecting the shares of Vringo.</w:t>
      </w:r>
    </w:p>
    <w:p>
      <w:pPr>
        <w:spacing w:after="0" w:line="166" w:lineRule="exact"/>
        <w:rPr>
          <w:sz w:val="20"/>
          <w:szCs w:val="20"/>
          <w:color w:val="auto"/>
        </w:rPr>
      </w:pPr>
    </w:p>
    <w:p>
      <w:pPr>
        <w:ind w:left="8" w:right="140" w:firstLine="270"/>
        <w:spacing w:after="0" w:line="302" w:lineRule="auto"/>
        <w:rPr>
          <w:sz w:val="20"/>
          <w:szCs w:val="20"/>
          <w:color w:val="auto"/>
        </w:rPr>
      </w:pPr>
      <w:r>
        <w:rPr>
          <w:rFonts w:ascii="Arial" w:cs="Arial" w:eastAsia="Arial" w:hAnsi="Arial"/>
          <w:sz w:val="16"/>
          <w:szCs w:val="16"/>
          <w:color w:val="auto"/>
        </w:rPr>
        <w:t>Upon completion of the Merger, holders of Innovate/Protect capital stock became holders of Vringo common stock and preferred stock. The business of Vringo differs from the business of Innovate/Protect and, accordingly, our results of operations and the trading price of our common stock following the completion of the Merger may be significantly affected by factors different from those previously affecting the independent results of operations of Vringo because the combined company will be conducting activities not undertaken by Vringo prior to the completion of the Merger.</w:t>
      </w:r>
    </w:p>
    <w:p>
      <w:pPr>
        <w:spacing w:after="0" w:line="150" w:lineRule="exact"/>
        <w:rPr>
          <w:sz w:val="20"/>
          <w:szCs w:val="20"/>
          <w:color w:val="auto"/>
        </w:rPr>
      </w:pPr>
    </w:p>
    <w:p>
      <w:pPr>
        <w:ind w:left="8" w:right="380" w:firstLine="270"/>
        <w:spacing w:after="0" w:line="282" w:lineRule="auto"/>
        <w:rPr>
          <w:sz w:val="20"/>
          <w:szCs w:val="20"/>
          <w:color w:val="auto"/>
        </w:rPr>
      </w:pPr>
      <w:r>
        <w:rPr>
          <w:rFonts w:ascii="Arial" w:cs="Arial" w:eastAsia="Arial" w:hAnsi="Arial"/>
          <w:sz w:val="18"/>
          <w:szCs w:val="18"/>
          <w:b w:val="1"/>
          <w:bCs w:val="1"/>
          <w:color w:val="auto"/>
        </w:rPr>
        <w:t>Material weaknesses may exist when we report on the effectiveness of our internal control over financial reporting for purposes of our reporting requirements.</w:t>
      </w:r>
    </w:p>
    <w:p>
      <w:pPr>
        <w:spacing w:after="0" w:line="166" w:lineRule="exact"/>
        <w:rPr>
          <w:sz w:val="20"/>
          <w:szCs w:val="20"/>
          <w:color w:val="auto"/>
        </w:rPr>
      </w:pPr>
    </w:p>
    <w:p>
      <w:pPr>
        <w:ind w:left="8" w:right="40" w:firstLine="270"/>
        <w:spacing w:after="0" w:line="270" w:lineRule="auto"/>
        <w:rPr>
          <w:sz w:val="20"/>
          <w:szCs w:val="20"/>
          <w:color w:val="auto"/>
        </w:rPr>
      </w:pPr>
      <w:r>
        <w:rPr>
          <w:rFonts w:ascii="Arial" w:cs="Arial" w:eastAsia="Arial" w:hAnsi="Arial"/>
          <w:sz w:val="17"/>
          <w:szCs w:val="17"/>
          <w:color w:val="auto"/>
        </w:rPr>
        <w:t>Prior to the Merger, Innovate/Protect was not subject to most provisions of Sarbanes-Oxley Act of 2002 (“Sarbanes-Oxley”). Therefore, Innovate/Protect’s management and independent registered public accounting firm did not perform an evaluation of Innovate/Protect’s internal control over financial reporting as of December 31, 2011 in accordance with the provisions of Sarbanes-Oxley. Following the completion of the Merger, we will be required to provide management’s report on internal control over financial reporting in our Annual Report on Form 10-K for the year ending December 31, 2012, as required by Section 404 of Sarbanes-Oxley. Material weaknesses may exist when we report on the effectiveness of our internal control over financial reporting for purposes of our reporting requirements under the Exchange Act or Section 404 of Sarbanes-Oxley. The existence of one or more material weaknesses would preclude a conclusion that we maintain effective internal control over financial reporting. Such a conclusion would be required to be disclosed in our future Annual Reports on Form 10-K and could impact the accuracy and timing of our financial reporting and the reliability of our internal control over financial reporting, which could harm our reputation and cause the market price of our common stock to drop.</w:t>
      </w:r>
    </w:p>
    <w:p>
      <w:pPr>
        <w:spacing w:after="0" w:line="174" w:lineRule="exact"/>
        <w:rPr>
          <w:sz w:val="20"/>
          <w:szCs w:val="20"/>
          <w:color w:val="auto"/>
        </w:rPr>
      </w:pPr>
    </w:p>
    <w:p>
      <w:pPr>
        <w:ind w:left="268"/>
        <w:spacing w:after="0"/>
        <w:rPr>
          <w:sz w:val="20"/>
          <w:szCs w:val="20"/>
          <w:color w:val="auto"/>
        </w:rPr>
      </w:pPr>
      <w:r>
        <w:rPr>
          <w:rFonts w:ascii="Arial" w:cs="Arial" w:eastAsia="Arial" w:hAnsi="Arial"/>
          <w:sz w:val="18"/>
          <w:szCs w:val="18"/>
          <w:b w:val="1"/>
          <w:bCs w:val="1"/>
          <w:color w:val="auto"/>
        </w:rPr>
        <w:t>We do not expect to pay cash dividends on our common stock.</w:t>
      </w:r>
    </w:p>
    <w:p>
      <w:pPr>
        <w:spacing w:after="0" w:line="229" w:lineRule="exact"/>
        <w:rPr>
          <w:sz w:val="20"/>
          <w:szCs w:val="20"/>
          <w:color w:val="auto"/>
        </w:rPr>
      </w:pPr>
    </w:p>
    <w:p>
      <w:pPr>
        <w:ind w:left="8" w:right="60" w:firstLine="270"/>
        <w:spacing w:after="0" w:line="277" w:lineRule="auto"/>
        <w:rPr>
          <w:sz w:val="20"/>
          <w:szCs w:val="20"/>
          <w:color w:val="auto"/>
        </w:rPr>
      </w:pPr>
      <w:r>
        <w:rPr>
          <w:rFonts w:ascii="Arial" w:cs="Arial" w:eastAsia="Arial" w:hAnsi="Arial"/>
          <w:sz w:val="18"/>
          <w:szCs w:val="18"/>
          <w:color w:val="auto"/>
        </w:rPr>
        <w:t>We anticipate that the combined company will retain its earnings, if any, for future growth and therefore do not anticipate paying cash dividends on our common stock in the future. Investors seeking cash dividends should not invest in our common stock for that purpose.</w:t>
      </w:r>
    </w:p>
    <w:p>
      <w:pPr>
        <w:spacing w:after="0" w:line="166" w:lineRule="exact"/>
        <w:rPr>
          <w:sz w:val="20"/>
          <w:szCs w:val="20"/>
          <w:color w:val="auto"/>
        </w:rPr>
      </w:pPr>
    </w:p>
    <w:p>
      <w:pPr>
        <w:ind w:left="8" w:right="100" w:firstLine="270"/>
        <w:spacing w:after="0" w:line="282" w:lineRule="auto"/>
        <w:rPr>
          <w:sz w:val="20"/>
          <w:szCs w:val="20"/>
          <w:color w:val="auto"/>
        </w:rPr>
      </w:pPr>
      <w:r>
        <w:rPr>
          <w:rFonts w:ascii="Arial" w:cs="Arial" w:eastAsia="Arial" w:hAnsi="Arial"/>
          <w:sz w:val="18"/>
          <w:szCs w:val="18"/>
          <w:b w:val="1"/>
          <w:bCs w:val="1"/>
          <w:color w:val="auto"/>
        </w:rPr>
        <w:t>Anti-takeover provisions in our charter and bylaws may prevent or frustrate attempts by stockholders to change the board of directors or current management and could make a third-party acquisition of our company difficult.</w:t>
      </w:r>
    </w:p>
    <w:p>
      <w:pPr>
        <w:spacing w:after="0" w:line="166" w:lineRule="exact"/>
        <w:rPr>
          <w:sz w:val="20"/>
          <w:szCs w:val="20"/>
          <w:color w:val="auto"/>
        </w:rPr>
      </w:pPr>
    </w:p>
    <w:p>
      <w:pPr>
        <w:ind w:left="8" w:right="360" w:firstLine="270"/>
        <w:spacing w:after="0" w:line="286" w:lineRule="auto"/>
        <w:rPr>
          <w:sz w:val="20"/>
          <w:szCs w:val="20"/>
          <w:color w:val="auto"/>
        </w:rPr>
      </w:pPr>
      <w:r>
        <w:rPr>
          <w:rFonts w:ascii="Arial" w:cs="Arial" w:eastAsia="Arial" w:hAnsi="Arial"/>
          <w:sz w:val="17"/>
          <w:szCs w:val="17"/>
          <w:color w:val="auto"/>
        </w:rPr>
        <w:t>Our certificate of incorporation and bylaws contains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our common stock.</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Risks Related to Innovate/Protect’s Business</w:t>
      </w:r>
    </w:p>
    <w:p>
      <w:pPr>
        <w:spacing w:after="0" w:line="225" w:lineRule="exact"/>
        <w:rPr>
          <w:sz w:val="20"/>
          <w:szCs w:val="20"/>
          <w:color w:val="auto"/>
        </w:rPr>
      </w:pPr>
    </w:p>
    <w:p>
      <w:pPr>
        <w:ind w:left="268"/>
        <w:spacing w:after="0"/>
        <w:rPr>
          <w:sz w:val="20"/>
          <w:szCs w:val="20"/>
          <w:color w:val="auto"/>
        </w:rPr>
      </w:pPr>
      <w:r>
        <w:rPr>
          <w:rFonts w:ascii="Arial" w:cs="Arial" w:eastAsia="Arial" w:hAnsi="Arial"/>
          <w:sz w:val="18"/>
          <w:szCs w:val="18"/>
          <w:b w:val="1"/>
          <w:bCs w:val="1"/>
          <w:color w:val="auto"/>
        </w:rPr>
        <w:t>Innovate/Protect’s limited operating history makes it difficult to evaluate its current business and future prospects.</w:t>
      </w:r>
    </w:p>
    <w:p>
      <w:pPr>
        <w:spacing w:after="0" w:line="229" w:lineRule="exact"/>
        <w:rPr>
          <w:sz w:val="20"/>
          <w:szCs w:val="20"/>
          <w:color w:val="auto"/>
        </w:rPr>
      </w:pPr>
    </w:p>
    <w:p>
      <w:pPr>
        <w:ind w:left="8" w:right="400" w:firstLine="270"/>
        <w:spacing w:after="0" w:line="273" w:lineRule="auto"/>
        <w:rPr>
          <w:sz w:val="20"/>
          <w:szCs w:val="20"/>
          <w:color w:val="auto"/>
        </w:rPr>
      </w:pPr>
      <w:r>
        <w:rPr>
          <w:rFonts w:ascii="Arial" w:cs="Arial" w:eastAsia="Arial" w:hAnsi="Arial"/>
          <w:sz w:val="17"/>
          <w:szCs w:val="17"/>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178" w:lineRule="exact"/>
        <w:rPr>
          <w:sz w:val="20"/>
          <w:szCs w:val="20"/>
          <w:color w:val="auto"/>
        </w:rPr>
      </w:pPr>
    </w:p>
    <w:p>
      <w:pPr>
        <w:ind w:left="8" w:firstLine="270"/>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170" w:lineRule="exact"/>
        <w:rPr>
          <w:sz w:val="20"/>
          <w:szCs w:val="20"/>
          <w:color w:val="auto"/>
        </w:rPr>
      </w:pPr>
    </w:p>
    <w:p>
      <w:pPr>
        <w:ind w:left="488" w:hanging="324"/>
        <w:spacing w:after="0"/>
        <w:tabs>
          <w:tab w:leader="none" w:pos="4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 or execute its current business plan, or demonstrate that its business plan is sound; and/or</w:t>
      </w:r>
    </w:p>
    <w:p>
      <w:pPr>
        <w:spacing w:after="0" w:line="23" w:lineRule="exact"/>
        <w:rPr>
          <w:rFonts w:ascii="Arial" w:cs="Arial" w:eastAsia="Arial" w:hAnsi="Arial"/>
          <w:sz w:val="18"/>
          <w:szCs w:val="18"/>
          <w:color w:val="auto"/>
        </w:rPr>
      </w:pPr>
    </w:p>
    <w:p>
      <w:pPr>
        <w:ind w:left="488" w:hanging="324"/>
        <w:spacing w:after="0"/>
        <w:tabs>
          <w:tab w:leader="none" w:pos="4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its business plan.</w:t>
      </w:r>
    </w:p>
    <w:p>
      <w:pPr>
        <w:spacing w:after="0" w:line="211" w:lineRule="exact"/>
        <w:rPr>
          <w:sz w:val="20"/>
          <w:szCs w:val="20"/>
          <w:color w:val="auto"/>
        </w:rPr>
      </w:pPr>
    </w:p>
    <w:p>
      <w:pPr>
        <w:ind w:left="268"/>
        <w:spacing w:after="0"/>
        <w:rPr>
          <w:sz w:val="20"/>
          <w:szCs w:val="20"/>
          <w:color w:val="auto"/>
        </w:rPr>
      </w:pPr>
      <w:r>
        <w:rPr>
          <w:rFonts w:ascii="Arial" w:cs="Arial" w:eastAsia="Arial" w:hAnsi="Arial"/>
          <w:sz w:val="18"/>
          <w:szCs w:val="18"/>
          <w:color w:val="auto"/>
        </w:rPr>
        <w:t>If Innovate/Protect cannot execute any one of the foregoing or similar matters relating to its operations, its business may fail.</w:t>
      </w:r>
    </w:p>
    <w:p>
      <w:pPr>
        <w:sectPr>
          <w:pgSz w:w="11900" w:h="16847" w:orient="portrait"/>
          <w:cols w:equalWidth="0" w:num="1">
            <w:col w:w="10928"/>
          </w:cols>
          <w:pgMar w:left="732" w:top="881" w:right="239" w:bottom="0" w:gutter="0" w:footer="0" w:header="0"/>
        </w:sectPr>
      </w:pPr>
    </w:p>
    <w:bookmarkStart w:id="25" w:name="page26"/>
    <w:bookmarkEnd w:id="25"/>
    <w:p>
      <w:pPr>
        <w:ind w:right="140" w:firstLine="270"/>
        <w:spacing w:after="0" w:line="266" w:lineRule="auto"/>
        <w:rPr>
          <w:sz w:val="20"/>
          <w:szCs w:val="20"/>
          <w:color w:val="auto"/>
        </w:rPr>
      </w:pPr>
      <w:r>
        <w:rPr>
          <w:rFonts w:ascii="Arial" w:cs="Arial" w:eastAsia="Arial" w:hAnsi="Arial"/>
          <w:sz w:val="18"/>
          <w:szCs w:val="18"/>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180" w:lineRule="exact"/>
        <w:rPr>
          <w:sz w:val="20"/>
          <w:szCs w:val="20"/>
          <w:color w:val="auto"/>
        </w:rPr>
      </w:pPr>
    </w:p>
    <w:p>
      <w:pPr>
        <w:ind w:right="300" w:firstLine="270"/>
        <w:spacing w:after="0" w:line="286" w:lineRule="auto"/>
        <w:rPr>
          <w:sz w:val="20"/>
          <w:szCs w:val="20"/>
          <w:color w:val="auto"/>
        </w:rPr>
      </w:pPr>
      <w:r>
        <w:rPr>
          <w:rFonts w:ascii="Arial" w:cs="Arial" w:eastAsia="Arial" w:hAnsi="Arial"/>
          <w:sz w:val="17"/>
          <w:szCs w:val="17"/>
          <w:color w:val="auto"/>
        </w:rPr>
        <w:t>At Innovate/Protect’s formation in June 2011, Innovate/Protect acquired a portfolio of patent assets from Lycos that Innovate/Protect plans to license or otherwise monetize. If Innovate/Protect’s efforts to generate revenue from such assets fail, Innovate/Protect will have incurred significant losses and may be unable to acquire additional assets. If this occurs, Innovate/Protect’s business would likely fail.</w:t>
      </w:r>
    </w:p>
    <w:p>
      <w:pPr>
        <w:spacing w:after="0" w:line="162" w:lineRule="exact"/>
        <w:rPr>
          <w:sz w:val="20"/>
          <w:szCs w:val="20"/>
          <w:color w:val="auto"/>
        </w:rPr>
      </w:pPr>
    </w:p>
    <w:p>
      <w:pPr>
        <w:ind w:right="300" w:firstLine="270"/>
        <w:spacing w:after="0" w:line="266" w:lineRule="auto"/>
        <w:rPr>
          <w:sz w:val="20"/>
          <w:szCs w:val="20"/>
          <w:color w:val="auto"/>
        </w:rPr>
      </w:pPr>
      <w:r>
        <w:rPr>
          <w:rFonts w:ascii="Arial" w:cs="Arial" w:eastAsia="Arial" w:hAnsi="Arial"/>
          <w:sz w:val="18"/>
          <w:szCs w:val="18"/>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18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200" w:lineRule="exact"/>
        <w:rPr>
          <w:sz w:val="20"/>
          <w:szCs w:val="20"/>
          <w:color w:val="auto"/>
        </w:rPr>
      </w:pPr>
    </w:p>
    <w:p>
      <w:pPr>
        <w:spacing w:after="0" w:line="20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337" w:right="239" w:bottom="1440" w:gutter="0" w:footer="0" w:header="0"/>
        </w:sectPr>
      </w:pPr>
    </w:p>
    <w:bookmarkStart w:id="26" w:name="page27"/>
    <w:bookmarkEnd w:id="26"/>
    <w:p>
      <w:pPr>
        <w:ind w:firstLine="270"/>
        <w:spacing w:after="0" w:line="269" w:lineRule="auto"/>
        <w:rPr>
          <w:sz w:val="20"/>
          <w:szCs w:val="20"/>
          <w:color w:val="auto"/>
        </w:rPr>
      </w:pPr>
      <w:r>
        <w:rPr>
          <w:rFonts w:ascii="Arial" w:cs="Arial" w:eastAsia="Arial" w:hAnsi="Arial"/>
          <w:sz w:val="17"/>
          <w:szCs w:val="17"/>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 legal fees and other expenses will be material and will negatively impact Innovate/Protect’s financial condition and results of operations and may result in its inability to continue its business. Innovate/Protect estimates that its legal fees over the next twelve months will be approximately $2.9 million. Expenses thereafter are dependent on the outcome of the Litigation; in the event the case is appealed, legal fees over the course of the subsequent twelve months would be approximately $1.2 million. Innovate/Protect’s failure to monetize its patent assets would significantly harm its business.</w:t>
      </w:r>
    </w:p>
    <w:p>
      <w:pPr>
        <w:spacing w:after="0" w:line="176" w:lineRule="exact"/>
        <w:rPr>
          <w:sz w:val="20"/>
          <w:szCs w:val="20"/>
          <w:color w:val="auto"/>
        </w:rPr>
      </w:pPr>
    </w:p>
    <w:p>
      <w:pPr>
        <w:ind w:firstLine="270"/>
        <w:spacing w:after="0" w:line="274" w:lineRule="auto"/>
        <w:rPr>
          <w:sz w:val="20"/>
          <w:szCs w:val="20"/>
          <w:color w:val="auto"/>
        </w:rPr>
      </w:pPr>
      <w:r>
        <w:rPr>
          <w:rFonts w:ascii="Arial" w:cs="Arial" w:eastAsia="Arial" w:hAnsi="Arial"/>
          <w:sz w:val="17"/>
          <w:szCs w:val="17"/>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178"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167" w:lineRule="exact"/>
        <w:rPr>
          <w:sz w:val="20"/>
          <w:szCs w:val="20"/>
          <w:color w:val="auto"/>
        </w:rPr>
      </w:pPr>
    </w:p>
    <w:p>
      <w:pPr>
        <w:ind w:right="880" w:firstLine="270"/>
        <w:spacing w:after="0" w:line="308" w:lineRule="auto"/>
        <w:rPr>
          <w:sz w:val="20"/>
          <w:szCs w:val="20"/>
          <w:color w:val="auto"/>
        </w:rPr>
      </w:pPr>
      <w:r>
        <w:rPr>
          <w:rFonts w:ascii="Arial" w:cs="Arial" w:eastAsia="Arial" w:hAnsi="Arial"/>
          <w:sz w:val="17"/>
          <w:szCs w:val="17"/>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147"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193" w:lineRule="exact"/>
        <w:rPr>
          <w:sz w:val="20"/>
          <w:szCs w:val="20"/>
          <w:color w:val="auto"/>
        </w:rPr>
      </w:pPr>
    </w:p>
    <w:p>
      <w:pPr>
        <w:ind w:right="340" w:firstLine="270"/>
        <w:spacing w:after="0" w:line="264"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18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200" w:lineRule="exact"/>
        <w:rPr>
          <w:sz w:val="20"/>
          <w:szCs w:val="20"/>
          <w:color w:val="auto"/>
        </w:rPr>
      </w:pPr>
    </w:p>
    <w:p>
      <w:pPr>
        <w:spacing w:after="0" w:line="2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740" w:top="881" w:right="299" w:bottom="1440" w:gutter="0" w:footer="0" w:header="0"/>
        </w:sectPr>
      </w:pPr>
    </w:p>
    <w:bookmarkStart w:id="27" w:name="page28"/>
    <w:bookmarkEnd w:id="27"/>
    <w:p>
      <w:pPr>
        <w:jc w:val="both"/>
        <w:ind w:right="140" w:firstLine="270"/>
        <w:spacing w:after="0" w:line="266" w:lineRule="auto"/>
        <w:rPr>
          <w:sz w:val="20"/>
          <w:szCs w:val="20"/>
          <w:color w:val="auto"/>
        </w:rPr>
      </w:pPr>
      <w:r>
        <w:rPr>
          <w:rFonts w:ascii="Arial" w:cs="Arial" w:eastAsia="Arial" w:hAnsi="Arial"/>
          <w:sz w:val="18"/>
          <w:szCs w:val="18"/>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180"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Members of our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our management team from its present business initiatives, which could have a material and adverse effect on 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193"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187" w:lineRule="exact"/>
        <w:rPr>
          <w:sz w:val="20"/>
          <w:szCs w:val="20"/>
          <w:color w:val="auto"/>
        </w:rPr>
      </w:pPr>
    </w:p>
    <w:p>
      <w:pPr>
        <w:ind w:left="480" w:right="20" w:hanging="324"/>
        <w:spacing w:after="0" w:line="258"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patent applications Innovate/Protect may file may not result in issued patents or may take longer than Innovate/Protect expects to result in issued patents;</w:t>
      </w:r>
    </w:p>
    <w:p>
      <w:pPr>
        <w:spacing w:after="0" w:line="1" w:lineRule="exact"/>
        <w:rPr>
          <w:rFonts w:ascii="Arial" w:cs="Arial" w:eastAsia="Arial" w:hAnsi="Arial"/>
          <w:sz w:val="18"/>
          <w:szCs w:val="18"/>
          <w:color w:val="auto"/>
        </w:rPr>
      </w:pPr>
    </w:p>
    <w:p>
      <w:pPr>
        <w:ind w:left="480" w:hanging="32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Innovate/Protect may be subject to interference proceedings;</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Innovate/Protect may be subject to opposition proceedings in the U.S. or foreign countries;</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patents that are issued to Innovate/Protect may not provide meaningful protection;</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Innovate/Protect may not be able to develop additional proprietary technologies that are patentable;</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may challenge patents issued to Innovate/Protect;</w:t>
      </w:r>
    </w:p>
    <w:p>
      <w:pPr>
        <w:spacing w:after="0" w:line="9" w:lineRule="exact"/>
        <w:rPr>
          <w:rFonts w:ascii="Arial" w:cs="Arial" w:eastAsia="Arial" w:hAnsi="Arial"/>
          <w:sz w:val="18"/>
          <w:szCs w:val="18"/>
          <w:color w:val="auto"/>
        </w:rPr>
      </w:pPr>
    </w:p>
    <w:p>
      <w:pPr>
        <w:ind w:left="480" w:right="700" w:hanging="324"/>
        <w:spacing w:after="0" w:line="250"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Innovate/Protect’s technologies;</w:t>
      </w:r>
    </w:p>
    <w:p>
      <w:pPr>
        <w:ind w:left="480" w:hanging="32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may design around technologies Innovate/Protect has developed; and</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enforcement of Innovate/Protect’s patents would be complex, uncertain and very expensive.</w:t>
      </w:r>
    </w:p>
    <w:p>
      <w:pPr>
        <w:spacing w:after="0" w:line="211" w:lineRule="exact"/>
        <w:rPr>
          <w:sz w:val="20"/>
          <w:szCs w:val="20"/>
          <w:color w:val="auto"/>
        </w:rPr>
      </w:pPr>
    </w:p>
    <w:p>
      <w:pPr>
        <w:ind w:right="20" w:firstLine="270"/>
        <w:spacing w:after="0" w:line="288" w:lineRule="auto"/>
        <w:rPr>
          <w:sz w:val="20"/>
          <w:szCs w:val="20"/>
          <w:color w:val="auto"/>
        </w:rPr>
      </w:pPr>
      <w:r>
        <w:rPr>
          <w:rFonts w:ascii="Arial" w:cs="Arial" w:eastAsia="Arial" w:hAnsi="Arial"/>
          <w:sz w:val="16"/>
          <w:szCs w:val="16"/>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169"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New legislation, regulations or court rulings related to enforcing patents could harm Innovate/Protect’s business and operating results.</w:t>
      </w:r>
    </w:p>
    <w:p>
      <w:pPr>
        <w:spacing w:after="0" w:line="252"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188"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39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28" w:name="page29"/>
    <w:bookmarkEnd w:id="28"/>
    <w:p>
      <w:pPr>
        <w:ind w:right="40" w:firstLine="270"/>
        <w:spacing w:after="0" w:line="259" w:lineRule="auto"/>
        <w:rPr>
          <w:sz w:val="20"/>
          <w:szCs w:val="20"/>
          <w:color w:val="auto"/>
        </w:rPr>
      </w:pPr>
      <w:r>
        <w:rPr>
          <w:rFonts w:ascii="Arial" w:cs="Arial" w:eastAsia="Arial" w:hAnsi="Arial"/>
          <w:sz w:val="18"/>
          <w:szCs w:val="18"/>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183" w:lineRule="exact"/>
        <w:rPr>
          <w:sz w:val="20"/>
          <w:szCs w:val="20"/>
          <w:color w:val="auto"/>
        </w:rPr>
      </w:pPr>
    </w:p>
    <w:p>
      <w:pPr>
        <w:ind w:right="1420" w:firstLine="270"/>
        <w:spacing w:after="0" w:line="282" w:lineRule="auto"/>
        <w:rPr>
          <w:sz w:val="20"/>
          <w:szCs w:val="20"/>
          <w:color w:val="auto"/>
        </w:rPr>
      </w:pPr>
      <w:r>
        <w:rPr>
          <w:rFonts w:ascii="Arial" w:cs="Arial" w:eastAsia="Arial" w:hAnsi="Arial"/>
          <w:sz w:val="18"/>
          <w:szCs w:val="18"/>
          <w:b w:val="1"/>
          <w:bCs w:val="1"/>
          <w:color w:val="auto"/>
        </w:rPr>
        <w:t>Innovate/Protect’s acquisitions of patent assets may be time consuming, complex and costly, which could adversely affect Innovate/Protect’s operating results.</w:t>
      </w:r>
    </w:p>
    <w:p>
      <w:pPr>
        <w:spacing w:after="0" w:line="166"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 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167"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171" w:lineRule="exact"/>
        <w:rPr>
          <w:sz w:val="20"/>
          <w:szCs w:val="20"/>
          <w:color w:val="auto"/>
        </w:rPr>
      </w:pPr>
    </w:p>
    <w:p>
      <w:pPr>
        <w:ind w:right="180" w:firstLine="270"/>
        <w:spacing w:after="0" w:line="279" w:lineRule="auto"/>
        <w:rPr>
          <w:sz w:val="20"/>
          <w:szCs w:val="20"/>
          <w:color w:val="auto"/>
        </w:rPr>
      </w:pPr>
      <w:r>
        <w:rPr>
          <w:rFonts w:ascii="Arial" w:cs="Arial" w:eastAsia="Arial" w:hAnsi="Arial"/>
          <w:sz w:val="17"/>
          <w:szCs w:val="17"/>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167" w:lineRule="exact"/>
        <w:rPr>
          <w:sz w:val="20"/>
          <w:szCs w:val="20"/>
          <w:color w:val="auto"/>
        </w:rPr>
      </w:pPr>
    </w:p>
    <w:p>
      <w:pPr>
        <w:ind w:right="460" w:firstLine="270"/>
        <w:spacing w:after="0" w:line="347" w:lineRule="auto"/>
        <w:rPr>
          <w:sz w:val="20"/>
          <w:szCs w:val="20"/>
          <w:color w:val="auto"/>
        </w:rPr>
      </w:pPr>
      <w:r>
        <w:rPr>
          <w:rFonts w:ascii="Arial" w:cs="Arial" w:eastAsia="Arial" w:hAnsi="Arial"/>
          <w:sz w:val="16"/>
          <w:szCs w:val="16"/>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120"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 assets, many of whom have greater cash resources than Innovate/Protect has. In addition, any failure to satisfy Innovate/Protect’s debt repayment obligations may result in adverse consequences to its operating results.</w:t>
      </w:r>
    </w:p>
    <w:p>
      <w:pPr>
        <w:spacing w:after="0" w:line="189" w:lineRule="exact"/>
        <w:rPr>
          <w:sz w:val="20"/>
          <w:szCs w:val="20"/>
          <w:color w:val="auto"/>
        </w:rPr>
      </w:pPr>
    </w:p>
    <w:p>
      <w:pPr>
        <w:ind w:right="20" w:firstLine="270"/>
        <w:spacing w:after="0" w:line="282" w:lineRule="auto"/>
        <w:rPr>
          <w:sz w:val="20"/>
          <w:szCs w:val="20"/>
          <w:color w:val="auto"/>
        </w:rPr>
      </w:pPr>
      <w:r>
        <w:rPr>
          <w:rFonts w:ascii="Arial" w:cs="Arial" w:eastAsia="Arial" w:hAnsi="Arial"/>
          <w:sz w:val="18"/>
          <w:szCs w:val="18"/>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166"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188"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Despite Innovate/Protect’s efforts to protect its intellectual property rights, any of the following or similar occurrences may reduce the value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Innovate/Protect’s intellectual property:</w:t>
      </w:r>
    </w:p>
    <w:p>
      <w:pPr>
        <w:spacing w:after="0" w:line="200" w:lineRule="exact"/>
        <w:rPr>
          <w:sz w:val="20"/>
          <w:szCs w:val="20"/>
          <w:color w:val="auto"/>
        </w:rPr>
      </w:pPr>
    </w:p>
    <w:p>
      <w:pPr>
        <w:spacing w:after="0" w:line="22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81" w:right="239" w:bottom="1440" w:gutter="0" w:footer="0" w:header="0"/>
        </w:sectPr>
      </w:pPr>
    </w:p>
    <w:bookmarkStart w:id="29" w:name="page30"/>
    <w:bookmarkEnd w:id="29"/>
    <w:p>
      <w:pPr>
        <w:ind w:left="540" w:hanging="451"/>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Innovate/Protect’s applications for patents, trademarks and copyrights may not be granted and, if granted, may be challenged or invalidated;</w:t>
      </w:r>
    </w:p>
    <w:p>
      <w:pPr>
        <w:spacing w:after="0" w:line="46" w:lineRule="exact"/>
        <w:rPr>
          <w:rFonts w:ascii="Arial" w:cs="Arial" w:eastAsia="Arial" w:hAnsi="Arial"/>
          <w:sz w:val="16"/>
          <w:szCs w:val="16"/>
          <w:color w:val="auto"/>
        </w:rPr>
      </w:pPr>
    </w:p>
    <w:p>
      <w:pPr>
        <w:ind w:left="540" w:right="420" w:hanging="451"/>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Innovate/Protect with any competitive advantages versus potentially infringing parties;</w:t>
      </w:r>
    </w:p>
    <w:p>
      <w:pPr>
        <w:ind w:left="540" w:right="260" w:hanging="451"/>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Innovate/Protect’s efforts to protect its intellectual property rights may not be effective in preventing misappropriation of Innovate/Protect’s technology; or</w:t>
      </w:r>
    </w:p>
    <w:p>
      <w:pPr>
        <w:ind w:left="540" w:right="80" w:hanging="451"/>
        <w:spacing w:after="0" w:line="261"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Innovate/Protect’s efforts may not prevent the development and design by others of products or technologies similar to or competitive with, or superior to those Innovate/Protect acquires and/or prosecutes.</w:t>
      </w:r>
    </w:p>
    <w:p>
      <w:pPr>
        <w:spacing w:after="0" w:line="184"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162" w:lineRule="exact"/>
        <w:rPr>
          <w:sz w:val="20"/>
          <w:szCs w:val="20"/>
          <w:color w:val="auto"/>
        </w:rPr>
      </w:pPr>
    </w:p>
    <w:p>
      <w:pPr>
        <w:ind w:right="840" w:firstLine="27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166" w:lineRule="exact"/>
        <w:rPr>
          <w:sz w:val="20"/>
          <w:szCs w:val="20"/>
          <w:color w:val="auto"/>
        </w:rPr>
      </w:pPr>
    </w:p>
    <w:p>
      <w:pPr>
        <w:ind w:right="160" w:firstLine="270"/>
        <w:spacing w:after="0" w:line="297" w:lineRule="auto"/>
        <w:rPr>
          <w:sz w:val="20"/>
          <w:szCs w:val="20"/>
          <w:color w:val="auto"/>
        </w:rPr>
      </w:pPr>
      <w:r>
        <w:rPr>
          <w:rFonts w:ascii="Arial" w:cs="Arial" w:eastAsia="Arial" w:hAnsi="Arial"/>
          <w:sz w:val="16"/>
          <w:szCs w:val="16"/>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Risks Related to Vringo’s Business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Historically, Vringo’s business has generated only losses, which are expected to continue for the foreseeable future.</w:t>
      </w:r>
    </w:p>
    <w:p>
      <w:pPr>
        <w:spacing w:after="0" w:line="229"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As of March 31, 2012, Vringo had a cash balance of $3.6 million and $2.7 million of net working capital. For the three month period ended March 31, 2012 and 2011 and for the cumulative period from inception until March 31, 2012, Vringo incurred net losses of $5.6 million, $1.1 million and $43.2 million, respectively. As of March 31, 2012, Vringo’s stockholders’ equity was $1.0 million.</w:t>
      </w:r>
    </w:p>
    <w:p>
      <w:pPr>
        <w:spacing w:after="0" w:line="3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740" w:top="1125" w:right="299" w:bottom="1440" w:gutter="0" w:footer="0" w:header="0"/>
        </w:sectPr>
      </w:pPr>
    </w:p>
    <w:bookmarkStart w:id="30" w:name="page31"/>
    <w:bookmarkEnd w:id="30"/>
    <w:p>
      <w:pPr>
        <w:ind w:right="160" w:firstLine="270"/>
        <w:spacing w:after="0" w:line="259" w:lineRule="auto"/>
        <w:rPr>
          <w:sz w:val="20"/>
          <w:szCs w:val="20"/>
          <w:color w:val="auto"/>
        </w:rPr>
      </w:pPr>
      <w:r>
        <w:rPr>
          <w:rFonts w:ascii="Arial" w:cs="Arial" w:eastAsia="Arial" w:hAnsi="Arial"/>
          <w:sz w:val="18"/>
          <w:szCs w:val="18"/>
          <w:color w:val="auto"/>
        </w:rPr>
        <w:t>Vringo expects its net losses to continue in the foreseeable future, as Vringo continues to grow its user base through carrier partnerships, continue to ensure it has broad handset reach, enhance its viral and social tools, maintain and grow its product and technology portfolio, build a strong revenue base of recurring monthly subscription revenue, find new forms of distribution, and explore monetization through advertising and revenue through content sales.</w:t>
      </w:r>
    </w:p>
    <w:p>
      <w:pPr>
        <w:spacing w:after="0" w:line="183" w:lineRule="exact"/>
        <w:rPr>
          <w:sz w:val="20"/>
          <w:szCs w:val="20"/>
          <w:color w:val="auto"/>
        </w:rPr>
      </w:pPr>
    </w:p>
    <w:p>
      <w:pPr>
        <w:ind w:right="340" w:firstLine="270"/>
        <w:spacing w:after="0" w:line="282" w:lineRule="auto"/>
        <w:rPr>
          <w:sz w:val="20"/>
          <w:szCs w:val="20"/>
          <w:color w:val="auto"/>
        </w:rPr>
      </w:pPr>
      <w:r>
        <w:rPr>
          <w:rFonts w:ascii="Arial" w:cs="Arial" w:eastAsia="Arial" w:hAnsi="Arial"/>
          <w:sz w:val="18"/>
          <w:szCs w:val="18"/>
          <w:b w:val="1"/>
          <w:bCs w:val="1"/>
          <w:color w:val="auto"/>
        </w:rPr>
        <w:t>Vringo is a development stage company with no historically significant income and there is a significant doubt about Vringo’s ability to continue its activities as a going concern.</w:t>
      </w:r>
    </w:p>
    <w:p>
      <w:pPr>
        <w:spacing w:after="0" w:line="166"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Vringo is still a development stage company. Vringo’s operations are subject to all of the risks inherent in development stage companies that do not have significant revenues or operating income. Vringo’s potential for success must be considered in light of the problems, expenses, difficulties, complications and delays frequently encountered in connection with a new business, especially technology start-up companies. Vringo cannot provide any assurance that its business objectives will be accomplished. All of Vringo’s audited consolidated financial statements, since inception, have contained a statement by Vringo’s management that raises significant doubt about Vringo being able to continue as a going concern unless Vringo is able to raise additional capital. Vringo’s financial statements do not include any adjustment relating to the recovery and classification of recorded asset amounts or the amount and classification of liabilities that might be necessary should Vringo’s operations cease.</w:t>
      </w:r>
    </w:p>
    <w:p>
      <w:pPr>
        <w:spacing w:after="0" w:line="167"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Vringo believes that current cash levels, together with existing funding commitments, will be sufficient to support its activity at least for the coming twelve months. We may need to raise additional funds in connection with any acquisitions of patent portfolios or other intellectual property assets that we pursue. Any such financing that Vringo undertakes will likely be dilutive to Vringo’s current stockholders.</w:t>
      </w:r>
    </w:p>
    <w:p>
      <w:pPr>
        <w:spacing w:after="0" w:line="162" w:lineRule="exact"/>
        <w:rPr>
          <w:sz w:val="20"/>
          <w:szCs w:val="20"/>
          <w:color w:val="auto"/>
        </w:rPr>
      </w:pPr>
    </w:p>
    <w:p>
      <w:pPr>
        <w:ind w:firstLine="270"/>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Vringo’s security holders may have an adverse effect on the market price of Vringo common stock.</w:t>
      </w:r>
    </w:p>
    <w:p>
      <w:pPr>
        <w:spacing w:after="0" w:line="166"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Should Vringo’s currently outstanding warrants be exercised (including the warrants issued in connection with the Merger), there will be an additional 22,695,411 shares of common stock eligible for trading in the public market. In addition, Vringo currently has options outstanding to purchase 4,332,348 shares of common stock granted to Vringo’s management, employees, directors and consultants. In March 2012, the Vringo board of directors approved participation of all outstanding options in future dividends. In addition, the vesting of all outstanding options will accelerate if the Vringo common stock reaches certain price or market capitalization targets for 20 of 30 consecutive trading dates, as follows: (i) 50% acceleration if either the price of the Vringo common stock is at least $5 or Vringo’s market capitalization is at least $250,000,000; (ii) 75% acceleration if either the price of the Vringo common stock is at least $10 or Vringo’s market capitalization is $500,000,000 or more; and (iii) 100% acceleration if either the price of the Vringo common stock is at least $20 or Vringo’s market capitalization is at least $1,000,000,000. Furthermore, all outstanding options granted to members of the board of directors shall fully vest if a member of the Vringo board of directors ceases to be a director at any time during the six-month period immediately following the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Vringo’s securities or on Vringo’s ability to obtain future financing. The average weighted exercise price of all currently outstanding warrants and options, as of July 20, 2012, is $2.26 per share.</w:t>
      </w:r>
    </w:p>
    <w:p>
      <w:pPr>
        <w:spacing w:after="0" w:line="181" w:lineRule="exact"/>
        <w:rPr>
          <w:sz w:val="20"/>
          <w:szCs w:val="20"/>
          <w:color w:val="auto"/>
        </w:rPr>
      </w:pPr>
    </w:p>
    <w:p>
      <w:pPr>
        <w:ind w:right="700" w:firstLine="270"/>
        <w:spacing w:after="0" w:line="282" w:lineRule="auto"/>
        <w:rPr>
          <w:sz w:val="20"/>
          <w:szCs w:val="20"/>
          <w:color w:val="auto"/>
        </w:rPr>
      </w:pPr>
      <w:r>
        <w:rPr>
          <w:rFonts w:ascii="Arial" w:cs="Arial" w:eastAsia="Arial" w:hAnsi="Arial"/>
          <w:sz w:val="18"/>
          <w:szCs w:val="18"/>
          <w:b w:val="1"/>
          <w:bCs w:val="1"/>
          <w:color w:val="auto"/>
        </w:rPr>
        <w:t>Future sales of Vringo’s shares of common stock by its stockholders could cause the market price of Vringo common stock to drop significantly, even if Vringo’s business is performing well.</w:t>
      </w:r>
    </w:p>
    <w:p>
      <w:pPr>
        <w:spacing w:after="0" w:line="166"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As of July 20, 2012, Vringo has 35,332,487 shares of common stock issued and outstanding and 6,173 shares of Vringo preferred stock, initially convertible into 18,627,645 of Vringo shares of common stock, excluding shares of common stock issuable upon exercise of warrants or options. As shares saleable under Rule 144 are sold or as restrictions on resale need, the market price of Vringo common stock could drop significantly, if the holders of restricted shares sell them, or are perceived by the market as intending to sell them. This decline in Vringo’s stock price could occur even if Vringo’s business is otherwise performing well. We filed with the SEC Registration Statements for the common shares underlying (a) the 2,526,289 of the new warrants issued in February 2012 (which registration was declared effective on June 20, 2012) (including 11,834 warrants issued to Vringo’s placement agent) and (b) 4,332,348 options currently outstanding under Vringo’s 2006 Stock Option Plan.</w:t>
      </w:r>
    </w:p>
    <w:p>
      <w:pPr>
        <w:spacing w:after="0" w:line="38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81" w:right="23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b w:val="1"/>
          <w:bCs w:val="1"/>
          <w:color w:val="auto"/>
        </w:rPr>
        <w:t>If Vringo is unable to adequately protect its intellectual property, Vringo may not be able to compete effectively.</w:t>
      </w:r>
    </w:p>
    <w:p>
      <w:pPr>
        <w:spacing w:after="0" w:line="229" w:lineRule="exact"/>
        <w:rPr>
          <w:sz w:val="20"/>
          <w:szCs w:val="20"/>
          <w:color w:val="auto"/>
        </w:rPr>
      </w:pPr>
    </w:p>
    <w:p>
      <w:pPr>
        <w:ind w:right="40" w:firstLine="270"/>
        <w:spacing w:after="0" w:line="269" w:lineRule="auto"/>
        <w:rPr>
          <w:sz w:val="20"/>
          <w:szCs w:val="20"/>
          <w:color w:val="auto"/>
        </w:rPr>
      </w:pPr>
      <w:r>
        <w:rPr>
          <w:rFonts w:ascii="Arial" w:cs="Arial" w:eastAsia="Arial" w:hAnsi="Arial"/>
          <w:sz w:val="17"/>
          <w:szCs w:val="17"/>
          <w:color w:val="auto"/>
        </w:rPr>
        <w:t>Vringo’s ability to compete depends in part upon the strength of Vringo’s proprietary rights in its technologies, brands and content. Vringo relies on a combination of U.S. and foreign patents, copyrights, trademark, trade secret laws and license agreements to establish and protect its intellectual property and proprietary rights. The efforts Vringo has taken to protect its intellectual property and proprietary rights may not be sufficient or effective at stopping unauthorized use of its intellectual property and proprietary rights. In addition, effective trademark, patent, copyright and trade secret protection may not be available or cost-effective in every country in which Vringo’s services are made available. There may be instances where Vringo is not able to fully protect or utilize its intellectual property in a manner that maximizes competitive advantage. If Vringo is unable to protect its intellectual property and proprietary rights from unauthorized use, the value of Vringo’s products may be reduced, which could negatively impact Vringo’s business. Vringo’s inability to obtain appropriate protections for its intellectual property may also allow competitors to enter Vringo’s markets and produce or sell the same or similar products. In addition, protecting Vringo’s intellectual property and other proprietary rights is expensive and diverts critical managerial resources. If any of the foregoing were to occur, or if Vringo is otherwise unable to protect its intellectual property and proprietary rights, Vringo’s business and financial results could be adversely affected.</w:t>
      </w:r>
    </w:p>
    <w:p>
      <w:pPr>
        <w:spacing w:after="0" w:line="183"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If Vringo is forced to resort to legal proceedings to enforce its intellectual property rights, the proceedings could be burdensome and expensive. In addition, Vringo’s proprietary rights could be at risk if Vringo is unsuccessful in, or cannot afford to pursue, those proceedings. Vringo also relies on trade secrets and contract law to protect some of its proprietary technology. Vringo has entered into confidentiality and invention agreements with its employees and consultants. Nevertheless, these agreements may not be honored and they may not effectively protect Vringo’s right to its un-patented trade secrets and know-how. Moreover, others may independently develop substantially equivalent proprietary information and techniques or otherwise gain access to Vringo’s trade secrets and know-how.</w:t>
      </w:r>
    </w:p>
    <w:p>
      <w:pPr>
        <w:spacing w:after="0" w:line="174" w:lineRule="exact"/>
        <w:rPr>
          <w:sz w:val="20"/>
          <w:szCs w:val="20"/>
          <w:color w:val="auto"/>
        </w:rPr>
      </w:pPr>
    </w:p>
    <w:p>
      <w:pPr>
        <w:ind w:right="400" w:firstLine="270"/>
        <w:spacing w:after="0" w:line="282"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166"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174" w:lineRule="exact"/>
        <w:rPr>
          <w:sz w:val="20"/>
          <w:szCs w:val="20"/>
          <w:color w:val="auto"/>
        </w:rPr>
      </w:pPr>
    </w:p>
    <w:p>
      <w:pPr>
        <w:ind w:right="440" w:firstLine="270"/>
        <w:spacing w:after="0" w:line="282" w:lineRule="auto"/>
        <w:rPr>
          <w:sz w:val="20"/>
          <w:szCs w:val="20"/>
          <w:color w:val="auto"/>
        </w:rPr>
      </w:pPr>
      <w:r>
        <w:rPr>
          <w:rFonts w:ascii="Arial" w:cs="Arial" w:eastAsia="Arial" w:hAnsi="Arial"/>
          <w:sz w:val="18"/>
          <w:szCs w:val="18"/>
          <w:b w:val="1"/>
          <w:bCs w:val="1"/>
          <w:color w:val="auto"/>
        </w:rPr>
        <w:t>If Vringo or its users infringe on the intellectual property rights of third parties, Vringo may have to defend against litigation and pay damages and Vringo’s business and prospects may be adversely affected.</w:t>
      </w:r>
    </w:p>
    <w:p>
      <w:pPr>
        <w:spacing w:after="0" w:line="166"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If a third party were to assert that Vringo’s products infringe on its patent, copyright, trademark, right of publicity, right of privacy, trade secret or other intellectual property rights, Vringo could incur substantial litigation costs and be forced to pay substantial damages. Third-party infringement claims, regardless of their outcome, would not only consume significant financial resources, but would also divert Vringo’s management time and attention. Such claims or the lack of available access to certain sites or content could also cause Vringo’s customers or potential customers to purchase competitors’ products if such competitors have access to the sites or contents that Vringo is lacking or defer or limit their purchase or use of Vringo’s affected products or services until resolution of the claim. In connection with any such claim or litigation, Vringo’s mobile carriers and other partners may decide to re-assess their relationships with Vringo, especially if they perceive that they may have potential liability or if such claimed infringement is a possible breach of Vringo’s agreement with such mobile carrier. If any of Vringo’s products are found to violate third-party intellectual property rights, Vringo may have to re-engineer one or more of its products, or Vringo may have to obtain licenses from third parties to continue offering its products without substantial re-engineering. Vringo’s efforts to re-engineer or obtain licenses could require significant expenditures of time and money and may not be successful. Accordingly, any claims or litigation regarding Vringo’s infringement of intellectual property of a third party by Vringo or its users could have a material adverse effect on Vringo’s business and prospects.</w:t>
      </w:r>
    </w:p>
    <w:p>
      <w:pPr>
        <w:spacing w:after="0" w:line="169" w:lineRule="exact"/>
        <w:rPr>
          <w:sz w:val="20"/>
          <w:szCs w:val="20"/>
          <w:color w:val="auto"/>
        </w:rPr>
      </w:pPr>
    </w:p>
    <w:p>
      <w:pPr>
        <w:ind w:right="40" w:firstLine="270"/>
        <w:spacing w:after="0" w:line="268" w:lineRule="auto"/>
        <w:rPr>
          <w:sz w:val="20"/>
          <w:szCs w:val="20"/>
          <w:color w:val="auto"/>
        </w:rPr>
      </w:pPr>
      <w:r>
        <w:rPr>
          <w:rFonts w:ascii="Arial" w:cs="Arial" w:eastAsia="Arial" w:hAnsi="Arial"/>
          <w:sz w:val="17"/>
          <w:szCs w:val="17"/>
          <w:color w:val="auto"/>
        </w:rPr>
        <w:t>Third party infringement claims could also significantly limit Vringo Studio products and the content available in Vringo’s content library. The Vringo Studio tool allows users to access video from multiple sites on the web or from their computer and then edit and send these video clips to their mobile phones as customized video ringtones. These websites could choose to block Vringo from accessing their content for violating their terms of service by allowing users to download clips or for any other reason, which could significantly limit the availability of content in the Vringo Studio. Additionally, while Vringo employs special software that seeks to determine whether a clip is copyrighted or otherwise restricted, it is not feasible for Vringo to determine whether users of Vringo Studio own or acquire appropriate intellectual property permissions to use each clip before it is downloaded. Therefore, Vringo requires users of the Vringo Studio to certify that they have the rights to use the content that they desire to send to their phone. Additionally, while the majority of the clips in Vringo’s content library are either licensed by Vringo directly or are public domain or creative commons, Vringo’s content library contains certain clips which Vringo has not licensed from the content owner. As a result, Vringo may receive cease-and-desist letters, or other threats of litigation, from website hosts and content owners asserting that Vringo is infringing on their intellectual property or violating the terms and conditions of their websites. In such a case, Vringo will remove or attempt to obtain licenses for such content or obtain additional content from other websites. However, there is no assurance that Vringo will be able to enter into license agreements with content owners. Consequently, Vringo may be forced to remove a portion of its content from its library and significantly limit the availability of content in the Vringo Studio. This would negatively impact Vringo’s user experience and may cause users to cancel Vringo’s service and make Vringo’s service less attractive to its partners.</w:t>
      </w:r>
    </w:p>
    <w:p>
      <w:pPr>
        <w:spacing w:after="0" w:line="39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32" w:name="page33"/>
    <w:bookmarkEnd w:id="32"/>
    <w:p>
      <w:pPr>
        <w:ind w:right="60" w:firstLine="270"/>
        <w:spacing w:after="0" w:line="266" w:lineRule="auto"/>
        <w:rPr>
          <w:sz w:val="20"/>
          <w:szCs w:val="20"/>
          <w:color w:val="auto"/>
        </w:rPr>
      </w:pPr>
      <w:r>
        <w:rPr>
          <w:rFonts w:ascii="Arial" w:cs="Arial" w:eastAsia="Arial" w:hAnsi="Arial"/>
          <w:sz w:val="18"/>
          <w:szCs w:val="18"/>
          <w:b w:val="1"/>
          <w:bCs w:val="1"/>
          <w:color w:val="auto"/>
        </w:rPr>
        <w:t>If Vringo is unable to enter into or maintain distribution arrangements with major mobile carriers and/or other partners and develop and maintain its existing strategic relationships with mobile carriers, Vringo will be unable to distribute its products effectively or generate significant revenue.</w:t>
      </w:r>
    </w:p>
    <w:p>
      <w:pPr>
        <w:spacing w:after="0" w:line="180"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Vringo’s strategy for distributing its applications and services is dependent upon establishing distribution arrangements with major mobile carriers and other partners. Vringo currently has distribution arrangements with Etisalat (Emirates Telecom), Orange (Everything Everywhere), Vodafone, Verizon, Maxis, Celcom (Axiata Berhard), Hungama Mobile and Du. Vringo needs to develop and maintain strategic relationships with these entities in order for them to market its service to their end users. While Vringo has entered into agreements with the aforementioned mobile carriers pursuant to which Vringo’s service may be made available to their end-users, such agreements are not exclusive and generally do not obligate the partner to market or distribute Vringo’s service. In addition, a number of Vringo’s distribution agreements allow the mobile carrier to terminate its rights under the agreement at any time and for any reason upon 30 days’ notice. Vringo is dependent upon the subsequent success of these partners in performing their responsibilities and sufficiently marketing Vringo’s service. Vringo cannot provide you any assurance that it will be able to negotiate, execute and maintain favorable agreements and relationships with any additional partners, that the partners with whom Vringo has a contractual relationship will choose to promote Vringo’s service or that such partners will be successful and/or will not pursue alternative technologies.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If Vringo is unsuccessful in entering into and maintaining content license agreements, its revenues will be negatively affected.</w:t>
      </w:r>
    </w:p>
    <w:p>
      <w:pPr>
        <w:spacing w:after="0" w:line="24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The success of Vringo’s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Vringo to make significant minimum payments. Vringo has entered into approximately 35 content license agreements with various content providers. While Vringo’s business is not dependent on any particular content license agreement, there is no assurance that Vringo will enter into a sufficient number of content license agreements or that the ones that Vringo enters into will be profitable and will not be terminated early.</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generate revenues from certain of its prepaid mobile customers.</w:t>
      </w:r>
    </w:p>
    <w:p>
      <w:pPr>
        <w:spacing w:after="0" w:line="229" w:lineRule="exact"/>
        <w:rPr>
          <w:sz w:val="20"/>
          <w:szCs w:val="20"/>
          <w:color w:val="auto"/>
        </w:rPr>
      </w:pPr>
    </w:p>
    <w:p>
      <w:pPr>
        <w:jc w:val="both"/>
        <w:ind w:right="420" w:firstLine="270"/>
        <w:spacing w:after="0" w:line="286" w:lineRule="auto"/>
        <w:rPr>
          <w:sz w:val="20"/>
          <w:szCs w:val="20"/>
          <w:color w:val="auto"/>
        </w:rPr>
      </w:pPr>
      <w:r>
        <w:rPr>
          <w:rFonts w:ascii="Arial" w:cs="Arial" w:eastAsia="Arial" w:hAnsi="Arial"/>
          <w:sz w:val="17"/>
          <w:szCs w:val="17"/>
          <w:color w:val="auto"/>
        </w:rPr>
        <w:t>Vringo currently operates in markets that have a high percentage of prepaid mobile customers. Many of these users may not have a sufficient balance in their prepaid account when their free trial ends and Vringo bills them to cover the charges for subscribing to its service. As a result, the subscriber numbers that Vringo periodically discloses may not generate revenues at the expected level.</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is dependent on mobile carriers and other partners to make timely payments to Vringo.</w:t>
      </w:r>
    </w:p>
    <w:p>
      <w:pPr>
        <w:spacing w:after="0" w:line="229"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Vringo will receive its revenue from mobile carriers and other distribution partners who may delay payment to Vringo, dispute amounts owed to Vringo, or in some cases refuse to pay Vringo at all. Many of these partners are in markets where Vringo may have limited legal recourse to collect payments from these partners. Vringo’s failure to collect payments owed to it from its partners will have an adverse effect on Vringo’s business and its results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continue to maintain its application on all of the operating systems that it currently supports.</w:t>
      </w:r>
    </w:p>
    <w:p>
      <w:pPr>
        <w:spacing w:after="0" w:line="229" w:lineRule="exact"/>
        <w:rPr>
          <w:sz w:val="20"/>
          <w:szCs w:val="20"/>
          <w:color w:val="auto"/>
        </w:rPr>
      </w:pPr>
    </w:p>
    <w:p>
      <w:pPr>
        <w:ind w:right="60" w:firstLine="270"/>
        <w:spacing w:after="0" w:line="286" w:lineRule="auto"/>
        <w:rPr>
          <w:sz w:val="20"/>
          <w:szCs w:val="20"/>
          <w:color w:val="auto"/>
        </w:rPr>
      </w:pPr>
      <w:r>
        <w:rPr>
          <w:rFonts w:ascii="Arial" w:cs="Arial" w:eastAsia="Arial" w:hAnsi="Arial"/>
          <w:sz w:val="16"/>
          <w:szCs w:val="16"/>
          <w:color w:val="auto"/>
        </w:rPr>
        <w:t>Some of Vringo’s applications are compatible with various mobile operating systems including Android, Blackberry, Sony Ericsson, Symbian, Apple’s iOS, Java, and Windows Mobile operating systems. While Windows Mobile, Blackberry and Android do not support video ringtones natively, Vringo’s development team has enabled its application to work on many devices which utilize these operating systems. The user base for the video ringtone service is spread out amongst a number of smartphone and feature phone operating systems, with applications on each aforementioned</w:t>
      </w:r>
    </w:p>
    <w:p>
      <w:pPr>
        <w:spacing w:after="0" w:line="2" w:lineRule="exact"/>
        <w:rPr>
          <w:sz w:val="20"/>
          <w:szCs w:val="20"/>
          <w:color w:val="auto"/>
        </w:rPr>
      </w:pPr>
    </w:p>
    <w:p>
      <w:pPr>
        <w:jc w:val="both"/>
        <w:ind w:right="540"/>
        <w:spacing w:after="0" w:line="234" w:lineRule="auto"/>
        <w:rPr>
          <w:sz w:val="20"/>
          <w:szCs w:val="20"/>
          <w:color w:val="auto"/>
        </w:rPr>
      </w:pPr>
      <w:r>
        <w:rPr>
          <w:rFonts w:ascii="Arial" w:cs="Arial" w:eastAsia="Arial" w:hAnsi="Arial"/>
          <w:sz w:val="16"/>
          <w:szCs w:val="16"/>
          <w:color w:val="auto"/>
        </w:rPr>
        <w:t xml:space="preserve">operating system representing less than 5% of the total subscribers to Vringo’s video ringtone platform.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which represents less than 5% of Vringo’s revenue for the three months ended March 31, 2012, is heavily reliant upon Vringo’s Android devices users.</w:t>
      </w:r>
    </w:p>
    <w:p>
      <w:pPr>
        <w:spacing w:after="0" w:line="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 xml:space="preserve">Currently, over 96% of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users utilize the Android operating system. In addition, Vringo’s commercial agreement with ZTE is solely reliant on Vringo’s ability to maintain its support for the Android operating system. Since these operating systems do not support Vringo’s applications natively, any significant changes to these operating systems by their respective developers may prevent Vringo’s application from working properly or at all on these systems. If Vringo is unable to maintain its application on these operating systems or on any other operating systems, users of these operating systems will not be able to use Vringo’s application, which could adversely affect Vringo’s business and results of operations.</w:t>
      </w:r>
    </w:p>
    <w:p>
      <w:pPr>
        <w:spacing w:after="0" w:line="4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877" w:right="259" w:bottom="1440" w:gutter="0" w:footer="0" w:header="0"/>
        </w:sectPr>
      </w:pPr>
    </w:p>
    <w:bookmarkStart w:id="33" w:name="page34"/>
    <w:bookmarkEnd w:id="33"/>
    <w:p>
      <w:pPr>
        <w:ind w:left="260"/>
        <w:spacing w:after="0"/>
        <w:rPr>
          <w:sz w:val="20"/>
          <w:szCs w:val="20"/>
          <w:color w:val="auto"/>
        </w:rPr>
      </w:pPr>
      <w:r>
        <w:rPr>
          <w:rFonts w:ascii="Arial" w:cs="Arial" w:eastAsia="Arial" w:hAnsi="Arial"/>
          <w:sz w:val="18"/>
          <w:szCs w:val="18"/>
          <w:b w:val="1"/>
          <w:bCs w:val="1"/>
          <w:color w:val="auto"/>
        </w:rPr>
        <w:t>Vringo operates in the digital content market where piracy of content is widespread.</w:t>
      </w:r>
    </w:p>
    <w:p>
      <w:pPr>
        <w:spacing w:after="0" w:line="229"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Vringo’s business strategy is partially based upon users paying Vringo for access to its content. If users believe they can obtain the same or similar content for free via other means including piracy, they may be unwilling to pay for Vringo’s service. Additionally, since Vringo’s own clips do not have any copy protection, they can theoretically be distributed by a paying user to a non-paying user without any additional payment to Vringo. If users or potential users obtain Vringo’s content or similar content without payment to Vringo, Vringo’s business and results of operations will be adversely affected.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Major network failures could have an adverse effect on Vringo’s business.</w:t>
      </w:r>
    </w:p>
    <w:p>
      <w:pPr>
        <w:spacing w:after="0" w:line="229"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Vringo relies, could cause major network failures and/or unusually high network traffic demands that could have a material adverse effect on Vringo’s operations or its ability to provide service to Vringo’s customers. These events could disrupt Vringo’s operations, require significant resources to resolve, result in a loss of customers or impair Vringo’s ability to attract new customers, which in turn could have a material adverse effect on Vringo’s business, results of operations and financial condition.</w:t>
      </w:r>
    </w:p>
    <w:p>
      <w:pPr>
        <w:spacing w:after="0" w:line="178"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Vringo’s data is hosted at a remote location. Although Vringo has full alternative site data backed up, Vringo does not have data hosting redundancy. Accordingly, Vringo may experience significant service interruptions, which could require significant resources to resolve, result in a loss of customers or impair Vringo’s ability to attract new customers, which in turn could have a material adverse effect on Vringo’s business, results of operations and financial condition.</w:t>
      </w:r>
    </w:p>
    <w:p>
      <w:pPr>
        <w:spacing w:after="0" w:line="187"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In addition, with the growth of wireless data services, enterprise data interfaces and Internet-based or Internet Protocol-enabled applications, wireless networks and devices are exposed to a greater degree to third-party data or applications over which Vringo has less direct control. As a result, the network infrastructure and information systems on which Vringo relies, as well as Vringo’s customers’ wireless devices, may be subject to a wider array of potential security risks, including viruses and other types of computer-based attacks, which could cause lapses in Vringo’s service or adversely affect the ability of Vringo’s customers to access its service. Such lapses could have a material adverse effect on Vringo’s business and its results of operations.</w:t>
      </w:r>
    </w:p>
    <w:p>
      <w:pPr>
        <w:spacing w:after="0" w:line="189" w:lineRule="exact"/>
        <w:rPr>
          <w:sz w:val="20"/>
          <w:szCs w:val="20"/>
          <w:color w:val="auto"/>
        </w:rPr>
      </w:pPr>
    </w:p>
    <w:p>
      <w:pPr>
        <w:ind w:right="460" w:firstLine="270"/>
        <w:spacing w:after="0" w:line="282" w:lineRule="auto"/>
        <w:rPr>
          <w:sz w:val="20"/>
          <w:szCs w:val="20"/>
          <w:color w:val="auto"/>
        </w:rPr>
      </w:pPr>
      <w:r>
        <w:rPr>
          <w:rFonts w:ascii="Arial" w:cs="Arial" w:eastAsia="Arial" w:hAnsi="Arial"/>
          <w:sz w:val="18"/>
          <w:szCs w:val="18"/>
          <w:b w:val="1"/>
          <w:bCs w:val="1"/>
          <w:color w:val="auto"/>
        </w:rPr>
        <w:t>Vringo’s business depends upon its ability to keep pace with the latest technological changes and Vringo’s failure to do so could make Vringo less competitive in its industry.</w:t>
      </w:r>
    </w:p>
    <w:p>
      <w:pPr>
        <w:spacing w:after="0" w:line="166"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The market for Vringo’s products and services is characterized by rapid change and technological change, frequent new product innovations, changes in customer requirements and expectations and evolving industry standards. Products using new technologies or emerging industry standards could make Vringo’s products and services less attractive. Furthermore, Vringo’s competitors may have access to technology not available to Vringo, which may enable them to produce products of greater interest to consumers or at a more competitive cost. Failure to respond in a timely and cost-effective way to these technological developments may result in serious harm to Vringo’s business and operating results. As a result, Vringo’s success will depend, in part, on its ability to develop and market product and service offerings that respond in a timely manner to the technological advances available to Vringo’s customers, evolving industry standards and changing preferences.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Vringo’s Facetones </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xml:space="preserve"> application depends upon Vringo’s continued access to Facebook® photos.</w:t>
      </w:r>
    </w:p>
    <w:p>
      <w:pPr>
        <w:spacing w:after="0" w:line="132" w:lineRule="exact"/>
        <w:rPr>
          <w:sz w:val="20"/>
          <w:szCs w:val="20"/>
          <w:color w:val="auto"/>
        </w:rPr>
      </w:pPr>
    </w:p>
    <w:p>
      <w:pPr>
        <w:ind w:right="60" w:firstLine="270"/>
        <w:spacing w:after="0" w:line="224" w:lineRule="auto"/>
        <w:rPr>
          <w:sz w:val="20"/>
          <w:szCs w:val="20"/>
          <w:color w:val="auto"/>
        </w:rPr>
      </w:pPr>
      <w:r>
        <w:rPr>
          <w:rFonts w:ascii="Arial" w:cs="Arial" w:eastAsia="Arial" w:hAnsi="Arial"/>
          <w:sz w:val="18"/>
          <w:szCs w:val="18"/>
          <w:color w:val="auto"/>
        </w:rPr>
        <w:t xml:space="preserve">Vringo’s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application creates automated video slideshow using friends’ photos from social media web sites, primarily from Facebook®, the world’s leading social media site.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represented less than 5% of Vringo’s revenue for the three months ended March 31, 2012, however, Vringo believes that the rapid growth of its user base is critical to the value of its mobile application business. In the event Facebook® prohibits or restricts the ability of Vringo’s application to access photos on its site, Vringo’s business, financial condition, operating results and projected growth could be harmed. In February 2012, Vringo entered into an agreement with Facebook®, which clarifies Vringo’s permitted use of the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mark and domain name.</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If Vringo’s Facetones </w:t>
      </w:r>
      <w:r>
        <w:rPr>
          <w:rFonts w:ascii="Arial" w:cs="Arial" w:eastAsia="Arial" w:hAnsi="Arial"/>
          <w:sz w:val="26"/>
          <w:szCs w:val="26"/>
          <w:b w:val="1"/>
          <w:bCs w:val="1"/>
          <w:color w:val="auto"/>
          <w:vertAlign w:val="superscript"/>
        </w:rPr>
        <w:t>TM</w:t>
      </w:r>
      <w:r>
        <w:rPr>
          <w:rFonts w:ascii="Arial" w:cs="Arial" w:eastAsia="Arial" w:hAnsi="Arial"/>
          <w:sz w:val="16"/>
          <w:szCs w:val="16"/>
          <w:b w:val="1"/>
          <w:bCs w:val="1"/>
          <w:color w:val="auto"/>
        </w:rPr>
        <w:t xml:space="preserve"> trademark is challenged by another party, Vringo’s revenue from this application may be adversely affected.</w:t>
      </w:r>
    </w:p>
    <w:p>
      <w:pPr>
        <w:spacing w:after="0" w:line="178" w:lineRule="exact"/>
        <w:rPr>
          <w:sz w:val="20"/>
          <w:szCs w:val="20"/>
          <w:color w:val="auto"/>
        </w:rPr>
      </w:pPr>
    </w:p>
    <w:p>
      <w:pPr>
        <w:ind w:right="120" w:firstLine="270"/>
        <w:spacing w:after="0" w:line="247" w:lineRule="auto"/>
        <w:rPr>
          <w:sz w:val="20"/>
          <w:szCs w:val="20"/>
          <w:color w:val="auto"/>
        </w:rPr>
      </w:pPr>
      <w:r>
        <w:rPr>
          <w:rFonts w:ascii="Arial" w:cs="Arial" w:eastAsia="Arial" w:hAnsi="Arial"/>
          <w:sz w:val="17"/>
          <w:szCs w:val="17"/>
          <w:color w:val="auto"/>
        </w:rPr>
        <w:t xml:space="preserve">In February 2012, Vringo entered into an agreement with Facebook, Inc., an online social network, relating to the use of Vringo’s Facetones </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mark and domain name (collectively, the “Facetones Mark”).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Vringo’s Facetones Mark, Vringo will need to re-brand its application, which may have a negative impact on Vringo’s revenue from this application.</w:t>
      </w:r>
    </w:p>
    <w:p>
      <w:pPr>
        <w:spacing w:after="0" w:line="200" w:lineRule="exact"/>
        <w:rPr>
          <w:sz w:val="20"/>
          <w:szCs w:val="20"/>
          <w:color w:val="auto"/>
        </w:rPr>
      </w:pPr>
    </w:p>
    <w:p>
      <w:pPr>
        <w:spacing w:after="0" w:line="2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877" w:right="259" w:bottom="1440" w:gutter="0" w:footer="0" w:header="0"/>
        </w:sectPr>
      </w:pPr>
    </w:p>
    <w:bookmarkStart w:id="34" w:name="page35"/>
    <w:bookmarkEnd w:id="34"/>
    <w:p>
      <w:pPr>
        <w:ind w:left="260"/>
        <w:spacing w:after="0"/>
        <w:rPr>
          <w:sz w:val="20"/>
          <w:szCs w:val="20"/>
          <w:color w:val="auto"/>
        </w:rPr>
      </w:pPr>
      <w:r>
        <w:rPr>
          <w:rFonts w:ascii="Arial" w:cs="Arial" w:eastAsia="Arial" w:hAnsi="Arial"/>
          <w:sz w:val="18"/>
          <w:szCs w:val="18"/>
          <w:b w:val="1"/>
          <w:bCs w:val="1"/>
          <w:color w:val="auto"/>
        </w:rPr>
        <w:t>Regulation concerning consumer privacy may adversely affect Vringo’s business.</w:t>
      </w:r>
    </w:p>
    <w:p>
      <w:pPr>
        <w:spacing w:after="0" w:line="229"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Certain technologies that Vringo currently supports, or may in the future support, are capable of collecting personally-identifiable information. Vringo anticipates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Vringo’s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Vringo’s ability to collect information related to users or Vringo’s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Vringo’s ability to collect and disseminate or share certain information about consumers and may negatively affect Vringo’s ability to make use of that information. If Vringo fails to successfully comply with applicable regulations in this area, its business and prospects could be harmed.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ability to raise capital through equity or equity-linked transactions may be limited.</w:t>
      </w:r>
    </w:p>
    <w:p>
      <w:pPr>
        <w:spacing w:after="0" w:line="229"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In order for Vringo to raise capital privately through equity or equity-linked transactions, stockholder approval is required to enable Vringo to issue more than 19.99% of Vringo’s outstanding shares of common stock pursuant to the rules and regulations of the NYSE MKT (formerly, NYSE Amex). Should stockholders not approve such issuances, Vringo’s sole means to raise capital would be through debt, which could have a material adverse effect on Vringo’s balance sheet and overall financial condition.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liquidity is largely dependent on its common stock being traded on a major exchange.</w:t>
      </w:r>
    </w:p>
    <w:p>
      <w:pPr>
        <w:spacing w:after="0" w:line="229"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Vringo’s common stock and warrants are listed on the NYSE MKT, a national securities exchange, which imposes continued listing requirements with respect to listed shares. On April 26, 2012, the NYSE MKT notified Vringo that it had resolved the continued listing deficiency referenced in the NYSE MKT's letter dated May 24, 2011, which stated that Vringo was not in compliance with Section 1003(a) (iv) of the NYSE MKT's continued listing standards. The NYSE MKT's conclusion was based on a review of available information, including Vringo’s filings with the SEC. Vringo’s continued listing eligibility will be assessed on an ongoing basis. While the NYSE MKT has not initiated delisting proceedings in the past, there is no assurance that it will not do so in the future.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the NYSE MKT delists Vringo’s securities from trading, Vringo could face significant consequences, including:</w:t>
      </w:r>
    </w:p>
    <w:p>
      <w:pPr>
        <w:spacing w:after="0" w:line="225"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availability for market quotations for its securities;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liquidity with respect to its securities;</w:t>
      </w:r>
    </w:p>
    <w:p>
      <w:pPr>
        <w:spacing w:after="0" w:line="9" w:lineRule="exact"/>
        <w:rPr>
          <w:rFonts w:ascii="Arial" w:cs="Arial" w:eastAsia="Arial" w:hAnsi="Arial"/>
          <w:sz w:val="18"/>
          <w:szCs w:val="18"/>
          <w:color w:val="auto"/>
        </w:rPr>
      </w:pPr>
    </w:p>
    <w:p>
      <w:pPr>
        <w:ind w:left="540" w:right="120" w:hanging="316"/>
        <w:spacing w:after="0" w:line="265"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determination that Vringo’s common stock is a “penny stock,” which will require brokers trading in Vringo common stock to adhere to more stringent rules and possibly result in a reduced level of trading activity in the secondary trading market for Vringo common stock;</w:t>
      </w: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11"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In addition, Vringo would no longer be subject to the NYSE MKT rules, including rules requiring Vringo to have a certain number of independent directors and to meet other corporate governance standards.</w:t>
      </w:r>
    </w:p>
    <w:p>
      <w:pPr>
        <w:spacing w:after="0" w:line="166" w:lineRule="exact"/>
        <w:rPr>
          <w:sz w:val="20"/>
          <w:szCs w:val="20"/>
          <w:color w:val="auto"/>
        </w:rPr>
      </w:pPr>
    </w:p>
    <w:p>
      <w:pPr>
        <w:ind w:right="120" w:firstLine="270"/>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Vringo’s business relationships and profitability.</w:t>
      </w:r>
    </w:p>
    <w:p>
      <w:pPr>
        <w:spacing w:after="0" w:line="166"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Vringo’s research and development facility and finance department are located in Israel and many of Vringo’s key personnel reside in Israel. Vringo’s business is directly affected by the political, economic and military conditions in Israel and its neighbors. Major hostilities involving Israel or the interruption or curtailment of trade between Israel and its present trading partners could have a material adverse effect on Vringo’s existing business relationships and on Vringo’s operating results and financial condition. Furthermore, several countries restrict business with Israeli companies, which may impair Vringo’s ability to create new business relationships or to be, or become, profitable.</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Vringo may not be able to enforce covenants not-to-compete under current Israeli law, which may result in added competition.</w:t>
      </w:r>
    </w:p>
    <w:p>
      <w:pPr>
        <w:spacing w:after="0" w:line="241" w:lineRule="exact"/>
        <w:rPr>
          <w:sz w:val="20"/>
          <w:szCs w:val="20"/>
          <w:color w:val="auto"/>
        </w:rPr>
      </w:pPr>
    </w:p>
    <w:p>
      <w:pPr>
        <w:ind w:right="180" w:firstLine="270"/>
        <w:spacing w:after="0" w:line="273" w:lineRule="auto"/>
        <w:rPr>
          <w:sz w:val="20"/>
          <w:szCs w:val="20"/>
          <w:color w:val="auto"/>
        </w:rPr>
      </w:pPr>
      <w:r>
        <w:rPr>
          <w:rFonts w:ascii="Arial" w:cs="Arial" w:eastAsia="Arial" w:hAnsi="Arial"/>
          <w:sz w:val="17"/>
          <w:szCs w:val="17"/>
          <w:color w:val="auto"/>
        </w:rPr>
        <w:t>Vringo has non-competition agreements with all of its employees, almost all of which are governed by Israeli law. These agreements generally prohibit Vringo’s employees from competing with or working for its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Vringo is not able to enforce non-compete covenants, Vringo may be faced with added competition.</w:t>
      </w:r>
    </w:p>
    <w:p>
      <w:pPr>
        <w:spacing w:after="0" w:line="39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35" w:name="page36"/>
    <w:bookmarkEnd w:id="35"/>
    <w:p>
      <w:pPr>
        <w:ind w:left="500" w:right="360" w:firstLine="270"/>
        <w:spacing w:after="0" w:line="347" w:lineRule="auto"/>
        <w:rPr>
          <w:sz w:val="20"/>
          <w:szCs w:val="20"/>
          <w:color w:val="auto"/>
        </w:rPr>
      </w:pPr>
      <w:r>
        <w:rPr>
          <w:rFonts w:ascii="Arial" w:cs="Arial" w:eastAsia="Arial" w:hAnsi="Arial"/>
          <w:sz w:val="16"/>
          <w:szCs w:val="16"/>
          <w:b w:val="1"/>
          <w:bCs w:val="1"/>
          <w:color w:val="auto"/>
        </w:rPr>
        <w:t>Because a substantial portion of Vringo’s revenues is generated in dollars and euros, while a significant portion of Vringo’s expenses is incurred in Israeli currency, Vringo’s revenue may be reduced due to inflation in Israel and currency exchange rate fluctuations.</w:t>
      </w:r>
    </w:p>
    <w:p>
      <w:pPr>
        <w:spacing w:after="0" w:line="120" w:lineRule="exact"/>
        <w:rPr>
          <w:sz w:val="20"/>
          <w:szCs w:val="20"/>
          <w:color w:val="auto"/>
        </w:rPr>
      </w:pPr>
    </w:p>
    <w:p>
      <w:pPr>
        <w:jc w:val="both"/>
        <w:ind w:left="500" w:right="220" w:firstLine="270"/>
        <w:spacing w:after="0" w:line="288" w:lineRule="auto"/>
        <w:rPr>
          <w:sz w:val="20"/>
          <w:szCs w:val="20"/>
          <w:color w:val="auto"/>
        </w:rPr>
      </w:pPr>
      <w:r>
        <w:rPr>
          <w:rFonts w:ascii="Arial" w:cs="Arial" w:eastAsia="Arial" w:hAnsi="Arial"/>
          <w:sz w:val="16"/>
          <w:szCs w:val="16"/>
          <w:color w:val="auto"/>
        </w:rPr>
        <w:t>A substantial portion of Vringo’s revenues is generated in dollars and euros, while a significant portion of Vringo’s expenses, principally salaries and related personnel expenses, is paid in Israeli currency. As a result, Vringo is exposed to the risk that the rate of inflation in Israel will exceed the rate of devaluation of Israeli currency in relation to the dollar or the euro, or that the timing of this devaluation will lag behind inflation in Israel.</w:t>
      </w:r>
    </w:p>
    <w:p>
      <w:pPr>
        <w:ind w:left="500" w:right="40"/>
        <w:spacing w:after="0" w:line="271" w:lineRule="auto"/>
        <w:rPr>
          <w:sz w:val="20"/>
          <w:szCs w:val="20"/>
          <w:color w:val="auto"/>
        </w:rPr>
      </w:pPr>
      <w:r>
        <w:rPr>
          <w:rFonts w:ascii="Arial" w:cs="Arial" w:eastAsia="Arial" w:hAnsi="Arial"/>
          <w:sz w:val="17"/>
          <w:szCs w:val="17"/>
          <w:color w:val="auto"/>
        </w:rPr>
        <w:t>Because inflation has the effect of increasing the dollar and euro costs of Vringo’s operations, it would therefore have an adverse effect on Vringo’s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Vringo’s cash flows, revenues and financial condition. Fluctuations in the NIS exchange rate, or even the appearance of instability in such exchange rate, could adversely affect Vringo’s ability to operate its business.</w:t>
      </w:r>
    </w:p>
    <w:p>
      <w:pPr>
        <w:spacing w:after="0" w:line="175" w:lineRule="exact"/>
        <w:rPr>
          <w:sz w:val="20"/>
          <w:szCs w:val="20"/>
          <w:color w:val="auto"/>
        </w:rPr>
      </w:pPr>
    </w:p>
    <w:p>
      <w:pPr>
        <w:ind w:left="500" w:right="360" w:firstLine="270"/>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Vringo’s wholly-owned subsidiary, may increase the costs involved in operating a company in Israel.</w:t>
      </w:r>
    </w:p>
    <w:p>
      <w:pPr>
        <w:spacing w:after="0" w:line="166" w:lineRule="exact"/>
        <w:rPr>
          <w:sz w:val="20"/>
          <w:szCs w:val="20"/>
          <w:color w:val="auto"/>
        </w:rPr>
      </w:pPr>
    </w:p>
    <w:p>
      <w:pPr>
        <w:jc w:val="both"/>
        <w:ind w:left="500" w:right="20" w:firstLine="270"/>
        <w:spacing w:after="0" w:line="297" w:lineRule="auto"/>
        <w:rPr>
          <w:sz w:val="20"/>
          <w:szCs w:val="20"/>
          <w:color w:val="auto"/>
        </w:rPr>
      </w:pPr>
      <w:r>
        <w:rPr>
          <w:rFonts w:ascii="Arial" w:cs="Arial" w:eastAsia="Arial" w:hAnsi="Arial"/>
          <w:sz w:val="16"/>
          <w:szCs w:val="16"/>
          <w:color w:val="auto"/>
        </w:rPr>
        <w:t>The Israeli government currently provides tax and capital investment incentives to domestic companies, as well as grant and loan programs relating to research and development and marketing and export activities. Vringo’s wholly-owned Israeli subsidiary currently takes advantage of some of these programs. Vringo cannot provide you with any assurance that such benefits and programs will continue to be available in the future to Vringo’s Israeli subsidiary. In addition, it is possible that Vringo’s subsidiary will fail to meet the criteria required for eligibility of future benefits. If such benefits and programs were terminated or further reduced, it could have an adverse effect on Vringo’s business, operating results and financial condition.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This prospectus and the documents we have filed with the SEC that are incorporated herein by reference contain such “forward-looking statements” within the meaning of the Private Securities Litigation Reform Act of 1995.</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Such statements in connection with any discussion of future operations or financial performance are identified by the use of words such as “may,” “anticipate,” “estimate,” “expect,” “project,” “intend,” “plan,” “believe,” and other words and terms of similar meaning. Forward-looking statements include, but are not limited to, statements about: our estimates of future performance; the potential value created by the Merger for our stockholders; the potential of the combined company’s technology platform; the ability to raise capital to fund our operations and business plan; the continued listing of our securities on the NYSE MKT; market acceptance of our products; our ability to protect intellectual property rights; competition from other providers and products; the ability to license and monetize the patents owned by Innovate/Protect, including the outcome of the Litigation against online search firms and other companies; our financial condition, financing requirements, prospects and cash flow; and expectations regarding potential growth. Such statements are based on management’s expectations and are subject to certain factors, risks and uncertainties that may cause actual results, outcome of events, timing and performance to differ materially from those expressed or implied by such statements. For a summary of such factors, please refer to the section entitled “Risk Factors” in this prospectus, as updated and supplemented by the discussion of risks and uncertainties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229"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Incorporated by reference herein is the unaudited pro forma consolidated financial information reflecting the merger of Vringo and Innovate/Protect in a transaction to be accounted for as a reverse acquisition with Innovate/Protect treated as the accounting acquirer. This financial information is included in Exhibit 99.1 of our Current Report on Form 8-K, filed with the Commission on June 19, 2012 and consists of (i) the unaudited pro forma consolidated statement of operation for the three month period ended March 31, 2012, (ii) the unaudited pro forma consolidated balance sheets, as of March 31, 2012 and</w:t>
      </w:r>
    </w:p>
    <w:p>
      <w:pPr>
        <w:spacing w:after="0" w:line="2" w:lineRule="exact"/>
        <w:rPr>
          <w:sz w:val="20"/>
          <w:szCs w:val="20"/>
          <w:color w:val="auto"/>
        </w:rPr>
      </w:pPr>
    </w:p>
    <w:p>
      <w:pPr>
        <w:ind w:right="120" w:firstLine="8"/>
        <w:spacing w:after="0" w:line="253"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unaudited pro forma consolidated statement of operation, for the period from June 8, 2011 (date of inception of Innovate/Protect) through December 31, 2011. The unaudited pro forma consolidated financial information should be read in conjunction with the historical consolidated financial statements and the related notes of Vringo, included in Vringo’s periodic reports filed with the Commission, and of Innovate/Protect, included in Exhibits 99.5 and 99.6 of our Current Report on Form 8-K, filed with the Commission on July 20, 2012 and incorporated by reference herein. See “Incorporation of Information by Reference.”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general corporate purposes, including, but not limited to, repayment of existing indebtedness, working capital, intellectual property protection and enforcement, capital expenditures, investments and acquisitions, including acquisitions of patent portfolios.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of Distribution</w:t>
      </w:r>
    </w:p>
    <w:p>
      <w:pPr>
        <w:spacing w:after="0" w:line="229"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160" w:firstLine="661"/>
        <w:spacing w:after="0" w:line="342" w:lineRule="auto"/>
        <w:rPr>
          <w:sz w:val="20"/>
          <w:szCs w:val="20"/>
          <w:color w:val="auto"/>
        </w:rPr>
      </w:pPr>
      <w:r>
        <w:rPr>
          <w:rFonts w:ascii="Arial" w:cs="Arial" w:eastAsia="Arial" w:hAnsi="Arial"/>
          <w:sz w:val="16"/>
          <w:szCs w:val="16"/>
          <w:color w:val="auto"/>
        </w:rPr>
        <w:t>We may directly solicit offers to purchase the securities being offered by this prospectus. We may also designate agents to solicit offers to purchase the securities from time to time. We will name in a prospectus supplement any underwriter or agent involved in the offer or sale of the securities.</w:t>
      </w:r>
    </w:p>
    <w:p>
      <w:pPr>
        <w:spacing w:after="0" w:line="124" w:lineRule="exact"/>
        <w:rPr>
          <w:sz w:val="20"/>
          <w:szCs w:val="20"/>
          <w:color w:val="auto"/>
        </w:rPr>
      </w:pPr>
    </w:p>
    <w:p>
      <w:pPr>
        <w:ind w:right="340" w:firstLine="661"/>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80" w:firstLine="661"/>
        <w:spacing w:after="0" w:line="276"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3" w:lineRule="exact"/>
        <w:rPr>
          <w:sz w:val="20"/>
          <w:szCs w:val="20"/>
          <w:color w:val="auto"/>
        </w:rPr>
      </w:pPr>
    </w:p>
    <w:p>
      <w:pPr>
        <w:ind w:right="80" w:firstLine="661"/>
        <w:spacing w:after="0" w:line="272" w:lineRule="auto"/>
        <w:rPr>
          <w:sz w:val="20"/>
          <w:szCs w:val="20"/>
          <w:color w:val="auto"/>
        </w:rPr>
      </w:pPr>
      <w:r>
        <w:rPr>
          <w:rFonts w:ascii="Arial" w:cs="Arial" w:eastAsia="Arial" w:hAnsi="Arial"/>
          <w:sz w:val="17"/>
          <w:szCs w:val="17"/>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ind w:right="100" w:firstLine="648"/>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65" w:lineRule="exact"/>
        <w:rPr>
          <w:sz w:val="20"/>
          <w:szCs w:val="20"/>
          <w:color w:val="auto"/>
        </w:rPr>
      </w:pPr>
    </w:p>
    <w:p>
      <w:pPr>
        <w:ind w:left="980" w:right="2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20" w:firstLine="661"/>
        <w:spacing w:after="0" w:line="259" w:lineRule="auto"/>
        <w:rPr>
          <w:sz w:val="20"/>
          <w:szCs w:val="20"/>
          <w:color w:val="auto"/>
        </w:rPr>
      </w:pPr>
      <w:r>
        <w:rPr>
          <w:rFonts w:ascii="Arial" w:cs="Arial" w:eastAsia="Arial" w:hAnsi="Arial"/>
          <w:sz w:val="18"/>
          <w:szCs w:val="18"/>
          <w:color w:val="auto"/>
        </w:rPr>
        <w:t>Shares of our common stock sold pursuant to the registration statement of which this prospectus is a part will be authorized for quotation and trading on the NYSE MKT. The applicable prospectus supplement will contain information, where applicable, as to any other listing, if any, on the NYSE MKT or any securities market or other securities exchange of the securities covered by the prospectus supplement. We can make no assurance as to the liquidity of or the existence of trading markets for any of the securities.</w:t>
      </w:r>
    </w:p>
    <w:p>
      <w:pPr>
        <w:spacing w:after="0" w:line="187" w:lineRule="exact"/>
        <w:rPr>
          <w:sz w:val="20"/>
          <w:szCs w:val="20"/>
          <w:color w:val="auto"/>
        </w:rPr>
      </w:pPr>
    </w:p>
    <w:p>
      <w:pPr>
        <w:ind w:firstLine="661"/>
        <w:spacing w:after="0" w:line="254" w:lineRule="auto"/>
        <w:rPr>
          <w:sz w:val="20"/>
          <w:szCs w:val="20"/>
          <w:color w:val="auto"/>
        </w:rPr>
      </w:pPr>
      <w:r>
        <w:rPr>
          <w:rFonts w:ascii="Arial" w:cs="Arial" w:eastAsia="Arial" w:hAnsi="Arial"/>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compliance with the guidelines of the Financial Industry Regulatory Authority, Inc.,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right="100" w:firstLine="661"/>
        <w:spacing w:after="0" w:line="286" w:lineRule="auto"/>
        <w:rPr>
          <w:sz w:val="20"/>
          <w:szCs w:val="20"/>
          <w:color w:val="auto"/>
        </w:rPr>
      </w:pPr>
      <w:r>
        <w:rPr>
          <w:rFonts w:ascii="Arial" w:cs="Arial" w:eastAsia="Arial" w:hAnsi="Arial"/>
          <w:sz w:val="17"/>
          <w:szCs w:val="17"/>
          <w:color w:val="auto"/>
        </w:rPr>
        <w:t>The following is a summary of our capital stock and provisions of our restated certificate of incorporation and restated by-laws, as they are in effect as of the date of this prospectus. For more detailed information, please see our restated certificate of incorporation and restated bylaws, which are filed with the Securities and Exchange Commission as exhibits to the registration statement of which this prospectus forms a part.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authorized to issue 150,000,000 shares of common stock, par value $0.01 per share, and 5,000,000 shares of preferred stock, par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$0.01 per share. As of July 20, 2012, we had 35,332,487 shares of common stock outstanding held of record by 67 stockholders. As of July 20, 2012,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6,173 shares of Series A Convertible Preferred Stock, or Series A preferred stock, outstanding, which are initially convertible into an aggregate of 18,627,645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140" w:firstLine="441"/>
        <w:spacing w:after="0" w:line="288" w:lineRule="auto"/>
        <w:rPr>
          <w:sz w:val="20"/>
          <w:szCs w:val="20"/>
          <w:color w:val="auto"/>
        </w:rPr>
      </w:pPr>
      <w:r>
        <w:rPr>
          <w:rFonts w:ascii="Arial" w:cs="Arial" w:eastAsia="Arial" w:hAnsi="Arial"/>
          <w:sz w:val="16"/>
          <w:szCs w:val="16"/>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w:t>
      </w:r>
    </w:p>
    <w:p>
      <w:pPr>
        <w:ind w:right="80"/>
        <w:spacing w:after="0" w:line="253" w:lineRule="auto"/>
        <w:rPr>
          <w:sz w:val="20"/>
          <w:szCs w:val="20"/>
          <w:color w:val="auto"/>
        </w:rPr>
      </w:pPr>
      <w:r>
        <w:rPr>
          <w:rFonts w:ascii="Arial" w:cs="Arial" w:eastAsia="Arial" w:hAnsi="Arial"/>
          <w:sz w:val="18"/>
          <w:szCs w:val="18"/>
          <w:color w:val="auto"/>
        </w:rPr>
        <w:t>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Our board of directors has the authority, without action by our stockholders, to designate and issue up to 5,000,000 shares of preferred stock in one or more series and to designate the rights, preferences, and limitations of all such series, any or all of which may be superior to the rights of our common stock. It is not possible to state the actual effect of the issuance of any shares of preferred stock upon the rights of the holders of common stock until our board of directors determines the specific rights of the holders of preferred stock. However, effects of the issuance of preferred stock include restricting dividends on our common stock, diluting the voting power of our common stock, impairing the liquidation rights of our common stock, and making it more difficult for a third party to acquire us, which could have the effect of discouraging a third party from acquiring, or deterring a third party from paying a premium to acquire, a majority of our outstanding voting stock. We have no present plans to issue any shares of our preferred stock.</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Series A preferred stock has the powers, designations, preferences and other rights as set forth in the Certificate of Designations, Preferences and Rights of Series A Convertible Preferred Stock, which rights include, among other things, a liquidation preference of $1,000 per share and the right to participate in any dividends and distributions paid to common stockholders on an as-converted basis. We may not create a class of capital stock senior or pari passu to the Series A preferred stock.</w:t>
      </w:r>
    </w:p>
    <w:p>
      <w:pPr>
        <w:spacing w:after="0" w:line="187"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The 6,673 shares of Series A preferred stock are initially convertible into an aggregate of 20,136,445 shares of common stock (or at a current conversion rate of 3,017.6) (subject to a provision that restricts conversion in the event the holder will acquire beneficial ownership of more than 9.99% of our common stock after such conversion) but are non-voting, except as required by law and in certain defined instances, including a change of control. In addition, except for certain excluded issuances, the conversion price of the Series A preferred stock is subject to full ratchet anti-dilution protection for issuances of equity or equity-linked securities below the initial conversion price (as adjusted for stock splits, stock dividends and similar events) until the date an aggregate of 100,000,000 shares of our common stock have traded at above $3.00 per share (as adjusted for stock splits, stock dividends and similar events). As of July 20, 2012, we had 6,173 shares of Series A preferred stock outstanding which are convertible into an aggregate of 18,627,645 shares of our common stock.</w:t>
      </w:r>
    </w:p>
    <w:p>
      <w:pPr>
        <w:spacing w:after="0" w:line="19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a change of control, except for a change of control where the holder receives all publicly traded stock, the holder of our Series A preferred stock is able to require us to redeem the shares of Series A preferred stock at the greater of the stated value and the value of the equity underlying the Series A preferred stock. The Series A preferred stock also contains a covenant prohibiting us, for a period of 18 months following the closing, from incurring indebtedness senior to the Series A preferred stock in excess of $6 million in the aggregate (including the then outstanding principal amount of existing Innovate/Protect indebtedness); provided, that, this covenant shall not apply to indebtedness secured by assets acquired after the closing in which the lender expressly subordinates to the holder of the Series A preferred stock. The holder of the Series A preferred stock shall be indemnified against losses due to a buy-in following any failure to timely deliver common stock upon a conversion failure and we shall pay the holders of the Series A preferred stock liquidated damages of one-quarter of one percent (0.25%) for each full 15 day period during which our common stock is suspended from trading or if our common stock is delisted. You should refer to our restated certificate of incorporation, which are filed with the Securities and Exchange Commission as exhibits to the registration statement of which this prospectus forms a part.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for our Series A preferred stock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66"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if any, per share and the purchase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9" w:name="page40"/>
    <w:bookmarkEnd w:id="39"/>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pari passu with or senior to the series of preferred stock as to dividend rights and rights upon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preferred stock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0" w:name="page41"/>
    <w:bookmarkEnd w:id="40"/>
    <w:p>
      <w:pPr>
        <w:ind w:left="980" w:right="3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we fail to pay interest when due and our failure continues for 90 days and the time for payment has not been extended or deferred;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2" w:right="339" w:bottom="1139" w:gutter="0" w:footer="0" w:header="0"/>
        </w:sectPr>
      </w:pPr>
    </w:p>
    <w:bookmarkStart w:id="41" w:name="page42"/>
    <w:bookmarkEnd w:id="41"/>
    <w:p>
      <w:pPr>
        <w:ind w:left="980" w:right="60" w:hanging="324"/>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71"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980" w:right="180" w:hanging="324"/>
        <w:spacing w:after="0" w:line="308"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46" w:lineRule="exact"/>
        <w:rPr>
          <w:rFonts w:ascii="Arial" w:cs="Arial" w:eastAsia="Arial" w:hAnsi="Arial"/>
          <w:sz w:val="17"/>
          <w:szCs w:val="17"/>
          <w:color w:val="auto"/>
        </w:rPr>
      </w:pPr>
    </w:p>
    <w:p>
      <w:pPr>
        <w:ind w:left="980" w:right="60" w:hanging="324"/>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620" w:right="5560" w:hanging="4964"/>
        <w:spacing w:after="0" w:line="573" w:lineRule="auto"/>
        <w:tabs>
          <w:tab w:leader="none" w:pos="977"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fix any ambiguity, defect or inconsistency in the indenture; and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42" w:name="page43"/>
    <w:bookmarkEnd w:id="42"/>
    <w:p>
      <w:pPr>
        <w:ind w:left="980" w:right="2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making the principal of or premium or interest on any debt security payable in currency other than that stated in the debt security;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707" w:gutter="0" w:footer="0" w:header="0"/>
        </w:sectPr>
      </w:pPr>
    </w:p>
    <w:bookmarkStart w:id="43" w:name="page44"/>
    <w:bookmarkEnd w:id="43"/>
    <w:p>
      <w:pPr>
        <w:jc w:val="both"/>
        <w:ind w:right="20" w:firstLine="441"/>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980" w:right="2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60" w:firstLine="441"/>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247"/>
        <w:spacing w:after="0" w:line="264" w:lineRule="auto"/>
        <w:rPr>
          <w:sz w:val="20"/>
          <w:szCs w:val="20"/>
          <w:color w:val="auto"/>
        </w:rPr>
      </w:pPr>
      <w:r>
        <w:rPr>
          <w:rFonts w:ascii="Arial" w:cs="Arial" w:eastAsia="Arial" w:hAnsi="Arial"/>
          <w:sz w:val="18"/>
          <w:szCs w:val="18"/>
          <w:color w:val="auto"/>
        </w:rPr>
        <w:t>As of July 20, 2012, there were warrants to purchase 22,695,411 shares of Vringo common stock outstanding at a weighted-average exercise price of $2.45 per share, including 4,784,000 public warrants. The public warrants were issued in our initial public offering and are exercisable for five years from the initial public offering at an exercise price of $5.06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1 and Series 2 Warrants</w:t>
      </w:r>
    </w:p>
    <w:p>
      <w:pPr>
        <w:spacing w:after="0" w:line="225" w:lineRule="exact"/>
        <w:rPr>
          <w:sz w:val="20"/>
          <w:szCs w:val="20"/>
          <w:color w:val="auto"/>
        </w:rPr>
      </w:pPr>
    </w:p>
    <w:p>
      <w:pPr>
        <w:ind w:right="60" w:firstLine="249"/>
        <w:spacing w:after="0" w:line="264" w:lineRule="auto"/>
        <w:rPr>
          <w:sz w:val="20"/>
          <w:szCs w:val="20"/>
          <w:color w:val="auto"/>
        </w:rPr>
      </w:pPr>
      <w:r>
        <w:rPr>
          <w:rFonts w:ascii="Arial" w:cs="Arial" w:eastAsia="Arial" w:hAnsi="Arial"/>
          <w:sz w:val="18"/>
          <w:szCs w:val="18"/>
          <w:color w:val="auto"/>
        </w:rPr>
        <w:t>In connection with the Merger, Vringo issued to the holders of Innovate/Protect capital stock an aggregate of 15,959,838 warrants to purchase shares of Vringo common stock with an exercise price of $1.76 per share, including Series 1 Warrants and Series 2 Warrants to purchase an aggregate of 8,299,116 and 7,660,722 shares of Vringo common stock, respectively.</w:t>
      </w:r>
    </w:p>
    <w:p>
      <w:pPr>
        <w:spacing w:after="0" w:line="181" w:lineRule="exact"/>
        <w:rPr>
          <w:sz w:val="20"/>
          <w:szCs w:val="20"/>
          <w:color w:val="auto"/>
        </w:rPr>
      </w:pPr>
    </w:p>
    <w:p>
      <w:pPr>
        <w:ind w:firstLine="249"/>
        <w:spacing w:after="0" w:line="284" w:lineRule="auto"/>
        <w:rPr>
          <w:sz w:val="20"/>
          <w:szCs w:val="20"/>
          <w:color w:val="auto"/>
        </w:rPr>
      </w:pPr>
      <w:r>
        <w:rPr>
          <w:rFonts w:ascii="Arial" w:cs="Arial" w:eastAsia="Arial" w:hAnsi="Arial"/>
          <w:sz w:val="16"/>
          <w:szCs w:val="16"/>
          <w:color w:val="auto"/>
        </w:rPr>
        <w:t>Each Series 1 Warrant and Series 2 Warrant (collectively, the “Warrants”) has an exercise price of $1.76 per share and is exercisable at any time after July 19, 2012 (the “Issuance Date”) until the expiration date (the “Expiration Date”), which date shall be five years from the Issuance Date, in whole or in part, by paying Vringo cash, check or wire transfer. Notwithstanding, if at any time between the three month anniversary of the Issuance Date and the Expiration Date, there is not an effective registration statement registering the resale of the shares issuable under the Warrants (the “Warrant Stock”) then the holder may elect to exercise the Warrant, or a portion thereof, and to pay for the Warrant Stock by way of cashless exercise. No holder of either Warrant may exercise such Warrant if such exercise would result in the holder beneficially owning in excess of 4.99% of the number of shares of Vringo common stock outstanding immediately after giving effect to the issuance of shares of common stock upon exercise of the Warrant (the “Beneficial Ownership Limitation”). The Beneficial Ownership Limitation may be waived by the holder upon not less than 61 days’ prior notice to Vringo to change the beneficial ownership limitation to 9.99%. If the Beneficial Ownership Limitation is increased to 9.99% it may not be further waived. The Warrants are subject to adjustments for stock splits and certain fundamental transactions. The Warrants are not transferable in the absence of (i) an effective registration statement under the Securities Act as to the Warrant or Warrant Stock, and registration or qualification of the Warrant and Warrant Stock under any applicable U.S. federal or state securities law then in effect or (ii) an opinion of counsel, satisfactory to Vringo, that such registration and qualification are not required. Notwithstanding, subject to these requirements, the Warrants are transferrable, in whole or in part, to (i) an entity controlling, controlled by or under common control of the holder, or (ii) to any other proposed transferee by surrendering the Warrant with a properly executed transfer form to the principal office of Vringo. The Warrants are redeemable, at the option of Vringo, at any time after they become exercisable and prior to their expiration, upon notice to Vringo, at the price of $0.01 per share in the event that (i) the last closing sale price of Vringo common stock has been equal to or greater than $5.00 per share (subject to adjustments for splits, dividends, recapitalizations and similar events) on each of 20 trading dates within any 30 day trading period ending on the third business day prior to the date on which notice of redemption is given to the holder, and (ii) during each day of the foregoing 20 day trading period and through the date Vringo exercises its redemption rights, it must have an effective registration statement with a current prospectus pursuant to which the underlying Vringo common stock may be sold. The Series 1 Warrant provides that from the Issuance Date through December 31, 2014, in the event Vringo shall issue or sell a warrant to purchase shares of Vringo common stock at an exercise price below $1.76 per share or which contain terms that, taken as a whole, are more favorable then the terms of the Series 1 Warrant (a “Superior Warrant”), as determined in good faith by the Board of Directors of Vringo, in connection with a financing or a material transaction consummated by Vringo, then Vringo shall amend the terms of the Series 1 Warrant to give the holder the benefit of more favorable terms or conditions of the Superior Warrant (excluding the expiration date of the Superior Warrant). All other material terms of the Series 1 Warrant and the Series 2 Warrant are identical.</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warrant agent for our public warrants and warrants issued in the Merger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MKT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public warrants are listed for trading on the NYSE MKT under the symbol “VRNG-WT.” None of our other warrants are listed for trading.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46" w:lineRule="exact"/>
        <w:rPr>
          <w:rFonts w:ascii="Arial" w:cs="Arial" w:eastAsia="Arial" w:hAnsi="Arial"/>
          <w:sz w:val="17"/>
          <w:szCs w:val="17"/>
          <w:color w:val="auto"/>
        </w:rPr>
      </w:pPr>
    </w:p>
    <w:p>
      <w:pPr>
        <w:jc w:val="both"/>
        <w:ind w:left="980" w:right="22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236" w:lineRule="exact"/>
        <w:rPr>
          <w:rFonts w:ascii="Arial" w:cs="Arial" w:eastAsia="Arial" w:hAnsi="Arial"/>
          <w:sz w:val="17"/>
          <w:szCs w:val="17"/>
          <w:color w:val="auto"/>
        </w:rPr>
      </w:pPr>
    </w:p>
    <w:p>
      <w:pPr>
        <w:ind w:left="980" w:right="64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warrants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6" w:name="page47"/>
    <w:bookmarkEnd w:id="46"/>
    <w:p>
      <w:pPr>
        <w:ind w:left="44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78"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170" w:lineRule="exact"/>
        <w:rPr>
          <w:sz w:val="20"/>
          <w:szCs w:val="20"/>
          <w:color w:val="auto"/>
        </w:rPr>
      </w:pPr>
    </w:p>
    <w:p>
      <w:pPr>
        <w:ind w:left="980" w:right="260" w:hanging="324"/>
        <w:spacing w:after="0" w:line="342"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purchase contracts are to be prepaid;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923" w:gutter="0" w:footer="0" w:header="0"/>
        </w:sectPr>
      </w:pPr>
    </w:p>
    <w:bookmarkStart w:id="47" w:name="page48"/>
    <w:bookmarkEnd w:id="47"/>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or purchase contacts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11" w:lineRule="exact"/>
        <w:rPr>
          <w:sz w:val="20"/>
          <w:szCs w:val="20"/>
          <w:color w:val="auto"/>
        </w:rPr>
      </w:pPr>
    </w:p>
    <w:p>
      <w:pPr>
        <w:ind w:left="980" w:right="6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491"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Provisions of Delaware Law Governing Business Combinations</w:t>
      </w:r>
    </w:p>
    <w:p>
      <w:pPr>
        <w:spacing w:after="0" w:line="229"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Delaware General Corporation Law.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181" w:lineRule="exact"/>
        <w:rPr>
          <w:sz w:val="20"/>
          <w:szCs w:val="20"/>
          <w:color w:val="auto"/>
        </w:rPr>
      </w:pPr>
    </w:p>
    <w:p>
      <w:pPr>
        <w:ind w:left="1620" w:right="20" w:hanging="315"/>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170" w:lineRule="exact"/>
        <w:rPr>
          <w:rFonts w:ascii="Arial" w:cs="Arial" w:eastAsia="Arial" w:hAnsi="Arial"/>
          <w:sz w:val="18"/>
          <w:szCs w:val="18"/>
          <w:color w:val="auto"/>
        </w:rPr>
      </w:pPr>
    </w:p>
    <w:p>
      <w:pPr>
        <w:ind w:left="1620" w:right="100" w:hanging="315"/>
        <w:spacing w:after="0" w:line="297" w:lineRule="auto"/>
        <w:tabs>
          <w:tab w:leader="none" w:pos="1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58" w:lineRule="exact"/>
        <w:rPr>
          <w:rFonts w:ascii="Arial" w:cs="Arial" w:eastAsia="Arial" w:hAnsi="Arial"/>
          <w:sz w:val="16"/>
          <w:szCs w:val="16"/>
          <w:color w:val="auto"/>
        </w:rPr>
      </w:pPr>
    </w:p>
    <w:p>
      <w:pPr>
        <w:ind w:left="1620" w:hanging="315"/>
        <w:spacing w:after="0" w:line="264"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Our restated certificate of incorporation limits the liability of our officers and directors to the fullest extent permitted by the Delaware General Corporation Law, and our restated certificate of incorporation and restated bylaws provide that we will indemnify our officers and directors to the fullest extent permitted by such law.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offered by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have been incorporated by reference herein in reliance upon the report of Somekh Chaikin, a member firm of KPMG International, independent registered public accounting firm, incorporated by reference herein, and upon the authority of said firm as experts in accounting and auditing.</w:t>
      </w:r>
    </w:p>
    <w:p>
      <w:pPr>
        <w:spacing w:after="0" w:line="17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81"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audited consolidated financial statements of Innovate/Protect,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in giving said report.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 site at http://www.sec.gov</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9" w:name="page50"/>
    <w:bookmarkEnd w:id="49"/>
    <w:p>
      <w:pPr>
        <w:ind w:firstLine="441"/>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78" w:lineRule="exact"/>
        <w:rPr>
          <w:sz w:val="20"/>
          <w:szCs w:val="20"/>
          <w:color w:val="auto"/>
        </w:rPr>
      </w:pPr>
    </w:p>
    <w:p>
      <w:pPr>
        <w:ind w:left="1620" w:hanging="315"/>
        <w:spacing w:after="0"/>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on March 30, 2012;</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Quarterly Report on Form 10-Q, filed on May 15, 2012;</w:t>
      </w:r>
    </w:p>
    <w:p>
      <w:pPr>
        <w:spacing w:after="0" w:line="225" w:lineRule="exact"/>
        <w:rPr>
          <w:rFonts w:ascii="Arial" w:cs="Arial" w:eastAsia="Arial" w:hAnsi="Arial"/>
          <w:sz w:val="18"/>
          <w:szCs w:val="18"/>
          <w:color w:val="auto"/>
        </w:rPr>
      </w:pPr>
    </w:p>
    <w:p>
      <w:pPr>
        <w:ind w:left="1620" w:right="220" w:hanging="315"/>
        <w:spacing w:after="0" w:line="277"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Current Reports on Form 8-K filed on February 7, 2012, February 14, 2012, February 15, 2012, March 14, 2012, April 25, 2012, June 19, 2012 and July 20, 2012 (2 Current Reports);</w:t>
      </w:r>
    </w:p>
    <w:p>
      <w:pPr>
        <w:spacing w:after="0" w:line="170" w:lineRule="exact"/>
        <w:rPr>
          <w:rFonts w:ascii="Arial" w:cs="Arial" w:eastAsia="Arial" w:hAnsi="Arial"/>
          <w:sz w:val="18"/>
          <w:szCs w:val="18"/>
          <w:color w:val="auto"/>
        </w:rPr>
      </w:pPr>
    </w:p>
    <w:p>
      <w:pPr>
        <w:ind w:left="1620" w:right="80" w:hanging="315"/>
        <w:spacing w:after="0" w:line="302" w:lineRule="auto"/>
        <w:tabs>
          <w:tab w:leader="none" w:pos="1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description of our common stock and public warrants contained in our Registration Statement on Form 8-A, filed on June 16, 2010 (File No. 001-34785), which incorporates by reference the description of the shares of our common stock and public warrants contained in our Registration Statement on Form S-1 (File No. 333-164575) filed on January 29, 2010 and declared effective by the SEC on June 21, 2010, and any amendment or reports filed with the SEC for purposes of updating such description; and</w:t>
      </w:r>
    </w:p>
    <w:p>
      <w:pPr>
        <w:spacing w:after="0" w:line="154" w:lineRule="exact"/>
        <w:rPr>
          <w:rFonts w:ascii="Arial" w:cs="Arial" w:eastAsia="Arial" w:hAnsi="Arial"/>
          <w:sz w:val="16"/>
          <w:szCs w:val="16"/>
          <w:color w:val="auto"/>
        </w:rPr>
      </w:pPr>
    </w:p>
    <w:p>
      <w:pPr>
        <w:jc w:val="both"/>
        <w:ind w:left="1620" w:right="120" w:hanging="315"/>
        <w:spacing w:after="0" w:line="312" w:lineRule="auto"/>
        <w:tabs>
          <w:tab w:leader="none" w:pos="1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the SEC file number for each of the documents listed above is 001-34785.</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You may request, orally or in writing, a copy of any or all of the documents incorporated herein by reference. These documents will be provided to you at no cost, by contacting: Investor Relations, Vringo, Inc., 44 W. 28th Street, New York, New York 10001 or call (646) 525-4319.</w:t>
      </w:r>
    </w:p>
    <w:p>
      <w:pPr>
        <w:spacing w:after="0" w:line="14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3004820</wp:posOffset>
            </wp:positionH>
            <wp:positionV relativeFrom="page">
              <wp:posOffset>586105</wp:posOffset>
            </wp:positionV>
            <wp:extent cx="1551940" cy="8058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551940" cy="8058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10,344,998 Shares of Common Stock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Roman"/>
      <w:start w:val="3"/>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2019-12-09T18:52:13Z</dcterms:created>
  <dcterms:modified xsi:type="dcterms:W3CDTF">2019-12-09T18:52:13Z</dcterms:modified>
</cp:coreProperties>
</file>