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Lang Andrew Kennedy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04/26/2013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CTO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114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0000FF"/>
              </w:rPr>
              <w:t>04/26/2013</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3,906</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2.862</w:t>
            </w:r>
          </w:p>
        </w:tc>
        <w:tc>
          <w:tcPr>
            <w:tcW w:w="1200" w:type="dxa"/>
            <w:vAlign w:val="bottom"/>
            <w:tcBorders>
              <w:bottom w:val="single" w:sz="8" w:color="2C2C2C"/>
            </w:tcBorders>
            <w:gridSpan w:val="2"/>
          </w:tcPr>
          <w:p>
            <w:pPr>
              <w:jc w:val="center"/>
              <w:ind w:right="119"/>
              <w:spacing w:after="0"/>
              <w:rPr>
                <w:sz w:val="20"/>
                <w:szCs w:val="20"/>
                <w:color w:val="auto"/>
              </w:rPr>
            </w:pPr>
            <w:r>
              <w:rPr>
                <w:rFonts w:ascii="Arial" w:cs="Arial" w:eastAsia="Arial" w:hAnsi="Arial"/>
                <w:sz w:val="18"/>
                <w:szCs w:val="18"/>
                <w:color w:val="0000FF"/>
                <w:w w:val="99"/>
              </w:rPr>
              <w:t>2,784,931</w:t>
            </w:r>
            <w:r>
              <w:rPr>
                <w:rFonts w:ascii="Arial" w:cs="Arial" w:eastAsia="Arial" w:hAnsi="Arial"/>
                <w:sz w:val="22"/>
                <w:szCs w:val="22"/>
                <w:color w:val="008000"/>
                <w:w w:val="99"/>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vMerge w:val="restart"/>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199"/>
              <w:spacing w:after="0"/>
              <w:rPr>
                <w:sz w:val="20"/>
                <w:szCs w:val="20"/>
                <w:color w:val="auto"/>
              </w:rPr>
            </w:pPr>
            <w:r>
              <w:rPr>
                <w:rFonts w:ascii="Arial" w:cs="Arial" w:eastAsia="Arial" w:hAnsi="Arial"/>
                <w:sz w:val="18"/>
                <w:szCs w:val="18"/>
                <w:color w:val="0000FF"/>
              </w:rPr>
              <w:t>2,931,752</w:t>
            </w:r>
          </w:p>
        </w:tc>
        <w:tc>
          <w:tcPr>
            <w:tcW w:w="300" w:type="dxa"/>
            <w:vAlign w:val="bottom"/>
          </w:tcPr>
          <w:p>
            <w:pPr>
              <w:spacing w:after="0"/>
              <w:rPr>
                <w:sz w:val="18"/>
                <w:szCs w:val="18"/>
                <w:color w:val="auto"/>
              </w:rPr>
            </w:pPr>
          </w:p>
        </w:tc>
        <w:tc>
          <w:tcPr>
            <w:tcW w:w="700" w:type="dxa"/>
            <w:vAlign w:val="bottom"/>
            <w:vMerge w:val="restart"/>
          </w:tcPr>
          <w:p>
            <w:pPr>
              <w:ind w:left="14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spacing w:after="0"/>
              <w:rPr>
                <w:sz w:val="20"/>
                <w:szCs w:val="20"/>
                <w:color w:val="auto"/>
              </w:rPr>
            </w:pPr>
            <w:r>
              <w:rPr>
                <w:rFonts w:ascii="Arial" w:cs="Arial" w:eastAsia="Arial" w:hAnsi="Arial"/>
                <w:sz w:val="18"/>
                <w:szCs w:val="18"/>
                <w:color w:val="0000FF"/>
              </w:rPr>
              <w:t>Innovation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Arial" w:cs="Arial" w:eastAsia="Arial" w:hAnsi="Arial"/>
                <w:sz w:val="18"/>
                <w:szCs w:val="18"/>
                <w:color w:val="0000FF"/>
              </w:rPr>
              <w:t>Spring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gridSpan w:val="9"/>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Of which, 132,813 shares of common stock are represented by unvested restricted stock units.</w:t>
      </w:r>
    </w:p>
    <w:p>
      <w:pPr>
        <w:spacing w:after="0" w:line="41"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Lang is the manager of Innovation Spring LLC ("Innovation Spring") and has the sole power to dispose or direct the disposition of the securities held by Innovation Spring. Innovation Spring Trust is the sole member and 100% owner of Innovation Spring and has the sole power to vote or direct the vote over the securities held by Innovation Spring. Mr. Lang does not have power to vote or direct the vote over the securities held by Innovation Spring.</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The transactions reported in this Form 4 were effected pursuant to a Rule 10b5-1 trading plan adopted by the reporting person on August 31, 2012.</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 Andrew Kennedy Lang</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04/29/2013</w:t>
            </w:r>
          </w:p>
        </w:tc>
      </w:tr>
      <w:tr>
        <w:trPr>
          <w:trHeight w:val="20"/>
        </w:trPr>
        <w:tc>
          <w:tcPr>
            <w:tcW w:w="68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67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2019-12-17T07:18:11Z</dcterms:created>
  <dcterms:modified xsi:type="dcterms:W3CDTF">2019-12-17T07:18:11Z</dcterms:modified>
</cp:coreProperties>
</file>