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60" w:right="299" w:hanging="10"/>
        <w:spacing w:after="0" w:line="247" w:lineRule="auto"/>
        <w:tabs>
          <w:tab w:leader="none" w:pos="708" w:val="left"/>
        </w:tabs>
        <w:numPr>
          <w:ilvl w:val="0"/>
          <w:numId w:val="1"/>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31" w:lineRule="exact"/>
        <w:rPr>
          <w:sz w:val="24"/>
          <w:szCs w:val="24"/>
          <w:color w:val="auto"/>
        </w:rPr>
      </w:pPr>
    </w:p>
    <w:p>
      <w:pPr>
        <w:ind w:left="60" w:right="279" w:hanging="10"/>
        <w:spacing w:after="0" w:line="247" w:lineRule="auto"/>
        <w:tabs>
          <w:tab w:leader="none" w:pos="708" w:val="left"/>
        </w:tabs>
        <w:numPr>
          <w:ilvl w:val="0"/>
          <w:numId w:val="2"/>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9"/>
        </w:trPr>
        <w:tc>
          <w:tcPr>
            <w:tcW w:w="46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7"/>
              </w:rPr>
              <w:t>254 West 31</w:t>
            </w:r>
            <w:r>
              <w:rPr>
                <w:rFonts w:ascii="Times New Roman" w:cs="Times New Roman" w:eastAsia="Times New Roman" w:hAnsi="Times New Roman"/>
                <w:sz w:val="26"/>
                <w:szCs w:val="26"/>
                <w:b w:val="1"/>
                <w:bCs w:val="1"/>
                <w:color w:val="auto"/>
                <w:w w:val="97"/>
                <w:vertAlign w:val="superscript"/>
              </w:rPr>
              <w:t>st</w:t>
            </w:r>
            <w:r>
              <w:rPr>
                <w:rFonts w:ascii="Times New Roman" w:cs="Times New Roman" w:eastAsia="Times New Roman" w:hAnsi="Times New Roman"/>
                <w:sz w:val="18"/>
                <w:szCs w:val="18"/>
                <w:b w:val="1"/>
                <w:bCs w:val="1"/>
                <w:color w:val="auto"/>
                <w:w w:val="97"/>
              </w:rPr>
              <w:t xml:space="preserve"> Street, 11th Floor, New York, NY</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46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750-9595</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5"/>
        </w:trPr>
        <w:tc>
          <w:tcPr>
            <w:tcW w:w="3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XWEL</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4" w:lineRule="exact"/>
        <w:rPr>
          <w:sz w:val="24"/>
          <w:szCs w:val="24"/>
          <w:color w:val="auto"/>
        </w:rPr>
      </w:pPr>
    </w:p>
    <w:p>
      <w:pPr>
        <w:jc w:val="both"/>
        <w:ind w:left="60" w:right="7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w:t>
      </w:r>
    </w:p>
    <w:p>
      <w:pPr>
        <w:sectPr>
          <w:pgSz w:w="11900" w:h="16838" w:orient="portrait"/>
          <w:cols w:equalWidth="0" w:num="1">
            <w:col w:w="9019"/>
          </w:cols>
          <w:pgMar w:left="1440" w:top="661" w:right="1440" w:bottom="1440" w:gutter="0" w:footer="0" w:header="0"/>
        </w:sectPr>
      </w:pPr>
    </w:p>
    <w:p>
      <w:pPr>
        <w:ind w:left="60"/>
        <w:spacing w:after="0" w:line="233" w:lineRule="auto"/>
        <w:rPr>
          <w:sz w:val="20"/>
          <w:szCs w:val="20"/>
          <w:color w:val="auto"/>
        </w:rPr>
      </w:pPr>
      <w:r>
        <w:rPr>
          <w:rFonts w:ascii="Times New Roman" w:cs="Times New Roman" w:eastAsia="Times New Roman" w:hAnsi="Times New Roman"/>
          <w:sz w:val="17"/>
          <w:szCs w:val="17"/>
          <w:color w:val="auto"/>
        </w:rPr>
        <w:t>required to file such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98"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jc w:val="center"/>
        <w:ind w:right="239"/>
        <w:spacing w:after="0" w:line="198"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sectPr>
          <w:pgSz w:w="11900" w:h="16838" w:orient="portrait"/>
          <w:cols w:equalWidth="0" w:num="4">
            <w:col w:w="7400" w:space="140"/>
            <w:col w:w="260" w:space="80"/>
            <w:col w:w="220" w:space="220"/>
            <w:col w:w="699"/>
          </w:cols>
          <w:pgMar w:left="1440" w:top="661"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w:t>
      </w:r>
    </w:p>
    <w:p>
      <w:pPr>
        <w:sectPr>
          <w:pgSz w:w="11900" w:h="16838" w:orient="portrait"/>
          <w:cols w:equalWidth="0" w:num="1">
            <w:col w:w="9019"/>
          </w:cols>
          <w:pgMar w:left="1440" w:top="661" w:right="1440" w:bottom="1440" w:gutter="0" w:footer="0" w:header="0"/>
          <w:type w:val="continuous"/>
        </w:sectPr>
      </w:pPr>
    </w:p>
    <w:p>
      <w:pPr>
        <w:spacing w:after="0" w:line="27" w:lineRule="exact"/>
        <w:rPr>
          <w:sz w:val="24"/>
          <w:szCs w:val="24"/>
          <w:color w:val="auto"/>
        </w:rPr>
      </w:pPr>
    </w:p>
    <w:p>
      <w:pPr>
        <w:jc w:val="both"/>
        <w:ind w:left="60" w:right="79"/>
        <w:spacing w:after="0" w:line="189" w:lineRule="exact"/>
        <w:rPr>
          <w:sz w:val="20"/>
          <w:szCs w:val="20"/>
          <w:color w:val="auto"/>
        </w:rPr>
      </w:pPr>
      <w:r>
        <w:rPr>
          <w:rFonts w:ascii="Times New Roman" w:cs="Times New Roman" w:eastAsia="Times New Roman" w:hAnsi="Times New Roman"/>
          <w:sz w:val="18"/>
          <w:szCs w:val="18"/>
          <w:color w:val="auto"/>
        </w:rPr>
        <w:t xml:space="preserve">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50" w:lineRule="exact"/>
        <w:rPr>
          <w:sz w:val="24"/>
          <w:szCs w:val="24"/>
          <w:color w:val="auto"/>
        </w:rPr>
      </w:pPr>
    </w:p>
    <w:p>
      <w:pPr>
        <w:jc w:val="both"/>
        <w:ind w:left="60" w:right="79"/>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30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57" w:lineRule="exact"/>
        <w:rPr>
          <w:sz w:val="24"/>
          <w:szCs w:val="24"/>
          <w:color w:val="auto"/>
        </w:rPr>
      </w:pPr>
    </w:p>
    <w:p>
      <w:pPr>
        <w:jc w:val="both"/>
        <w:ind w:left="60" w:right="59"/>
        <w:spacing w:after="0" w:line="20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50" w:lineRule="exact"/>
        <w:rPr>
          <w:sz w:val="24"/>
          <w:szCs w:val="24"/>
          <w:color w:val="auto"/>
        </w:rPr>
      </w:pPr>
    </w:p>
    <w:p>
      <w:pPr>
        <w:ind w:left="60" w:right="259"/>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November 14, 2024, 5,256,024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PART II. OTHER INFORMATION</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4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19,513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33,785</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4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9,108</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18,958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13)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150,000,000 shares authorized; 5,256,024 and 4,179,631 shares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and outstanding as of September 30, 2024 and December 31, 2023, respectively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473,773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(465,111)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attributable to XWELL, Inc.</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33,785</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ind w:left="4080" w:right="599" w:hanging="2849"/>
        <w:spacing w:after="0" w:line="260" w:lineRule="auto"/>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23,924</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Labor</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 and other operating costs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19,903</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operating lease right-of-use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Salaries and benefits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13,180</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investments, realized and unrealized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(income) attributable to noncontrolling</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XWELL, Inc.</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comprehensive loss from operations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(12,105)</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8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Weighted-average number of shares</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during the period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4,818,681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4,173,894</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4,394,106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4,170,629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4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100" w:type="dxa"/>
            <w:vAlign w:val="bottom"/>
            <w:gridSpan w:val="4"/>
            <w:vMerge w:val="continue"/>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6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4,179,631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470,737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(455,853)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4,182,617</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470,996</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(458,365)</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10,574</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8,191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18,765</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4,186,435</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471,281</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(460,361)</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(2,164)</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8,798</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17,228</w:t>
            </w:r>
          </w:p>
        </w:tc>
        <w:tc>
          <w:tcPr>
            <w:tcW w:w="0" w:type="dxa"/>
            <w:vAlign w:val="bottom"/>
          </w:tcPr>
          <w:p>
            <w:pPr>
              <w:spacing w:after="0"/>
              <w:rPr>
                <w:sz w:val="1"/>
                <w:szCs w:val="1"/>
                <w:color w:val="auto"/>
              </w:rPr>
            </w:pPr>
          </w:p>
        </w:tc>
      </w:tr>
      <w:tr>
        <w:trPr>
          <w:trHeight w:val="129"/>
        </w:trPr>
        <w:tc>
          <w:tcPr>
            <w:tcW w:w="27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issued related to legal settlement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registered offering</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652,705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(4,705)</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42"/>
        </w:trPr>
        <w:tc>
          <w:tcPr>
            <w:tcW w:w="2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5,256,024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473,773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(465,111)</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3"/>
            <w:vMerge w:val="continue"/>
          </w:tcPr>
          <w:p>
            <w:pPr>
              <w:spacing w:after="0"/>
              <w:rPr>
                <w:sz w:val="12"/>
                <w:szCs w:val="12"/>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paid-</w:t>
            </w:r>
          </w:p>
        </w:tc>
        <w:tc>
          <w:tcPr>
            <w:tcW w:w="960" w:type="dxa"/>
            <w:vAlign w:val="bottom"/>
            <w:gridSpan w:val="3"/>
            <w:vMerge w:val="continue"/>
          </w:tcPr>
          <w:p>
            <w:pPr>
              <w:spacing w:after="0"/>
              <w:rPr>
                <w:sz w:val="15"/>
                <w:szCs w:val="15"/>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4,161,613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468,530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(428,112)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39,926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8,023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6,015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Value of shares withheld to fund payroll</w:t>
            </w:r>
          </w:p>
        </w:tc>
        <w:tc>
          <w:tcPr>
            <w:tcW w:w="2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4,167,628</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469,097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(433,621)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4,170,925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469,700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(439,351)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37,000</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2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3,456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 of stock for services</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(11,591)</w:t>
            </w:r>
          </w:p>
        </w:tc>
        <w:tc>
          <w:tcPr>
            <w:tcW w:w="0" w:type="dxa"/>
            <w:vAlign w:val="bottom"/>
          </w:tcPr>
          <w:p>
            <w:pPr>
              <w:spacing w:after="0"/>
              <w:rPr>
                <w:sz w:val="1"/>
                <w:szCs w:val="1"/>
                <w:color w:val="auto"/>
              </w:rPr>
            </w:pPr>
          </w:p>
        </w:tc>
      </w:tr>
      <w:tr>
        <w:trPr>
          <w:trHeight w:val="142"/>
        </w:trPr>
        <w:tc>
          <w:tcPr>
            <w:tcW w:w="2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4,174,381</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470,270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(450,882)</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17,788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7,869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6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(8,854)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(23,099)</w:t>
            </w: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Impairment/loss on disposal of fixed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8,429</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remeasurement loss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 of use asset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loss on equity investment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48"/>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 inventory</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 accounts receivable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in other assets, current and non-current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deferred revenue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 other liabilities, current and non-current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(2,143)</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(3,226)</w:t>
            </w: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accounts payable</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(7,541)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(12,873)</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marketable securities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w:t>
            </w: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Naples Wax net of cash assumed</w:t>
            </w:r>
          </w:p>
        </w:tc>
        <w:tc>
          <w:tcPr>
            <w:tcW w:w="2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marketable securities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w:t>
            </w: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r>
      <w:tr>
        <w:trPr>
          <w:trHeight w:val="142"/>
        </w:trPr>
        <w:tc>
          <w:tcPr>
            <w:tcW w:w="66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w:t>
            </w: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proceeds from stock sale</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shares withheld on vesting</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9"/>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1,359</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(4,072)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(14,211)</w:t>
            </w: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9,188</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19,789</w:t>
            </w:r>
          </w:p>
        </w:tc>
      </w:tr>
      <w:tr>
        <w:trPr>
          <w:trHeight w:val="182"/>
        </w:trPr>
        <w:tc>
          <w:tcPr>
            <w:tcW w:w="66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5,116</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w:t>
            </w:r>
          </w:p>
        </w:tc>
      </w:tr>
      <w:tr>
        <w:trPr>
          <w:trHeight w:val="129"/>
        </w:trPr>
        <w:tc>
          <w:tcPr>
            <w:tcW w:w="6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paid for</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transactions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shares of Common Stock for legal settlement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 accrued expenses and other current liabilities</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Business, Basis of Presentation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off-airport marketplaces.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XpresSpa</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2024, there were 19 domestic XpresSpa locations in total, 17 Company-owned locations and two franchises. The Company also had 10 international locations operating as of September 30, 2024, including two XpresSpa locations in Dubai International Airport in the United Arab Emirates, one XpresSpa location in Zayad International Airport in Abu Dhabi, UAE, three XpresSpa locations in Schiphol Amsterdam Airport in the Netherlands and four XpresSpa locations in the Istanbul Airport in Turkey.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XpresTest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Wellness locations, the Company started to close XpresCheck Wellness Centers. As of December 31, 2023, we have closed all XpresCheck Wellness locations.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XpresTest, Inc began conducting bio surveillance monitoring with the Centers for Disease Control and Prevention (CDC) in collaboration with Concentric by Ginkgo BioWorks in 2021. The program was extended in January 2022 and renewed in August of 2022 and 2023. In March 2024, the program funding and scope were expanded. The program was renewed in August of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HyperPointe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reporting purposes, the former HyperPointe segment has been consolidated into the XpresTest segment.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Naples Wax Center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three high-performing locations with core products and service offerings from face and body waxing to a range of skincare and cosmetic products. The acquisition of Naples Wax Center is intended to enable the Company to move beyond its airport client base with a business that can be adapted to a larger wellness platform while also growing its retail footprint to serve long-term financial goals.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XWELL Studios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plans to open its first XWELL Studios location in Jacksonville, Florida in 2025. XWELL Studios is an out-of-airport concept providing leased space to established wellness service providers. Revenue will be derived from both lease payments received from the wellness practitioners and the sale of retail at the wellness center.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2023, as amended. The consolidated balance sheet as of December 31, 2023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nine months ended September 30, 2024, are not necessarily indicative of the results that may be expected for the entire fiscal year or for any other interim period. All significant intercompany balances and transactions have been eliminated in consolidation.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28, 2023, the Company effected a 1-for-20 reverse stock split (the “Reverse Stock Split”) whereby every twenty shares of its Common Stock were reduced to one share of its Common Stock and the price per share of its Common Stock was multiplied by 20. All references to shares and per share amounts have been adjusted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$4,365 (excluding restricted cash), $11,660 in marketable securities, and total current assets of $19,513. The Company’s total current liabilities balance, which includes accounts payable, deferred revenue, accrued expenses, and operating lease liabilities was $9,850 as of September 30, 2024, and $9,330 as of December 31, 2023. The working capital surplus was $9,663 as of September 30, 2024, compared to a working capital surplus of $17,236 as of December 31, 2023.</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significantly reduced operating and overhead expenses, while it continues to focus on returning to overall profitability.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taken actions to improve its overall cash position, right sizing its corporate structure and streamlining its operations. The Company is pursuing strategic partnerships that the Company expects will further strengthen the long-term profitability of the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unaudited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 Treat and Naples Wax Center</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XpresTest, in partnership with Ginkgo BioWorks in continuation of their support to the CDC’s traveler-based SARS-CoV-2 genomic surveillance program was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the Company is entitled to $14,730 for the sample collection (passenger and aircraft wastewater) and $370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We recognized the revenue for the traveler enrollment initiative performance obligation in the second quarter of 2023. The Company recognizes revenue ratably (straight line basis) over the term of the contract (one year). The Company recorded $2,542 and $9,289 in revenue for the three and nine months ended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respectively, and $1,603 and $5,531 in revenue for the three and nine months ended September 30, 2023, respectively related to sample collection performance obligations because the Company’s efforts towards satisfying each of the performance obligations are expended evenly throughout the period of performance.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Company’s HyperPointe business provides a broad range of service and support options for HyperPointe’s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Revenues billed in advance are treated as deferred revenue, which was $112 and $72 as of September 30, 2024, and December 31, 2023, respectively. Deferred revenue recognized in the three and nine months ended September 30, 2024, were $0 and $72, respectively. Deferred revenue recognized in the three and nine months ended September 30, 2023, were $111 and $321, respectively.</w:t>
      </w:r>
    </w:p>
    <w:p>
      <w:pPr>
        <w:spacing w:after="0" w:line="200" w:lineRule="exact"/>
        <w:rPr>
          <w:sz w:val="20"/>
          <w:szCs w:val="20"/>
          <w:color w:val="auto"/>
        </w:rPr>
      </w:pPr>
    </w:p>
    <w:p>
      <w:pPr>
        <w:spacing w:after="0" w:line="20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excludes all sales taxes assessed to our customers from revenue. Sales taxes assessed on revenues are included in Accrued expenses and other current liabilities on the Company’s condensed consolidated balance sheets until remitted to state agencies.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Gift cards, customer rewards and prepaid packages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offers no-fee, non-expiring gift cards to its customers. No revenue is recognized upon the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costs associated with gift cards and reward points are accrued as the rewards are earned by the cardholder and are included in Accrued expenses and other current liabilities in the condensed consolidated balance sheets until used.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as of September 30, 2024, was $828 and for the year ended December 31, 2023, deferred revenue was $778.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into United States dollars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condensed consolidated statements of operations and comprehensive loss. During the three and nine months ended September 30, 2024, the Company recorded $69 and $210, respectively, in exchange gains occurring from the remeasurement of monetary balance sheet items denominated in non-dollar currencies. During the three and nine months ended September 30, 2023, the Company recorded $366 in exchange losses and $690 in exchange gains respectively, occurring from the remeasurement of monetary balance sheet items denominated in non-dollar currencies.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Accounts of the foreign subsidiaries of XpresSpa are translated into United States dollars. Assets and liabilities have been translated primarily at period end exchange rates and revenues and expenses have been translated at average monthly rates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translation adjustments arising from the use of different exchange rates are included as foreign currency translation within the condensed consolidated statements of operations and comprehensive loss and condensed consolidated statements of changes in stockholders’ equity.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condensed consolidated statements of operations.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three and nine months ended September 30, 2024, the Company did not record any intangible impairment loss. During the three and nine months ended September 30, 2023, the Company recorded $2,758 of intangible impairment loss.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and that excess is recognized as a goodwill impairment loss. During the three and nine months ended September 30, 2024, the Company did not record any goodwill impairment loss. During the three and nine months ended September 30, 2023, the Company recorded $4,024 of goodwill impairment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balances in the unaudited condensed consolidated financial statements for the three and nine months ended September 30, 2023, have been reclassified to conform to the presentation in the unaudited condensed consolidated financial statements for the three and nine months ended September 30, 2024, primarily the presentation of revenue, general and administrative expense, the realized and unrealized gain on investments and other operating expenses. The above separation affected revenue classifications, general and administrative expenses, the realized and unrealized gain on investments and other operating expense in the comparative 2023 financial statements. Such reclassifications did not have a material impact on the unaudited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Long-lived assets are tested for impairment at the lowest level at which there are identifiable operating cash flows.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flows are calculated based on forecasts over the estimated remaining useful life of the asset group, which for each of the Company’s locations, is the remaining term of the operating lease.</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impairment of long-lived assets of $0 and $652, respectively compared to $1,096 for the three and nine months ended September 30,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2023-07, Segment Reporting (Topic 280): Improvements to Reportable Segment Disclosures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segment expense disclosures related to its Annual Report on Form 10-K for fiscal year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on Form 10-K for fiscal year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Potentially Dilutive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 of Common Stock:</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XWELL, Inc.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denominator:</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4,818,681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4,173,894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4,394,106</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4,170,629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above excludes from the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diluted net (loss) income, the following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potentially dilutive securities, having an anti-dilutive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in case of net loss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Both vested and unvested options to purchase an equal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Unvested RSUs to issue an equal number of shares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an equal number of shares of 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securities excluded</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from the calculation of earnings/(loss)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common shareholders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reconciliation of the Company’s cash and cash equivalents in the Unaudited Condensed Consolidated Balance Sheets to cash, cash equivalents and restricted cash in the Unaudited Condensed Consolidated Statements of Cash Flows as of September 30, 2024, and December 31, 2023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9"/>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r>
      <w:tr>
        <w:trPr>
          <w:trHeight w:val="20"/>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places its cash and temporary cash investments with credit quality institutions. At times, such cash denominated in United States dollars may be in excess of the Federal Deposit Insurance Corporation (“FDIC”) insurance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limit. As of September 30, 2024, and December 31, 2023, deposits in excess of FDIC limits were $2,048 and $4,195, respectively. As of September 30, 2024, and December 31, 2023, the Company held cash balances in overseas accounts, totaling $2,305 and $2,395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Other current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2024, and December 31, 2023, other current assets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Intangible Assets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provides information regarding the Company’s intangible assets subject to amortization, which consist of the following:</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580" w:type="dxa"/>
            <w:vAlign w:val="bottom"/>
            <w:tcBorders>
              <w:bottom w:val="single" w:sz="8" w:color="auto"/>
            </w:tcBorders>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320" w:type="dxa"/>
            <w:vAlign w:val="bottom"/>
          </w:tcPr>
          <w:p>
            <w:pPr>
              <w:spacing w:after="0"/>
              <w:rPr>
                <w:sz w:val="18"/>
                <w:szCs w:val="18"/>
                <w:color w:val="auto"/>
              </w:rPr>
            </w:pPr>
          </w:p>
        </w:tc>
        <w:tc>
          <w:tcPr>
            <w:tcW w:w="6580" w:type="dxa"/>
            <w:vAlign w:val="bottom"/>
            <w:gridSpan w:val="18"/>
          </w:tcPr>
          <w:p>
            <w:pPr>
              <w:ind w:left="680"/>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The Company recorded amortization expense of $78 and $396 during the three months ended September 30, 2024 and 2023, respectively, and $237 and $1,155 during the nine months ended September 30, 2024 and 2023, respectively.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Based on the intangible assets balance as of September 30, 2024, the estimated amortization expense for the remainder of the calendar year and each of the succeeding calendar years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2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expenses and other current liabilities consisted of the following:</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6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Tax-related liabilities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Common area maintenance accruals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Gift certificates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processing fees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 accruals</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0"/>
        </w:trPr>
        <w:tc>
          <w:tcPr>
            <w:tcW w:w="5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Acquisition of Naples Wax, LLC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12, 2023, the Company acquired all of the equity interests in Naples Wax, LLC, d/b/a Naples Wax Centers, a Florida limited liability company, for an aggregate purchase price of $1,624, of which $1,574 was paid in cash at closing. The remaining $50 was held for six months as a holdback to cover any potential indemnification claims. $14 was paid in the quarter ended March 31, 2024. The remaining $36 was offset by operating expenses.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As of September 30, 2024, no impairment of the Company’s goodwill was required. The purchase accounting for the acquisition remains incomplete as management continues to gather and evaluate information about circumstances that existed as of the acquisition date. Upon the conclusion of the measurement period or final determination of the values of the assets acquired or liabilities assumed, whichever comes first, any subsequent adjustments are recorded in the unaudited condensed consolidated statements of operations.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income tax purposes, this acquisition of 100% of the units is treated as an asset acquisition. As a result of the acquisition of Naples Wax, the company generated tax deductible goodwill of $1,371.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leases spa and clinic locations at various domestic and international airports. Additionally, the Company leases its corporate office in New York City and other off airport locations in various US cities. Certain leases entered into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reviews all of its existing lease agreements to determine whether there were any modifications to lease agreements and to assess if any agreements should be accounted for pursuant to the guidance in ASC 842.</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activity in the Company’s current and long-term operating lease liabilities for the nine months ended September 30, 2024 and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198"/>
        </w:trPr>
        <w:tc>
          <w:tcPr>
            <w:tcW w:w="59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Leased assets obtained in exchange for new and modified operating lease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32"/>
        </w:trPr>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 of September 30, 2024, operating leases contain the following future minimum commitments: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10"/>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0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5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5.75 years</w:t>
            </w: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w:t>
            </w:r>
          </w:p>
        </w:tc>
        <w:tc>
          <w:tcPr>
            <w:tcW w:w="1260" w:type="dxa"/>
            <w:vAlign w:val="bottom"/>
          </w:tcPr>
          <w:p>
            <w:pPr>
              <w:spacing w:after="0"/>
              <w:rPr>
                <w:sz w:val="17"/>
                <w:szCs w:val="17"/>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7.10 %</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minimum annual rental obligations for the three and nine months ended September 30, 2024, was $433 and $1,202 respectively. Cash paid for minimum annual rental obligations for the three and nine months ended September 30, 2023, was $503 and $1,762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product and services revenue were $330 and $1,030 for the three and nine months ended September 30, 2024, respectively. Variable lease payments calculated monthly as a percentage of product and services revenue were $302 and $1,013 for the three and nine months ended September 30,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2024 and December 31, 2023, assets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$.1 million, were approximately $1.4 million. The August 2024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by the Company pursuant to a shelf registration statement on Form S-3 (File No. 333-273726), previously filed with the SEC on August 4, 2023, and declared effective by the SEC on September 29, 2023, and the base prospectus included therein.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 w:cs="Times New Roman" w:eastAsia="Times New Roman" w:hAnsi="Times New Roman"/>
          <w:sz w:val="18"/>
          <w:szCs w:val="18"/>
          <w:color w:val="212529"/>
        </w:rPr>
        <w:t>the amendment to the Company’s 2020 Equity Incentive Plan to increase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number of shares authorized for issuance under the Plan by 375,000 shares of Common Stock to an aggregate of 625,000 shares. </w:t>
      </w:r>
      <w:r>
        <w:rPr>
          <w:rFonts w:ascii="Times New Roman" w:cs="Times New Roman" w:eastAsia="Times New Roman" w:hAnsi="Times New Roman"/>
          <w:sz w:val="18"/>
          <w:szCs w:val="18"/>
          <w:color w:val="000000"/>
        </w:rPr>
        <w:t>Under the 2020 Equity Incentive Plan (the “2020 Plan”), a maximum of 117,775 shares of Common Stock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remained available for issuance as of September 30, 2024.</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September 30, 2024. Certain named executive officers, consultants, and directors of the Company are eligible to participate in the XpresTest Plan. The XpresTest Plan RSAs vest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2024, and 2023, there was $27 and $120, respectively of unrecognized stock-based compensation related to the XpresTest Plan.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w:t>
            </w:r>
          </w:p>
        </w:tc>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5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- 1.80</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- 1.80</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121.04 %</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- 4.14 %</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 years</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stock-based compensation for the three and nine months ended September 30, 2024, was $232 and $818 respectively. Total stock-based compensation for the three and nine months ended September 30, 2023, was $594 and $1,832, respectively. The Company had $368 and $1,319 of unrecognized stock-based compensation related to the XWELL Stock Options, as of September 30, 2024 and December 31, 2023 respectively.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for the nine months ended September 30, 2024:</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8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XpresTest RSAs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RSAs</w:t>
            </w:r>
          </w:p>
        </w:tc>
        <w:tc>
          <w:tcPr>
            <w:tcW w:w="20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range</w:t>
            </w:r>
          </w:p>
        </w:tc>
        <w:tc>
          <w:tcPr>
            <w:tcW w:w="0" w:type="dxa"/>
            <w:vAlign w:val="bottom"/>
          </w:tcPr>
          <w:p>
            <w:pPr>
              <w:spacing w:after="0"/>
              <w:rPr>
                <w:sz w:val="1"/>
                <w:szCs w:val="1"/>
                <w:color w:val="auto"/>
              </w:rPr>
            </w:pPr>
          </w:p>
        </w:tc>
      </w:tr>
      <w:tr>
        <w:trPr>
          <w:trHeight w:val="178"/>
        </w:trPr>
        <w:tc>
          <w:tcPr>
            <w:tcW w:w="2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Outstanding as of December</w:t>
            </w: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4.60 - 49,200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1.50 - 1.80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1.50 - 34.40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(49,279)</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8.00 - 49,200</w:t>
            </w:r>
          </w:p>
        </w:tc>
        <w:tc>
          <w:tcPr>
            <w:tcW w:w="0" w:type="dxa"/>
            <w:vAlign w:val="bottom"/>
          </w:tcPr>
          <w:p>
            <w:pPr>
              <w:spacing w:after="0"/>
              <w:rPr>
                <w:sz w:val="1"/>
                <w:szCs w:val="1"/>
                <w:color w:val="auto"/>
              </w:rPr>
            </w:pPr>
          </w:p>
        </w:tc>
      </w:tr>
      <w:tr>
        <w:trPr>
          <w:trHeight w:val="178"/>
        </w:trPr>
        <w:tc>
          <w:tcPr>
            <w:tcW w:w="2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Outstanding as of</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439,487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151"/>
        </w:trPr>
        <w:tc>
          <w:tcPr>
            <w:tcW w:w="24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Exercisable as of</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375,421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three and nine months ended September 30, 2024, reflects an estimated global annual effective tax rate of approximately 0% from continuing operations.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September 30, 2024,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Income tax expense/(benefit) for the three and nine months ended September 30, 2024 was $0,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spacing w:after="0" w:line="180"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$449 as of September 30, 2024 and December 31, 2023, respectively, which is included in Accrued expenses and other current liabilities in the condensed consolidated balance sheets.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claims. As a result of the Company’s efforts, on August 9, 2024, CPC dismissed all claims in the Action, agreed to irrevocably withdraw its nominations, and agreed not assert any claims related to the 2024 annual meeting.</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 and have a fair market value of $2.26 per share to the Settlor Parties in consideration for their entry into the Settlement Agreement. The Settlement Shares were not registered under the Securities Act of 1933, as amended (the “Securities Act”), and were issued in reliance on one or more exemptions from registration under the Securities Act, including pursuant to Rule 903 of Regulation S under the Securities Act.</w:t>
      </w:r>
    </w:p>
    <w:p>
      <w:pPr>
        <w:spacing w:after="0" w:line="200" w:lineRule="exact"/>
        <w:rPr>
          <w:sz w:val="20"/>
          <w:szCs w:val="20"/>
          <w:color w:val="auto"/>
        </w:rPr>
      </w:pPr>
    </w:p>
    <w:p>
      <w:pPr>
        <w:spacing w:after="0" w:line="20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the Company’s transition to a pure-play wellness services company, the Company currently has four reportable operating segments: XpresSpa, XpresTest, Naples Wax Center, and Treat. The Company analyzes the results of the Company’s business through the four reportable segments. The XpresSpa segment provides travelers premium spa services, including massage, nail and skin care, as well as spa and travel products. 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 The Treat segment is a wellness brand that provides access to wellness services for travelers at on-site centers. The Naples Wax Center segment operates three high-performing locations with core products and service offerings from face and body waxing to a range of skincare and cosmetic products. The Treat segment is a wellness brand that provides access to wellness services for travelers at on-site centers.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480" w:type="dxa"/>
            <w:vAlign w:val="bottom"/>
          </w:tcPr>
          <w:p>
            <w:pPr>
              <w:spacing w:after="0"/>
              <w:rPr>
                <w:sz w:val="17"/>
                <w:szCs w:val="17"/>
                <w:color w:val="auto"/>
              </w:rPr>
            </w:pPr>
          </w:p>
        </w:tc>
      </w:tr>
      <w:tr>
        <w:trPr>
          <w:trHeight w:val="212"/>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r>
      <w:tr>
        <w:trPr>
          <w:trHeight w:val="202"/>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1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10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3"/>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2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8,422</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r>
      <w:tr>
        <w:trPr>
          <w:trHeight w:val="20"/>
        </w:trPr>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r>
      <w:tr>
        <w:trPr>
          <w:trHeight w:val="20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0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(loss)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(12,089)</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Depreciation &amp;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2"/>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Depreciation &amp; Amortization</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Impairment/loss on disposal of assets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3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r>
      <w:tr>
        <w:trPr>
          <w:trHeight w:val="20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r>
      <w:tr>
        <w:trPr>
          <w:trHeight w:val="20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Impairment/loss on disposal of assets</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520" w:type="dxa"/>
            <w:vAlign w:val="bottom"/>
          </w:tcPr>
          <w:p>
            <w:pPr>
              <w:spacing w:after="0"/>
              <w:rPr>
                <w:sz w:val="17"/>
                <w:szCs w:val="17"/>
                <w:color w:val="auto"/>
              </w:rPr>
            </w:pPr>
          </w:p>
        </w:tc>
      </w:tr>
      <w:tr>
        <w:trPr>
          <w:trHeight w:val="212"/>
        </w:trPr>
        <w:tc>
          <w:tcPr>
            <w:tcW w:w="3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r>
      <w:tr>
        <w:trPr>
          <w:trHeight w:val="202"/>
        </w:trPr>
        <w:tc>
          <w:tcPr>
            <w:tcW w:w="3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7"/>
                <w:szCs w:val="17"/>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02"/>
        </w:trPr>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38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13,870</w:t>
            </w:r>
          </w:p>
        </w:tc>
        <w:tc>
          <w:tcPr>
            <w:tcW w:w="180" w:type="dxa"/>
            <w:vAlign w:val="bottom"/>
          </w:tcPr>
          <w:p>
            <w:pPr>
              <w:spacing w:after="0"/>
              <w:rPr>
                <w:sz w:val="17"/>
                <w:szCs w:val="17"/>
                <w:color w:val="auto"/>
              </w:rPr>
            </w:pPr>
          </w:p>
        </w:tc>
        <w:tc>
          <w:tcPr>
            <w:tcW w:w="880" w:type="dxa"/>
            <w:vAlign w:val="bottom"/>
            <w:gridSpan w:val="2"/>
          </w:tcPr>
          <w:p>
            <w:pPr>
              <w:jc w:val="right"/>
              <w:ind w:right="7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14,682</w:t>
            </w:r>
          </w:p>
        </w:tc>
      </w:tr>
      <w:tr>
        <w:trPr>
          <w:trHeight w:val="203"/>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10,630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r>
      <w:tr>
        <w:trPr>
          <w:trHeight w:val="203"/>
        </w:trPr>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5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500" w:type="dxa"/>
            <w:vAlign w:val="bottom"/>
          </w:tcPr>
          <w:p>
            <w:pPr>
              <w:spacing w:after="0"/>
              <w:rPr>
                <w:sz w:val="17"/>
                <w:szCs w:val="17"/>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26,430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22,706</w:t>
            </w:r>
          </w:p>
        </w:tc>
      </w:tr>
      <w:tr>
        <w:trPr>
          <w:trHeight w:val="20"/>
        </w:trPr>
        <w:tc>
          <w:tcPr>
            <w:tcW w:w="3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31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(8,901)</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r>
      <w:tr>
        <w:trPr>
          <w:trHeight w:val="203"/>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2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(6,744)</w:t>
            </w:r>
          </w:p>
        </w:tc>
      </w:tr>
      <w:tr>
        <w:trPr>
          <w:trHeight w:val="196"/>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loss</w:t>
            </w:r>
          </w:p>
        </w:tc>
        <w:tc>
          <w:tcPr>
            <w:tcW w:w="2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(23,101)</w:t>
            </w:r>
          </w:p>
        </w:tc>
      </w:tr>
      <w:tr>
        <w:trPr>
          <w:trHeight w:val="20"/>
        </w:trPr>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460" w:type="dxa"/>
            <w:vAlign w:val="bottom"/>
          </w:tcPr>
          <w:p>
            <w:pPr>
              <w:spacing w:after="0"/>
              <w:rPr>
                <w:sz w:val="17"/>
                <w:szCs w:val="17"/>
                <w:color w:val="auto"/>
              </w:rPr>
            </w:pPr>
          </w:p>
        </w:tc>
      </w:tr>
      <w:tr>
        <w:trPr>
          <w:trHeight w:val="212"/>
        </w:trPr>
        <w:tc>
          <w:tcPr>
            <w:tcW w:w="4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r>
      <w:tr>
        <w:trPr>
          <w:trHeight w:val="202"/>
        </w:trPr>
        <w:tc>
          <w:tcPr>
            <w:tcW w:w="4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Depreciation &amp; amortization</w:t>
            </w:r>
          </w:p>
        </w:tc>
        <w:tc>
          <w:tcPr>
            <w:tcW w:w="1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r>
      <w:tr>
        <w:trPr>
          <w:trHeight w:val="203"/>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72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12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03"/>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3"/>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3"/>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17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depreciation &amp; amortization</w:t>
            </w:r>
          </w:p>
        </w:tc>
        <w:tc>
          <w:tcPr>
            <w:tcW w:w="17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r>
      <w:tr>
        <w:trPr>
          <w:trHeight w:val="20"/>
        </w:trPr>
        <w:tc>
          <w:tcPr>
            <w:tcW w:w="4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Impairment/loss on disposal of assets</w:t>
            </w:r>
          </w:p>
        </w:tc>
        <w:tc>
          <w:tcPr>
            <w:tcW w:w="1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4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7"/>
                <w:szCs w:val="17"/>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03"/>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w:t>
            </w:r>
          </w:p>
        </w:tc>
      </w:tr>
      <w:tr>
        <w:trPr>
          <w:trHeight w:val="189"/>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r>
      <w:tr>
        <w:trPr>
          <w:trHeight w:val="205"/>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Impairment/loss on disposal of assets</w:t>
            </w:r>
          </w:p>
        </w:tc>
        <w:tc>
          <w:tcPr>
            <w:tcW w:w="14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8,429</w:t>
            </w:r>
          </w:p>
        </w:tc>
      </w:tr>
      <w:tr>
        <w:trPr>
          <w:trHeight w:val="20"/>
        </w:trPr>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0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9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03"/>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0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capital expenditures</w:t>
            </w:r>
          </w:p>
        </w:tc>
        <w:tc>
          <w:tcPr>
            <w:tcW w:w="20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r>
      <w:tr>
        <w:trPr>
          <w:trHeight w:val="20"/>
        </w:trPr>
        <w:tc>
          <w:tcPr>
            <w:tcW w:w="3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7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66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6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w:t>
            </w:r>
          </w:p>
        </w:tc>
      </w:tr>
      <w:tr>
        <w:trPr>
          <w:trHeight w:val="203"/>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03"/>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3"/>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19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long-lived Assets</w:t>
            </w:r>
          </w:p>
        </w:tc>
        <w:tc>
          <w:tcPr>
            <w:tcW w:w="2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r>
      <w:tr>
        <w:trPr>
          <w:trHeight w:val="20"/>
        </w:trPr>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66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XpresSpa</w:t>
            </w:r>
          </w:p>
        </w:tc>
        <w:tc>
          <w:tcPr>
            <w:tcW w:w="2740" w:type="dxa"/>
            <w:vAlign w:val="bottom"/>
            <w:gridSpan w:val="2"/>
          </w:tcPr>
          <w:p>
            <w:pPr>
              <w:ind w:left="2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6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18,453</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XpresTest</w:t>
            </w:r>
          </w:p>
        </w:tc>
        <w:tc>
          <w:tcPr>
            <w:tcW w:w="2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03"/>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Naples Wax</w:t>
            </w: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r>
      <w:tr>
        <w:trPr>
          <w:trHeight w:val="203"/>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Treat</w:t>
            </w:r>
          </w:p>
        </w:tc>
        <w:tc>
          <w:tcPr>
            <w:tcW w:w="2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03"/>
        </w:trPr>
        <w:tc>
          <w:tcPr>
            <w:tcW w:w="3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2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14,333</w:t>
            </w:r>
          </w:p>
        </w:tc>
      </w:tr>
      <w:tr>
        <w:trPr>
          <w:trHeight w:val="196"/>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38,993</w:t>
            </w:r>
          </w:p>
        </w:tc>
      </w:tr>
      <w:tr>
        <w:trPr>
          <w:trHeight w:val="20"/>
        </w:trPr>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2023, filed with the Securities and Exchange Commission (the “SEC”) on April 16, 2024, as subsequently amended on April 17, 2024 and April 29, 2024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XWELL, Inc., a Delaware corporation, and its consolidated subsidiaries.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we changed our name to XWELL, Inc. (“XWELL” or the “Company”) from XpresSpa Group, Inc. Our common stock, par value $0.01 per share, which had previously been listed under the trading symbol “XSPA” on the Nasdaq Capital Market, now trades under the trading symbol “XWEL”. We filed an amended and restated certificate of incorporation with the Delaware Secretary of State on October 24, 2022 (the “Amended and Restated Certificate”) reflecting the name change. Rebranding to XWELL aligned our corporate strategy to build a pure-play wellness services company, in both the airport and off airport marketplaces.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the Company’s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We are also continuing to add new service offerings to our in and out of airport locations.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will be looking to further expand internationally. With international travel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our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2024, there were 19 domestic XpresSpa locations in total, 17 Company-owned locations and two franchises. We also had 10 international locations operating as of September 30, 2024, including two XpresSpa locations in Dubai International Airport in the United Arab Emirates, one XpresSpa location in Zayad International Airport in Abu Dhabi, UAE, three XpresSpa locations in Schiphol Amsterdam Airport in the Netherlands and four XpresSpa locations in the Istanbul Airport in Turkey.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in partnership with certain COVID-19 testing partners, successfully launched its XpresCheck Wellness Centers, in June of 2020, through our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Wellness locations, the Company started to close XpresCheck Wellness Centers. As of December 31, 2023, we have closed all XpresCheck Wellness locations.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XpresTest began conducting bio surveillance monitoring with the Centers for Disease Control and Prevention (CDC) in collaboration with Concentric by Ginkgo BioWorks in 2021 and on January 31, 2022, we announced the extension of our initial program, bringing the total contract to $5,537. In August 2022, the program was renewed in partnership with Ginkgo BioWorks. A new two-year contract was initiated which represents approximately $7,330 in revenue (for the first year) for the XpresTest segment.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program was further renewed in August 2023 through a new one-year contract. The revenue to XpresTest from such one-year extension totaled approximately $7,044. In March 2024, the program funding and scope were expanded, a revenue increase of $4,000, to an estimated $11,044 in revenue for XpresTest with a new collection station located in Miami International Airport (MIA) and the roll out of multi-pathogen testing across the program. The program was further renewed in August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our health-focused brands as well as providing the majority of services to the external community.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reporting purposes, HyperPointe has been consolidated into the XpresTest segment.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which is operating through our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Naples Wax Center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12, 2023, we acquired our subsidiary Naples Wax, LLC d/b/a Naples Wax Centers (“Naples Wax Centers” or “Naples Wax”), a group of upscale hair removal boutiques in Florida, for a purchase price of $1,624. Aiming to provide a memorable customer experience, Naples Wax Center operates three high-performing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XWELL Studios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Q4 of 2023, we began plans to open our first XWELL Studios location in Jacksonville, Florida in 2025. XWELL Studios is an out-of-airport concept providing leased space to established wellness service providers. Revenue will be derived from both lease payments received from the wellness practitioners and the sale of retail at the wellness center.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that these strategic imperatives will be accomplished through development of an infrastructure specifically focused on enabling scalable and efficient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we entered into a securities purchase agreement with certain institutional and accredited investors, pursuant to which we agreed to sell and issue in a registered direct offering (the “August 2024 Offering”), an aggregate of 652,705 shares (the “August 2024 Shares”) of our common stock. The gross proceeds to us from the August 2024 Offering, prior to deducting estimated fees and expenses, were approximately $1.4 million. The August 2024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by us pursuant to a shelf registration statement on Form S-3 (File No. 333-273726), previously filed with the SEC on August 4, 2023, and declared effective by the SEC on September 29, 2023, and the base prospectus included therein.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2023 Reverse Stock Split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28, 2023, we effected a 1-for-20 reverse stock split (the “Reverse Stock Split”), whereby every twenty shares of our common stock were reduced to one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US GAAP.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 revenue from the sale of XpresSpa, Treat and Naples Wax services when they are rendered at our stores and from the sale of products at the time goods are purchased at our stores or online (usually by credit card), net of discounts and applicable sales taxes.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HyperPointe provides a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Cost of sales for our XpresSpa, XpresTest, Naples Wax and Treat segments consist of location and segment level costs. Location and segment level costs include all costs that are directly attributable to operations, primarily payroll and related benefit costs for personnel, occupancy costs and cost of products sold.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the three months ended September 30, 2023</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6"/>
        </w:trPr>
        <w:tc>
          <w:tcPr>
            <w:tcW w:w="5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9"/>
        </w:trPr>
        <w:tc>
          <w:tcPr>
            <w:tcW w:w="5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in revenue of $954 or 13%, was primarily due to the increase in the XpresTest CDC contract and the addition of Naples Wax.</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9"/>
        </w:trPr>
        <w:tc>
          <w:tcPr>
            <w:tcW w:w="59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of $8, is a result of schedule optimization in the XpresSpa locations. The largest component in the cost of sales is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20" w:type="dxa"/>
            <w:vAlign w:val="bottom"/>
            <w:gridSpan w:val="9"/>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57% was primarily due to the write-off of the stores that were permanently closed in 2023. Fewer locations resulted in lower depreciation of leasehold improvements. Depreciation and amortization expense also decreased because of the impairments and disposals of fixed assets during the year ended December 31, 2023 and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Impairment/loss on disposal of assets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2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Impairment/Loss on disposal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(8,259)</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decrease in loss on disposal of assets of approximately 98% was primarily due to the impairment of intangible and lease right of use assets that occurred in the three months ended September 30, 2023.</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of approximately 51%, or approximately $1.5 million was primarily attributable to the increase in one-time legal fees of approximately $2.1 million related to the defense of the CPC lawsuit in the three months ended September 30, 2024. This was partially offset by a $.6 million reduction in various other administrative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Salaries and benefits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of approximately 61% was primarily due to increased in payroll accruals, including $.4 million in severance related to the executive management change and employee retention credits (ERC) of approximately $1.1 million which reduced prior year salary expenses that were applied in August 2023.</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 net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6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of $5 was primarily due to having less cash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5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3,724</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in revenue of $3,724 or 16%, was primarily due to the increase in the XpresTest CDC contract and the addition of Naples Wax.</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00" w:type="dxa"/>
            <w:vAlign w:val="bottom"/>
          </w:tcPr>
          <w:p>
            <w:pPr>
              <w:spacing w:after="0"/>
              <w:rPr>
                <w:sz w:val="24"/>
                <w:szCs w:val="24"/>
                <w:color w:val="auto"/>
              </w:rPr>
            </w:pPr>
          </w:p>
        </w:tc>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9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0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18,633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19,903</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(1,270)</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cost of sales of $1,270 or 6%, is a result of three XpresSpa locations closing during 2023. The largest component in the cost of sales is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(1,065)</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of approximately 60% was primarily due to the write-off of the stores that were permanently closed in 2023. Fewer locations resulted in lower depreciation of leasehold improvements. Depreciation and amortization expense also decreased because of the impairments and disposals of fixed assets during the year ended December 31, 2023 and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Impairment/loss on disposal of assets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Impairment/Loss on disposal of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(7,606)</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decrease of approximately $7,606 was primarily due to the impairment of tangible, right of use, and intangible assets that occurred in the three months ended September 30, 2023.</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6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10,282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of approximately 6% was primarily due to rightsizing our existing business and optimizing our cost structure. We have significantly reduced operating and overhead expenses while we continue to focus on returning to overall profitability. This was partially offset by an increase in one-time legal fees of approximately $2.1 million related to the defense of the CPC lawsuit.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Salaries and benefits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increase of approximately 4% was primarily due to increased payroll accruals, including $.4 million in severance related to the executive management change and employee retention credits (ERC) of approximately $1.1 million which reduced prior year salary expenses that were applied in August 2023.</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expense,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 net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6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6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of $26 was primarily due to having less cash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$4,365 (excluding restricted cash), $11,660 in marketable securities, and total current assets of $19,513. Our total current liabilities balance, which includes accounts payable, deferred revenue, accrued expenses, and operating lease liabilities was $9,850 as of September 30, 2024, and $9,330 as of December 31, 2023. The working capital surplus was $9,663 as of September 30, 2024, compared to a working capital surplus of $17,236 as of December 31, 2023.</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carried out an assessment of our ability to continue as a going concern. As of the date of this Quarterly Report on Form 10-Q, we believe that we have sufficient liquidity to fund operations for the next twelve months. Our primary liquidity and capital requirements are for the maintenance of our current XpresSpa and Treat locations and brand, as well as the expansion of Naples Wax and our off-airport strategy. During the nine months ended September 30, 2024 and 2023, we used $7,541 and $12,873 in operations, respectively.</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31, 2021, our board of directors initially authorized a stock repurchase program that permitted the purchase and repurchase of up to 750,000 shares of our common stock through September 15, 2022. In May 2022, the Board increased the share repurchase program by an additional 500,000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with this Quarterly Report on Form 10Q should be read in conjunction with the audited consolidated financial statements included in our Annual Report on Form 10-K for the year ended December 31, 2023,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83"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September 30, 2024,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September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Remediation Plan for Material Weakness in Internal Control over Financial Reporting</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than as set forth in the foregoing paragraph, there have been no changes in our internal control over financial reporting identified in connection with the evaluation required by Rule 13a-15(d) and 15d-15(d) of the Exchange Act that occurred during the nine months ended September 30, 2024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our notes to the unaudited condensed consolidated financial statements included in “Item 1.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3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in our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8140" w:type="dxa"/>
            <w:vAlign w:val="bottom"/>
            <w:gridSpan w:val="13"/>
          </w:tcPr>
          <w:p>
            <w:pPr>
              <w:ind w:left="8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436"/>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13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43">
              <w:r>
                <w:rPr>
                  <w:rFonts w:ascii="Times New Roman" w:cs="Times New Roman" w:eastAsia="Times New Roman" w:hAnsi="Times New Roman"/>
                  <w:sz w:val="16"/>
                  <w:szCs w:val="16"/>
                  <w:color w:val="0000EE"/>
                </w:rPr>
                <w:t>Certificate of Designation of Series A Junior Participating Preferred Stock, filed with the Secretary of State of the State</w:t>
              </w:r>
            </w:hyperlink>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1"/>
          </w:tcPr>
          <w:p>
            <w:pPr>
              <w:spacing w:after="0" w:line="183" w:lineRule="exact"/>
              <w:rPr>
                <w:rFonts w:ascii="Times New Roman" w:cs="Times New Roman" w:eastAsia="Times New Roman" w:hAnsi="Times New Roman"/>
                <w:sz w:val="16"/>
                <w:szCs w:val="16"/>
                <w:color w:val="0000EE"/>
              </w:rPr>
            </w:pPr>
            <w:hyperlink r:id="rId43">
              <w:r>
                <w:rPr>
                  <w:rFonts w:ascii="Times New Roman" w:cs="Times New Roman" w:eastAsia="Times New Roman" w:hAnsi="Times New Roman"/>
                  <w:sz w:val="16"/>
                  <w:szCs w:val="16"/>
                  <w:color w:val="0000EE"/>
                </w:rPr>
                <w:t>of Delaware on August 16, 2024 (incorporated by reference to Exhibit 3.1 to the Company’s Current Report on Form 8-</w:t>
              </w:r>
            </w:hyperlink>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43">
              <w:r>
                <w:rPr>
                  <w:rFonts w:ascii="Times New Roman" w:cs="Times New Roman" w:eastAsia="Times New Roman" w:hAnsi="Times New Roman"/>
                  <w:sz w:val="16"/>
                  <w:szCs w:val="16"/>
                  <w:color w:val="0000EE"/>
                </w:rPr>
                <w:t>K filed with the SEC on August 16, 2024).</w:t>
              </w:r>
            </w:hyperlink>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1"/>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Tax Benefits Preservation Plan, dated as of August 16, 2024, between XWELL, Inc. and Equiniti Trust Company, LLC,</w:t>
              </w:r>
            </w:hyperlink>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60" w:type="dxa"/>
            <w:vAlign w:val="bottom"/>
            <w:gridSpan w:val="11"/>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as Rights Agent, together with the following exhibits thereto: Exhibit A — Form of Certificate of Designation of Series</w:t>
              </w:r>
            </w:hyperlink>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A Junior Participating Preferred Stock of XWELL, Inc.; Exhibit B — Form of Right Certificate (incorporated by</w:t>
              </w:r>
            </w:hyperlink>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8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reference to Exhibit 4.1 to the Company’s Current Report on Form 8-K filed with the SEC on August 16, 2024).</w:t>
              </w:r>
            </w:hyperlink>
          </w:p>
        </w:tc>
        <w:tc>
          <w:tcPr>
            <w:tcW w:w="580" w:type="dxa"/>
            <w:vAlign w:val="bottom"/>
            <w:gridSpan w:val="3"/>
          </w:tcPr>
          <w:p>
            <w:pPr>
              <w:spacing w:after="0"/>
              <w:rPr>
                <w:sz w:val="18"/>
                <w:szCs w:val="18"/>
                <w:color w:val="auto"/>
              </w:rPr>
            </w:pP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1"/>
          </w:tcPr>
          <w:p>
            <w:pPr>
              <w:spacing w:after="0"/>
              <w:rPr>
                <w:rFonts w:ascii="Times New Roman" w:cs="Times New Roman" w:eastAsia="Times New Roman" w:hAnsi="Times New Roman"/>
                <w:sz w:val="16"/>
                <w:szCs w:val="16"/>
                <w:color w:val="0000EE"/>
              </w:rPr>
            </w:pPr>
            <w:hyperlink r:id="rId45">
              <w:r>
                <w:rPr>
                  <w:rFonts w:ascii="Times New Roman" w:cs="Times New Roman" w:eastAsia="Times New Roman" w:hAnsi="Times New Roman"/>
                  <w:sz w:val="16"/>
                  <w:szCs w:val="16"/>
                  <w:color w:val="0000EE"/>
                </w:rPr>
                <w:t>Form of Securities Purchase Agreement, dated as of August 6, 2024, by and among the Company and the purchasers</w:t>
              </w:r>
            </w:hyperlink>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45">
              <w:r>
                <w:rPr>
                  <w:rFonts w:ascii="Times New Roman" w:cs="Times New Roman" w:eastAsia="Times New Roman" w:hAnsi="Times New Roman"/>
                  <w:sz w:val="16"/>
                  <w:szCs w:val="16"/>
                  <w:color w:val="0000EE"/>
                </w:rPr>
                <w:t>signatory thereto (incorporated by reference to Exhibit 10.1 to the Company’s Current Report on Form 8-K filed with</w:t>
              </w:r>
            </w:hyperlink>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EE"/>
              </w:rPr>
            </w:pPr>
            <w:hyperlink r:id="rId45">
              <w:r>
                <w:rPr>
                  <w:rFonts w:ascii="Times New Roman" w:cs="Times New Roman" w:eastAsia="Times New Roman" w:hAnsi="Times New Roman"/>
                  <w:sz w:val="16"/>
                  <w:szCs w:val="16"/>
                  <w:color w:val="0000EE"/>
                </w:rPr>
                <w:t>the SEC on August 7, 2024).</w:t>
              </w:r>
            </w:hyperlink>
          </w:p>
        </w:tc>
        <w:tc>
          <w:tcPr>
            <w:tcW w:w="5980" w:type="dxa"/>
            <w:vAlign w:val="bottom"/>
            <w:gridSpan w:val="9"/>
          </w:tcPr>
          <w:p>
            <w:pPr>
              <w:spacing w:after="0"/>
              <w:rPr>
                <w:sz w:val="15"/>
                <w:szCs w:val="15"/>
                <w:color w:val="auto"/>
              </w:rPr>
            </w:pPr>
          </w:p>
        </w:tc>
      </w:tr>
      <w:tr>
        <w:trPr>
          <w:trHeight w:val="58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46">
              <w:r>
                <w:rPr>
                  <w:rFonts w:ascii="Times New Roman" w:cs="Times New Roman" w:eastAsia="Times New Roman" w:hAnsi="Times New Roman"/>
                  <w:sz w:val="16"/>
                  <w:szCs w:val="16"/>
                  <w:color w:val="0000EE"/>
                </w:rPr>
                <w:t>Executive Employment Agreement by and between XWELL, Inc. and Ezra T. Ernst, effective as of September 4, 2024</w:t>
              </w:r>
            </w:hyperlink>
          </w:p>
        </w:tc>
        <w:tc>
          <w:tcPr>
            <w:tcW w:w="2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1"/>
          </w:tcPr>
          <w:p>
            <w:pPr>
              <w:spacing w:after="0" w:line="183" w:lineRule="exact"/>
              <w:rPr>
                <w:rFonts w:ascii="Times New Roman" w:cs="Times New Roman" w:eastAsia="Times New Roman" w:hAnsi="Times New Roman"/>
                <w:sz w:val="16"/>
                <w:szCs w:val="16"/>
                <w:color w:val="0000EE"/>
              </w:rPr>
            </w:pPr>
            <w:hyperlink r:id="rId46">
              <w:r>
                <w:rPr>
                  <w:rFonts w:ascii="Times New Roman" w:cs="Times New Roman" w:eastAsia="Times New Roman" w:hAnsi="Times New Roman"/>
                  <w:sz w:val="16"/>
                  <w:szCs w:val="16"/>
                  <w:color w:val="0000EE"/>
                </w:rPr>
                <w:t>(incorporated by reference to Exhibit 10.1 to the Company’s Current Report on Form 8-K filed with the SEC on</w:t>
              </w:r>
            </w:hyperlink>
          </w:p>
        </w:tc>
      </w:tr>
      <w:tr>
        <w:trPr>
          <w:trHeight w:val="182"/>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46">
              <w:r>
                <w:rPr>
                  <w:rFonts w:ascii="Times New Roman" w:cs="Times New Roman" w:eastAsia="Times New Roman" w:hAnsi="Times New Roman"/>
                  <w:sz w:val="16"/>
                  <w:szCs w:val="16"/>
                  <w:color w:val="0000EE"/>
                </w:rPr>
                <w:t>September 5, 2024).</w:t>
              </w:r>
            </w:hyperlink>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47">
              <w:r>
                <w:rPr>
                  <w:rFonts w:ascii="Times New Roman" w:cs="Times New Roman" w:eastAsia="Times New Roman" w:hAnsi="Times New Roman"/>
                  <w:sz w:val="16"/>
                  <w:szCs w:val="16"/>
                  <w:color w:val="0000EE"/>
                </w:rPr>
                <w:t>Transition and Severance Agreement, by and between XWELL, Inc. and Scott R. Milford, effective as of September 4,</w:t>
              </w:r>
            </w:hyperlink>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1"/>
          </w:tcPr>
          <w:p>
            <w:pPr>
              <w:spacing w:after="0" w:line="183" w:lineRule="exact"/>
              <w:rPr>
                <w:rFonts w:ascii="Times New Roman" w:cs="Times New Roman" w:eastAsia="Times New Roman" w:hAnsi="Times New Roman"/>
                <w:sz w:val="16"/>
                <w:szCs w:val="16"/>
                <w:color w:val="0000EE"/>
              </w:rPr>
            </w:pPr>
            <w:hyperlink r:id="rId47">
              <w:r>
                <w:rPr>
                  <w:rFonts w:ascii="Times New Roman" w:cs="Times New Roman" w:eastAsia="Times New Roman" w:hAnsi="Times New Roman"/>
                  <w:sz w:val="16"/>
                  <w:szCs w:val="16"/>
                  <w:color w:val="0000EE"/>
                </w:rPr>
                <w:t>2024 (incorporated by reference to Exhibit 10.2 to the Company’s Current Report on Form 8-K filed with the SEC on</w:t>
              </w:r>
            </w:hyperlink>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47">
              <w:r>
                <w:rPr>
                  <w:rFonts w:ascii="Times New Roman" w:cs="Times New Roman" w:eastAsia="Times New Roman" w:hAnsi="Times New Roman"/>
                  <w:sz w:val="16"/>
                  <w:szCs w:val="16"/>
                  <w:color w:val="0000EE"/>
                </w:rPr>
                <w:t>September 5, 2024).</w:t>
              </w:r>
            </w:hyperlink>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Certification of Principal Executive Officer pursuant to Exchange Act, Rules 13a – 14(a) and 15d – 14(a), as adopted</w:t>
            </w: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 Sarbanes-Oxley Act of 2002</w:t>
            </w: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Certification  of  Principal  Financial  Officer  pursuant  to</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8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Exchange Act, Rules 13a – 14(a) and 15d – 14(a), as adopted</w:t>
            </w: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60" w:type="dxa"/>
            <w:vAlign w:val="bottom"/>
            <w:tcBorders>
              <w:top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 Sarbanes-Oxley Act of 2002</w:t>
            </w: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Certifications of Principal Executive Officer and Principal</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8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 18 U.S.C. Section 1350, as</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8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906 of the Sarbanes-Oxley Act of</w:t>
            </w:r>
          </w:p>
        </w:tc>
      </w:tr>
      <w:tr>
        <w:trPr>
          <w:trHeight w:val="183"/>
        </w:trPr>
        <w:tc>
          <w:tcPr>
            <w:tcW w:w="760" w:type="dxa"/>
            <w:vAlign w:val="bottom"/>
          </w:tcPr>
          <w:p>
            <w:pPr>
              <w:spacing w:after="0"/>
              <w:rPr>
                <w:sz w:val="15"/>
                <w:szCs w:val="15"/>
                <w:color w:val="auto"/>
              </w:rPr>
            </w:pPr>
          </w:p>
        </w:tc>
        <w:tc>
          <w:tcPr>
            <w:tcW w:w="4060" w:type="dxa"/>
            <w:vAlign w:val="bottom"/>
            <w:gridSpan w:val="6"/>
          </w:tcPr>
          <w:p>
            <w:pPr>
              <w:spacing w:after="0"/>
              <w:rPr>
                <w:sz w:val="15"/>
                <w:szCs w:val="15"/>
                <w:color w:val="auto"/>
              </w:rPr>
            </w:pPr>
          </w:p>
        </w:tc>
        <w:tc>
          <w:tcPr>
            <w:tcW w:w="34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9"/>
              </w:rPr>
              <w:t>2002</w:t>
            </w:r>
          </w:p>
        </w:tc>
        <w:tc>
          <w:tcPr>
            <w:tcW w:w="31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42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40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97"/>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397"/>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40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97"/>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397"/>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3" w:lineRule="exact"/>
        <w:rPr>
          <w:sz w:val="20"/>
          <w:szCs w:val="20"/>
          <w:color w:val="auto"/>
        </w:rPr>
      </w:pPr>
    </w:p>
    <w:p>
      <w:pPr>
        <w:ind w:left="1100" w:hanging="1050"/>
        <w:spacing w:after="0"/>
        <w:tabs>
          <w:tab w:leader="none" w:pos="11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Filed herewith.</w:t>
      </w:r>
    </w:p>
    <w:p>
      <w:pPr>
        <w:spacing w:after="0" w:line="73" w:lineRule="exact"/>
        <w:rPr>
          <w:sz w:val="20"/>
          <w:szCs w:val="20"/>
          <w:color w:val="auto"/>
        </w:rPr>
      </w:pPr>
    </w:p>
    <w:p>
      <w:pPr>
        <w:ind w:left="1100" w:hanging="1050"/>
        <w:spacing w:after="0"/>
        <w:tabs>
          <w:tab w:leader="none" w:pos="11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Furnished herein.</w:t>
      </w:r>
    </w:p>
    <w:p>
      <w:pPr>
        <w:sectPr>
          <w:pgSz w:w="11900" w:h="16838" w:orient="portrait"/>
          <w:cols w:equalWidth="0" w:num="1">
            <w:col w:w="9019"/>
          </w:cols>
          <w:pgMar w:left="1440" w:top="513" w:right="1440"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947"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3240" w:type="dxa"/>
            <w:vAlign w:val="bottom"/>
          </w:tcPr>
          <w:p>
            <w:pPr>
              <w:spacing w:after="0"/>
              <w:rPr>
                <w:sz w:val="20"/>
                <w:szCs w:val="20"/>
                <w:color w:val="auto"/>
              </w:rPr>
            </w:pPr>
          </w:p>
        </w:tc>
      </w:tr>
      <w:tr>
        <w:trPr>
          <w:trHeight w:val="675"/>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Ezra T. Ernst</w:t>
            </w:r>
          </w:p>
        </w:tc>
      </w:tr>
      <w:tr>
        <w:trPr>
          <w:trHeight w:val="187"/>
        </w:trPr>
        <w:tc>
          <w:tcPr>
            <w:tcW w:w="4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jc w:val="center"/>
              <w:ind w:right="7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Ezra T. Ernst</w:t>
            </w: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64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Suzanne A. Scrabis</w:t>
            </w:r>
          </w:p>
        </w:tc>
      </w:t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Suzanne A. Scrabis</w:t>
            </w:r>
          </w:p>
        </w:tc>
      </w:tr>
    </w:tbl>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Ezra T. Ernst,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XWELL,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8"/>
        <w:spacing w:after="0" w:line="266"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1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39" w:lineRule="exact"/>
        <w:rPr>
          <w:sz w:val="20"/>
          <w:szCs w:val="20"/>
          <w:color w:val="auto"/>
        </w:rPr>
      </w:pPr>
    </w:p>
    <w:p>
      <w:pPr>
        <w:ind w:left="4160"/>
        <w:spacing w:after="0"/>
        <w:tabs>
          <w:tab w:leader="none" w:pos="4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A. Scrabis,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XWELL,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8"/>
        <w:spacing w:after="0" w:line="266"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1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39" w:lineRule="exact"/>
        <w:rPr>
          <w:sz w:val="20"/>
          <w:szCs w:val="20"/>
          <w:color w:val="auto"/>
        </w:rPr>
      </w:pPr>
    </w:p>
    <w:p>
      <w:pPr>
        <w:ind w:left="3800"/>
        <w:spacing w:after="0"/>
        <w:tabs>
          <w:tab w:leader="none" w:pos="42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left="1040" w:right="8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160"/>
        <w:spacing w:after="0"/>
        <w:tabs>
          <w:tab w:leader="none" w:pos="4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Ezra T. Ernst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3860"/>
        <w:spacing w:after="0"/>
        <w:tabs>
          <w:tab w:leader="none" w:pos="4200" w:val="left"/>
        </w:tabs>
        <w:rPr>
          <w:sz w:val="20"/>
          <w:szCs w:val="20"/>
          <w:color w:val="auto"/>
        </w:rPr>
      </w:pPr>
      <w:r>
        <w:rPr>
          <w:rFonts w:ascii="Times New Roman" w:cs="Times New Roman" w:eastAsia="Times New Roman" w:hAnsi="Times New Roman"/>
          <w:sz w:val="18"/>
          <w:szCs w:val="18"/>
          <w:color w:val="auto"/>
        </w:rPr>
        <w:t>/s/</w:t>
        <w:tab/>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Suzanne A. Scrabis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43" Type="http://schemas.openxmlformats.org/officeDocument/2006/relationships/hyperlink" Target="https://www.sec.gov/Archives/edgar/data/1410428/000110465924090328/tm2421867d1_ex3-1.htm" TargetMode="External"/><Relationship Id="rId44" Type="http://schemas.openxmlformats.org/officeDocument/2006/relationships/hyperlink" Target="https://www.sec.gov/Archives/edgar/data/1410428/000110465924090328/tm2421867d1_ex4-1.htm" TargetMode="External"/><Relationship Id="rId45" Type="http://schemas.openxmlformats.org/officeDocument/2006/relationships/hyperlink" Target="https://www.sec.gov/Archives/edgar/data/1410428/000110465924086582/tm2421027d1_ex10-1.htm" TargetMode="External"/><Relationship Id="rId46" Type="http://schemas.openxmlformats.org/officeDocument/2006/relationships/hyperlink" Target="https://www.sec.gov/Archives/edgar/data/1410428/000110465924097147/tm2423402d1_ex10-1.htm" TargetMode="External"/><Relationship Id="rId47" Type="http://schemas.openxmlformats.org/officeDocument/2006/relationships/hyperlink" Target="https://www.sec.gov/Archives/edgar/data/1410428/000110465924097147/tm242340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2024-11-14T15:29:03Z</dcterms:created>
  <dcterms:modified xsi:type="dcterms:W3CDTF">2024-11-14T15:29:03Z</dcterms:modified>
</cp:coreProperties>
</file>