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16,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1"/>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 ]</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copy of a press release of XpresSpa Group, Inc., dated May 16, 2022, announcing certain operating results for the fiscal quarter ended March 31, 2022. The information in the press release is incorporated by reference into this Item 2.02 of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16, 2022</w:t>
      </w:r>
    </w:p>
    <w:p>
      <w:pPr>
        <w:spacing w:after="0" w:line="27" w:lineRule="exact"/>
        <w:rPr>
          <w:sz w:val="20"/>
          <w:szCs w:val="20"/>
          <w:color w:val="auto"/>
        </w:rPr>
      </w:pPr>
    </w:p>
    <w:p>
      <w:pPr>
        <w:ind w:left="10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417195</wp:posOffset>
            </wp:positionV>
            <wp:extent cx="209994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99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Reports First Quarter 2022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Articulates Four Strategic Imperatives to Accelerate Company Evolution as a Leading Health and Wellness Provider for ‘People on the Go’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Quarterly Revenue of </w:t>
      </w:r>
      <w:r>
        <w:rPr>
          <w:rFonts w:ascii="Times New Roman" w:cs="Times New Roman" w:eastAsia="Times New Roman" w:hAnsi="Times New Roman"/>
          <w:sz w:val="18"/>
          <w:szCs w:val="18"/>
          <w:i w:val="1"/>
          <w:iCs w:val="1"/>
          <w:color w:val="auto"/>
          <w:shd w:val="clear" w:color="auto" w:fill="E6E6E6"/>
        </w:rPr>
        <w:t>$24.0</w:t>
      </w:r>
      <w:r>
        <w:rPr>
          <w:rFonts w:ascii="Times New Roman" w:cs="Times New Roman" w:eastAsia="Times New Roman" w:hAnsi="Times New Roman"/>
          <w:sz w:val="18"/>
          <w:szCs w:val="18"/>
          <w:i w:val="1"/>
          <w:iCs w:val="1"/>
          <w:color w:val="auto"/>
        </w:rPr>
        <w:t xml:space="preserve"> Million and Adjusted EBITDA of </w:t>
      </w:r>
      <w:r>
        <w:rPr>
          <w:rFonts w:ascii="Times New Roman" w:cs="Times New Roman" w:eastAsia="Times New Roman" w:hAnsi="Times New Roman"/>
          <w:sz w:val="18"/>
          <w:szCs w:val="18"/>
          <w:i w:val="1"/>
          <w:iCs w:val="1"/>
          <w:color w:val="auto"/>
          <w:shd w:val="clear" w:color="auto" w:fill="E6E6E6"/>
        </w:rPr>
        <w:t>$0.4</w:t>
      </w:r>
      <w:r>
        <w:rPr>
          <w:rFonts w:ascii="Times New Roman" w:cs="Times New Roman" w:eastAsia="Times New Roman" w:hAnsi="Times New Roman"/>
          <w:sz w:val="18"/>
          <w:szCs w:val="18"/>
          <w:i w:val="1"/>
          <w:iCs w:val="1"/>
          <w:color w:val="auto"/>
        </w:rPr>
        <w:t xml:space="preserve">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Cash Balance of </w:t>
      </w:r>
      <w:r>
        <w:rPr>
          <w:rFonts w:ascii="Times New Roman" w:cs="Times New Roman" w:eastAsia="Times New Roman" w:hAnsi="Times New Roman"/>
          <w:sz w:val="18"/>
          <w:szCs w:val="18"/>
          <w:i w:val="1"/>
          <w:iCs w:val="1"/>
          <w:color w:val="auto"/>
          <w:shd w:val="clear" w:color="auto" w:fill="E6E6E6"/>
        </w:rPr>
        <w:t>$83.0</w:t>
      </w:r>
      <w:r>
        <w:rPr>
          <w:rFonts w:ascii="Times New Roman" w:cs="Times New Roman" w:eastAsia="Times New Roman" w:hAnsi="Times New Roman"/>
          <w:sz w:val="18"/>
          <w:szCs w:val="18"/>
          <w:i w:val="1"/>
          <w:iCs w:val="1"/>
          <w:color w:val="auto"/>
        </w:rPr>
        <w:t xml:space="preserve"> Million and No Long-Term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Repurchased $11.1 Million of Shares During the First Quarter 2022, Intends to Complete Remaining Repurchase Authorization As Opportunities Arise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Webcast and Conference Call Scheduled for 4:30 PM ET Today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YORK, May 16, 2022 - XpresSpa Group, Inc. (Nasdaq: XSPA), a travel health and wellness company, today reported that it has filed financial results on Form 10-Q for the first quarter ending March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Scott Milford, XpresSpa Group CEO, stated, “The foundation for the future of our company is built on four strategic imperatives. These imperatives will accelerate our evolution to being a leading health and wellness provider for people ‘on the go’. By controlling costs, optimizing the operational structure, and increasing revenue opportunities in our airport locations we are poised to experience a truly transformational and productive year. The entire team is committed to delivering on these business initiatives and we look forward to sharing our progress with each milestone.”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 added, “As part of our efforts to return capital to shareholders, we repurchased over $11 million of our common stock during the first quarter and intend to complete the remaining repurchase authorization in the near-term.”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XpresCheck</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XpresSpa Group’s XpresTest, Inc. subsidiary (“XpresCheck”) provides medical diagnostic testing services, including Covid-19 testing options such as a Polymerase Chain Reaction (PCR) test and a rapid PCR test. As of today, there are 15 XpresCheck locations operating in 12 airports.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2021, XpresCheck began conducting bio surveillance monitoring, aimed at identifying existing and new SARS-CoV-2 variants, in collaboration with the Centers for Disease Control and Prevention (CDC) and Concentric by Ginkgo at four major U.S. airports (JFK International Airport, Newark Liberty International Airport, San Francisco International Airport, and Hartsfield-Jackson Atlanta International Airport). During the first quarter, we recognized $1.4 million of revenue related to this contract with the remaining $2.6 million of the contract expected to be recognized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In April, as part of the CDC’s Traveler Based Surveillance program and together with our partner, Concentric by Ginkgo, we collected, identified, and sequenced one of the first samples containing the novel BA.4 sublineage of the Omicron variant and delivered it to the CDC’s lab. The sample was collected from passengers on a flight originating from South Africa and arriving at Hartsfield-Jackson Atlanta International Airport. This sequence represented one of the first sequences of the new Omicron sublineage that has been identified in the United States. We are thrilled that our biosurveillance program continues to play a pivotal role in detecting new variants entering the country, further highlighting the importance of Covid-19 testing.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Testing volumes decreased as we progressed through the first quarter, but particularly in March, and that trend has continued into April and May. While a decline in the first quarter relative to the fourth quarter last year was not surprising, as the first quarter is typically the weakest quarter in terms of airport traffic, the decrease was faster than projected. We believe the reason is that countries have started to relax their testing requirements faster than we expected.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believe that a strong biosafety program is critical to the continued control of this virus, or any other potential virus, and we will continue to focus on supporting this invaluable national effort. That said, as testing volumes decline, we are evaluating ways to reduce costs associated with operating our XpresCheck business without compromising the integrity of our biosafety efforts. We are also looking at converting existing underperforming XpresChecks back into spa locations where we may be able to provide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XpresSpa</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19 operating XpresSpa domestic locations, including two franchise locations. A majority of the domestic XpresSpa locations are operating approximately eight hours per day during the busiest hours (compared to up to 16 hours per day pre-pandemic), which has improved labor productivity. As airport volumes improve, we will continue reviewing our operating hours to optimize the revenue opportunity.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seeing renewed interest in wellness services among travelers along with a willingness to spend additional dollars on products and services that will improve their well-being while they travel.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Internationally, there are also six XpresSpa locations currently operating. These consist of three in Dubai International Airport in the UAE and three in Schiphol Amsterdam Airport in the Netherlands. However, we also have five XpresSpa locations that will be opening at Istanbul Airport in Turkey, with the first to open later this summer. These newest XpresSpas are all designed to improve a traveler’s peace of mind and well-being at this major airport hub. We believe international expansion is an important part of our continued growth as margins tend to be higher and cost of operation is generally lower. These factors, coupled with a more sophisticated international traveler who is willing to experience new technologies and spend more on wellness, will serve our growth efforts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Treat™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Treat is our travel, health and wellness brand transforming the way we access care through a suite of health and wellness services supported by an integrated digital platform and a relevant retail offering to the traveling public.</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Treat’s on-site centers are currently located in JFK International Airport in New York and in Phoenix Sky Harbor International Airport in Arizona, and we will open later this year in Salt Lake City International Airport in Utah.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Treat model for expansion as we evolve the product and service offerings in our current locations. We will also use the opportunity to evolve and align spa services with some of the more popular Treat offerings to further integrate these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HyperPointe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will play a critical role in the expansion of ongoing biosurveillance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we continued to execute on our share repurchase program, repurchasing 7.1 million shares at average cost of $1.55 per share, for a total of $11.1 million, all subject to blackout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current share price, which management believes is substantially undervalued, our intention is to repurchase additional shares when possible and complete the existing repurchase authorization in the near-term, subject to the limitations of blackout restrictions. As of May 16, 2022, there are 3.2 million shares that may be purchased under the current authorization.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had cash and cash equivalents, excluding restricted cash, of $83.0 million and no long term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First Quarter 2022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Total revenue during the three months ended March 31, 2022 was </w:t>
      </w:r>
      <w:r>
        <w:rPr>
          <w:rFonts w:ascii="Times New Roman" w:cs="Times New Roman" w:eastAsia="Times New Roman" w:hAnsi="Times New Roman"/>
          <w:sz w:val="18"/>
          <w:szCs w:val="18"/>
          <w:color w:val="auto"/>
          <w:shd w:val="clear" w:color="auto" w:fill="E6E6E6"/>
        </w:rPr>
        <w:t>$24.0</w:t>
      </w:r>
      <w:r>
        <w:rPr>
          <w:rFonts w:ascii="Times New Roman" w:cs="Times New Roman" w:eastAsia="Times New Roman" w:hAnsi="Times New Roman"/>
          <w:sz w:val="18"/>
          <w:szCs w:val="18"/>
          <w:color w:val="auto"/>
        </w:rPr>
        <w:t xml:space="preserve"> million compared to $8.5 million in the corresponding period in 2021. The increase in revenue was primarily due to the recognition of revenue from XpresCheck locations, although we also generated $2.9 million in revenue from our reopened XpresSpa locations and $0.5 million from the HyperPointe business acquired.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sales increased to $</w:t>
      </w:r>
      <w:r>
        <w:rPr>
          <w:rFonts w:ascii="Times New Roman" w:cs="Times New Roman" w:eastAsia="Times New Roman" w:hAnsi="Times New Roman"/>
          <w:sz w:val="18"/>
          <w:szCs w:val="18"/>
          <w:color w:val="auto"/>
          <w:shd w:val="clear" w:color="auto" w:fill="E6E6E6"/>
        </w:rPr>
        <w:t>15.0</w:t>
      </w:r>
      <w:r>
        <w:rPr>
          <w:rFonts w:ascii="Times New Roman" w:cs="Times New Roman" w:eastAsia="Times New Roman" w:hAnsi="Times New Roman"/>
          <w:sz w:val="18"/>
          <w:szCs w:val="18"/>
          <w:color w:val="auto"/>
        </w:rPr>
        <w:t xml:space="preserve"> million from $4.2 million in the prior year first quarter due to the increased costs to operate the XpresCheck locations due to the Covid-19 pandemic, and the reopening of certain XpresSpa locations that were temporarily closed during the first quarter of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General and administrative expenses were </w:t>
      </w:r>
      <w:r>
        <w:rPr>
          <w:rFonts w:ascii="Times New Roman" w:cs="Times New Roman" w:eastAsia="Times New Roman" w:hAnsi="Times New Roman"/>
          <w:sz w:val="18"/>
          <w:szCs w:val="18"/>
          <w:color w:val="auto"/>
          <w:shd w:val="clear" w:color="auto" w:fill="E6E6E6"/>
        </w:rPr>
        <w:t>$</w:t>
      </w:r>
      <w:r>
        <w:rPr>
          <w:rFonts w:ascii="Times New Roman" w:cs="Times New Roman" w:eastAsia="Times New Roman" w:hAnsi="Times New Roman"/>
          <w:sz w:val="18"/>
          <w:szCs w:val="18"/>
          <w:color w:val="auto"/>
        </w:rPr>
        <w:t>10.2 million compared to $4.5 million for the year ago comparable period. The increase was primarily due to functional costs associated with the operations of XpresCheck and Treat wellness centers, XpresSpa locations, and the newly acquired HyperPointe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Loss from operations was </w:t>
      </w:r>
      <w:r>
        <w:rPr>
          <w:rFonts w:ascii="Times New Roman" w:cs="Times New Roman" w:eastAsia="Times New Roman" w:hAnsi="Times New Roman"/>
          <w:sz w:val="18"/>
          <w:szCs w:val="18"/>
          <w:color w:val="auto"/>
          <w:shd w:val="clear" w:color="auto" w:fill="E6E6E6"/>
        </w:rPr>
        <w:t>$2.5</w:t>
      </w:r>
      <w:r>
        <w:rPr>
          <w:rFonts w:ascii="Times New Roman" w:cs="Times New Roman" w:eastAsia="Times New Roman" w:hAnsi="Times New Roman"/>
          <w:sz w:val="18"/>
          <w:szCs w:val="18"/>
          <w:color w:val="auto"/>
        </w:rPr>
        <w:t xml:space="preserve"> million compared to $0.9 million in the prior year first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Common Shareholders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 loss attributable to common shareholders was </w:t>
      </w:r>
      <w:r>
        <w:rPr>
          <w:rFonts w:ascii="Times New Roman" w:cs="Times New Roman" w:eastAsia="Times New Roman" w:hAnsi="Times New Roman"/>
          <w:sz w:val="18"/>
          <w:szCs w:val="18"/>
          <w:color w:val="auto"/>
          <w:shd w:val="clear" w:color="auto" w:fill="E6E6E6"/>
        </w:rPr>
        <w:t>$4.3</w:t>
      </w:r>
      <w:r>
        <w:rPr>
          <w:rFonts w:ascii="Times New Roman" w:cs="Times New Roman" w:eastAsia="Times New Roman" w:hAnsi="Times New Roman"/>
          <w:sz w:val="18"/>
          <w:szCs w:val="18"/>
          <w:color w:val="auto"/>
        </w:rPr>
        <w:t xml:space="preserve"> million compared to $1.1 million in the prior year first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XpresCheck Operational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Patients by Quarter</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2021</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37,589</w:t>
            </w:r>
          </w:p>
        </w:tc>
        <w:tc>
          <w:tcPr>
            <w:tcW w:w="8420" w:type="dxa"/>
            <w:vAlign w:val="bottom"/>
          </w:tcPr>
          <w:p>
            <w:pPr>
              <w:spacing w:after="0"/>
              <w:rPr>
                <w:sz w:val="19"/>
                <w:szCs w:val="19"/>
                <w:color w:val="auto"/>
              </w:rPr>
            </w:pPr>
          </w:p>
        </w:tc>
      </w:tr>
      <w:tr>
        <w:trPr>
          <w:trHeight w:val="209"/>
        </w:trPr>
        <w:tc>
          <w:tcPr>
            <w:tcW w:w="1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2021</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92,415</w:t>
            </w:r>
          </w:p>
        </w:tc>
        <w:tc>
          <w:tcPr>
            <w:tcW w:w="8420" w:type="dxa"/>
            <w:vAlign w:val="bottom"/>
          </w:tcPr>
          <w:p>
            <w:pPr>
              <w:spacing w:after="0"/>
              <w:rPr>
                <w:sz w:val="18"/>
                <w:szCs w:val="18"/>
                <w:color w:val="auto"/>
              </w:rPr>
            </w:pPr>
          </w:p>
        </w:tc>
      </w:tr>
      <w:tr>
        <w:trPr>
          <w:trHeight w:val="210"/>
        </w:trPr>
        <w:tc>
          <w:tcPr>
            <w:tcW w:w="1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2021</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113,212</w:t>
            </w:r>
          </w:p>
        </w:tc>
        <w:tc>
          <w:tcPr>
            <w:tcW w:w="8420" w:type="dxa"/>
            <w:vAlign w:val="bottom"/>
          </w:tcPr>
          <w:p>
            <w:pPr>
              <w:spacing w:after="0"/>
              <w:rPr>
                <w:sz w:val="18"/>
                <w:szCs w:val="18"/>
                <w:color w:val="auto"/>
              </w:rPr>
            </w:pPr>
          </w:p>
        </w:tc>
      </w:tr>
      <w:tr>
        <w:trPr>
          <w:trHeight w:val="210"/>
        </w:trPr>
        <w:tc>
          <w:tcPr>
            <w:tcW w:w="1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 2021</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104,805</w:t>
            </w:r>
          </w:p>
        </w:tc>
        <w:tc>
          <w:tcPr>
            <w:tcW w:w="8420" w:type="dxa"/>
            <w:vAlign w:val="bottom"/>
          </w:tcPr>
          <w:p>
            <w:pPr>
              <w:spacing w:after="0"/>
              <w:rPr>
                <w:sz w:val="18"/>
                <w:szCs w:val="18"/>
                <w:color w:val="auto"/>
              </w:rPr>
            </w:pPr>
          </w:p>
        </w:tc>
      </w:tr>
      <w:tr>
        <w:trPr>
          <w:trHeight w:val="210"/>
        </w:trPr>
        <w:tc>
          <w:tcPr>
            <w:tcW w:w="1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2022</w:t>
            </w:r>
          </w:p>
        </w:tc>
        <w:tc>
          <w:tcPr>
            <w:tcW w:w="1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78,976</w:t>
            </w:r>
          </w:p>
        </w:tc>
        <w:tc>
          <w:tcPr>
            <w:tcW w:w="8420" w:type="dxa"/>
            <w:vAlign w:val="bottom"/>
          </w:tcPr>
          <w:p>
            <w:pPr>
              <w:spacing w:after="0"/>
              <w:rPr>
                <w:sz w:val="18"/>
                <w:szCs w:val="18"/>
                <w:color w:val="auto"/>
              </w:rPr>
            </w:pPr>
          </w:p>
        </w:tc>
      </w:tr>
      <w:tr>
        <w:trPr>
          <w:trHeight w:val="668"/>
        </w:trPr>
        <w:tc>
          <w:tcPr>
            <w:tcW w:w="1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Total Rapid Test (Antigen and PCR) / Percent of Total Patients by Quarter</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6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2021</w:t>
            </w:r>
          </w:p>
        </w:tc>
        <w:tc>
          <w:tcPr>
            <w:tcW w:w="1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27,651</w:t>
            </w:r>
          </w:p>
        </w:tc>
        <w:tc>
          <w:tcPr>
            <w:tcW w:w="7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74%</w:t>
            </w:r>
          </w:p>
        </w:tc>
      </w:tr>
      <w:tr>
        <w:trPr>
          <w:trHeight w:val="209"/>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Q2 2021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75,788</w:t>
            </w:r>
          </w:p>
        </w:tc>
        <w:tc>
          <w:tcPr>
            <w:tcW w:w="7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82%</w:t>
            </w:r>
          </w:p>
        </w:tc>
      </w:tr>
      <w:tr>
        <w:trPr>
          <w:trHeight w:val="210"/>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Q3 2021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110,376</w:t>
            </w:r>
          </w:p>
        </w:tc>
        <w:tc>
          <w:tcPr>
            <w:tcW w:w="7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97%</w:t>
            </w:r>
          </w:p>
        </w:tc>
      </w:tr>
      <w:tr>
        <w:trPr>
          <w:trHeight w:val="209"/>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 2021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103,000</w:t>
            </w:r>
          </w:p>
        </w:tc>
        <w:tc>
          <w:tcPr>
            <w:tcW w:w="7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98%</w:t>
            </w:r>
          </w:p>
        </w:tc>
      </w:tr>
      <w:tr>
        <w:trPr>
          <w:trHeight w:val="209"/>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78,524</w:t>
            </w:r>
          </w:p>
        </w:tc>
        <w:tc>
          <w:tcPr>
            <w:tcW w:w="7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0"/>
              </w:rPr>
              <w:t>99%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Rapid PCR Tests / Percent of Total Rapid Tests by Quarter</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13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114</w:t>
            </w:r>
          </w:p>
        </w:tc>
        <w:tc>
          <w:tcPr>
            <w:tcW w:w="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2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Q2</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 </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32,382</w:t>
            </w:r>
          </w:p>
        </w:tc>
        <w:tc>
          <w:tcPr>
            <w:tcW w:w="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2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Q3</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74,090</w:t>
            </w:r>
          </w:p>
        </w:tc>
        <w:tc>
          <w:tcPr>
            <w:tcW w:w="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2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Q4</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101,526</w:t>
            </w:r>
          </w:p>
        </w:tc>
        <w:tc>
          <w:tcPr>
            <w:tcW w:w="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2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Q1</w:t>
            </w:r>
          </w:p>
        </w:tc>
        <w:tc>
          <w:tcPr>
            <w:tcW w:w="13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78,261</w:t>
            </w:r>
          </w:p>
        </w:tc>
        <w:tc>
          <w:tcPr>
            <w:tcW w:w="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On a non-GAAP basis, Adjusted EBITDA was </w:t>
      </w:r>
      <w:r>
        <w:rPr>
          <w:rFonts w:ascii="Times New Roman" w:cs="Times New Roman" w:eastAsia="Times New Roman" w:hAnsi="Times New Roman"/>
          <w:sz w:val="18"/>
          <w:szCs w:val="18"/>
          <w:color w:val="auto"/>
          <w:shd w:val="clear" w:color="auto" w:fill="E6E6E6"/>
        </w:rPr>
        <w:t>$</w:t>
      </w:r>
      <w:r>
        <w:rPr>
          <w:rFonts w:ascii="Times New Roman" w:cs="Times New Roman" w:eastAsia="Times New Roman" w:hAnsi="Times New Roman"/>
          <w:sz w:val="18"/>
          <w:szCs w:val="18"/>
          <w:color w:val="auto"/>
        </w:rPr>
        <w:t>0.4 million during the first quarter 2022, compared to Adjusted EBITDA of $0.9 million in the prior year first quarter.</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earnings before interest, taxes, depreciation and amortization expense, non-cash charges, and stock-based compensation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Adjusted EBITDA to be an important indicator for the performance of our operating business, XpresCheck. In particular, we believe that it is useful for analysts and investors to understand that Adjusted EBITDA excludes certain transactions not related to core cash operating activities, which are primarily related to XpresCheck. We believe that excluding these transactions allows investors to meaningfully analyze the performance of core cash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operating loss presented in accordance with GAAP for the three-month periods ended March 31, 2022 and 2021 to Adjusted EBITDA (loss) is presented in the table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1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800" w:type="dxa"/>
            <w:vAlign w:val="bottom"/>
          </w:tcPr>
          <w:p>
            <w:pPr>
              <w:spacing w:after="0"/>
              <w:rPr>
                <w:sz w:val="20"/>
                <w:szCs w:val="20"/>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0" w:type="dxa"/>
            <w:vAlign w:val="bottom"/>
          </w:tcPr>
          <w:p>
            <w:pPr>
              <w:spacing w:after="0"/>
              <w:rPr>
                <w:sz w:val="19"/>
                <w:szCs w:val="19"/>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(2,451)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right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back:</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3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w:t>
            </w:r>
          </w:p>
        </w:tc>
        <w:tc>
          <w:tcPr>
            <w:tcW w:w="280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Impairment/disposal of assets</w:t>
            </w:r>
          </w:p>
        </w:tc>
        <w:tc>
          <w:tcPr>
            <w:tcW w:w="9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800" w:type="dxa"/>
            <w:vAlign w:val="bottom"/>
          </w:tcPr>
          <w:p>
            <w:pPr>
              <w:spacing w:after="0"/>
              <w:rPr>
                <w:sz w:val="18"/>
                <w:szCs w:val="18"/>
                <w:color w:val="auto"/>
              </w:rPr>
            </w:pP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1,543</w:t>
            </w:r>
          </w:p>
        </w:tc>
        <w:tc>
          <w:tcPr>
            <w:tcW w:w="3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w:t>
            </w:r>
          </w:p>
        </w:tc>
        <w:tc>
          <w:tcPr>
            <w:tcW w:w="2800" w:type="dxa"/>
            <w:vAlign w:val="bottom"/>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auto"/>
            </w:tcBorders>
          </w:tcPr>
          <w:p>
            <w:pPr>
              <w:spacing w:after="0"/>
              <w:rPr>
                <w:sz w:val="19"/>
                <w:szCs w:val="19"/>
                <w:color w:val="auto"/>
              </w:rPr>
            </w:pPr>
          </w:p>
        </w:tc>
        <w:tc>
          <w:tcPr>
            <w:tcW w:w="28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Revised 2022 Revenue Target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the swift relaxation of Covid-19 testing requirements by other countries for flights originating in the United States and the continued volatility of testing, we anticipate revenues to be lower than we originally forecasted.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Today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host a webcast and conference call at 4:30 p.m. Eastern Time today.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investors and interested parties to listen via webcast as there is a limited capacity to access the conference call by dialing 1-212-231-2930.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submit a question, please email ir@xpresspagroup.com.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Water Tower Research Fireside Chat Series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participate in the Water Tower Research Fireside Chat Series on Thursday, May 19, 2022 at 2:00 PM Eastern Time when XpresSpa Group CEO, Scott Milford, will discuss his strategic vision for the Company. Topics will include:</w:t>
      </w:r>
    </w:p>
    <w:p>
      <w:pPr>
        <w:spacing w:after="0" w:line="162"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scalable and profitable unified offering under one brand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out of airport strategy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accretive acquisitions to accelerate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an institutional or retail investor and would like to listen to this fireside chat, please click below to register for the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Link: Water Tower Research | Scott Milford, CEO of XpresSpa Group, May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XpresSpa Group, Inc. (Nasdaq: XSPA) is a leading global health and wellness holding company operating three brands: XpresCheck®, XpresSpa®, Treat™.</w:t>
      </w:r>
    </w:p>
    <w:p>
      <w:pPr>
        <w:spacing w:after="0" w:line="162" w:lineRule="exact"/>
        <w:rPr>
          <w:sz w:val="20"/>
          <w:szCs w:val="20"/>
          <w:color w:val="auto"/>
        </w:rPr>
      </w:pPr>
    </w:p>
    <w:p>
      <w:pPr>
        <w:jc w:val="both"/>
        <w:ind w:left="660" w:hanging="328"/>
        <w:spacing w:after="0" w:line="25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leading on-site airport provider of Covid-19 screening and diagnostic testing with 15 locations in 12 domestic airports. XpresCheck is also partnered with the CDC and Concentric by Ginkgo, conducting biosurveillance monitoring at four major domestic airports to identify existing and new SARS-CoV-2 variants.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airport retailer of wellness services and related products, with 23 locations in 13 airports globally.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is a travel health and wellness brand that is providing on-demand access to healthcare through technology and personalized services, including two domestic airport locations.</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further build on XpresSpa Group’s expertise in the health and wellness space, the Company acquired HyperPointe in January 2022, a leading digital healthcare and data analytics relationship marketing agency serving the global healthcare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XpresCheck, visit: www.XpresCheck.com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XpresSpa, visit www.XpresSpa.com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Treat, visit: www.Treat.com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HyperPointe, visit: www.Hyperpointe.com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@Treat_Care and Instagram: @treat_care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Ferguson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2022-05-16T17:35:24Z</dcterms:created>
  <dcterms:modified xsi:type="dcterms:W3CDTF">2022-05-16T17:35:24Z</dcterms:modified>
</cp:coreProperties>
</file>