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October 25, 2022</w:t>
      </w:r>
    </w:p>
    <w:p>
      <w:pPr>
        <w:spacing w:after="0" w:line="24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7"/>
          <w:szCs w:val="17"/>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468" w:right="499" w:bottom="1440" w:gutter="0" w:footer="0" w:header="0"/>
        </w:sectPr>
      </w:pPr>
    </w:p>
    <w:p>
      <w:pPr>
        <w:spacing w:after="0" w:line="20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680" w:space="720"/>
            <w:col w:w="3680"/>
          </w:cols>
          <w:pgMar w:left="320" w:top="468"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XWELL, Inc. 2020 Equity Incentive Plan</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Scott R. Milford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Robert J. Endicott, Esq.</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Kenneth L. Henderson, Esq.</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Bryan Cave Leighton Paisner LLP</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211 North Broadway, Suite 3600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 Louis, Missouri 63102-2750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(314) 259-2000</w:t>
      </w:r>
    </w:p>
    <w:p>
      <w:pPr>
        <w:spacing w:after="0" w:line="207"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468" w:right="49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20" w:space="720"/>
            <w:col w:w="5340"/>
          </w:cols>
          <w:pgMar w:left="320" w:top="468" w:right="499" w:bottom="1440" w:gutter="0" w:footer="0" w:header="0"/>
          <w:type w:val="continuous"/>
        </w:sectPr>
      </w:pPr>
    </w:p>
    <w:p>
      <w:pPr>
        <w:spacing w:after="0" w:line="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68"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2022 Annual Meeting of Stockholders of XWELL, Inc., formerly known as XpresSpa Group, Inc. (the “Registrant”) held on October 4, 2022, the Registrant’s stockholders approved an amendment (the “Amendment”) to the XpresSpa Group, Inc. 2020 Equity Incentive Plan (the “2020 Plan”), which the Registrant’s Board of Directors (the “Board”) had previously approved on August 9, 2022, subject to such stockholder approval. The 2020 Plan was originally adopted by the Board on September 17, 2020 and approved by the Registrant’s stockholders on October 28, 2020. On October 10, 2022, the Board approved an additional amendment to the 2020 Plan to change the name of the 2020 Plan to “XWELL, Inc. 2020 Equity Incentive Plan”, effective as of October 25, 2022. Finally, the Registrant issued a press release on October 24, 2022 announcing it was changing its name to “XWELL, Inc.” pursuant to an amended and restated certificate of incorporation filed with the Delaware Secretary of State.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Amendment provides for an increase in the number of shares of the Registrant’s Common Stock, $0.01 par value (the “Common Stock”), authorized for issuance under the 2020 Plan by 7,500,000 shares. Previously, 5,705,239 shares of Common Stock were authorized for issuance and registered under the Securities Act of 1933, as amended (the “Securities Act”), pursuant to a registration statement on Form S-8 previously filed on March 19, 2021 (Registration No. 333-254508) (the “Previous S-8”), which remains in full force and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 is filing this Registration Statement to register under the Securities Act an additional 7,500,000 shares of Common Stock issuable under the 2020 Plan pursuant to the Amendment. These additional shares of Common Stock to be registered by this Registration Statement are of the same class as those securities covered by the Previous S-8. Pursuant to General Instruction E to Form S-8, the contents of the Previous S-8 are incorporated herein by reference and this Registration Statement is only required to include those items specified by such instruction with respect to the 2020 Plan and the Amendment.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the rules of the Securities Exchange Commission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documents listed in (a) through (e) below, which are on file with the SEC, are incorporated herein by reference (except for the portions of the Company’s Current Reports on Form 8-K furnished pursuant to Item 2.02 or Item 7.01 thereof or otherwise not filed with the SEC which are deemed not to be incorporated by reference into this Registration Statement):</w:t>
      </w:r>
    </w:p>
    <w:p>
      <w:pPr>
        <w:spacing w:after="0" w:line="176" w:lineRule="exact"/>
        <w:rPr>
          <w:sz w:val="20"/>
          <w:szCs w:val="20"/>
          <w:color w:val="auto"/>
        </w:rPr>
      </w:pPr>
    </w:p>
    <w:p>
      <w:pPr>
        <w:ind w:left="1300" w:right="68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2021, filed with the SEC on </w:t>
      </w:r>
      <w:hyperlink r:id="rId14">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as amended on </w:t>
      </w:r>
      <w:hyperlink r:id="rId15">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March 31, 2022, filed with the SEC on </w:t>
      </w:r>
      <w:hyperlink r:id="rId16">
        <w:r>
          <w:rPr>
            <w:rFonts w:ascii="Times New Roman" w:cs="Times New Roman" w:eastAsia="Times New Roman" w:hAnsi="Times New Roman"/>
            <w:sz w:val="18"/>
            <w:szCs w:val="18"/>
            <w:u w:val="single" w:color="auto"/>
            <w:color w:val="0000EE"/>
          </w:rPr>
          <w:t>May 16, 2022</w:t>
        </w:r>
      </w:hyperlink>
      <w:r>
        <w:rPr>
          <w:rFonts w:ascii="Times New Roman" w:cs="Times New Roman" w:eastAsia="Times New Roman" w:hAnsi="Times New Roman"/>
          <w:sz w:val="18"/>
          <w:szCs w:val="18"/>
          <w:color w:val="auto"/>
        </w:rPr>
        <w:t xml:space="preserve">, and June 30, 2022, filed with the SEC on </w:t>
      </w:r>
      <w:hyperlink r:id="rId17">
        <w:r>
          <w:rPr>
            <w:rFonts w:ascii="Times New Roman" w:cs="Times New Roman" w:eastAsia="Times New Roman" w:hAnsi="Times New Roman"/>
            <w:sz w:val="18"/>
            <w:szCs w:val="18"/>
            <w:u w:val="single" w:color="auto"/>
            <w:color w:val="0000EE"/>
          </w:rPr>
          <w:t>August 15,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June 14, 2022</w:t>
        </w:r>
      </w:hyperlink>
      <w:hyperlink r:id="rId18">
        <w:r>
          <w:rPr>
            <w:rFonts w:ascii="Times New Roman" w:cs="Times New Roman" w:eastAsia="Times New Roman" w:hAnsi="Times New Roman"/>
            <w:sz w:val="18"/>
            <w:szCs w:val="18"/>
            <w:color w:val="000000"/>
          </w:rPr>
          <w:t>, as amended on</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September 13, 2022</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 xml:space="preserve">October 7, 2022 </w:t>
        </w:r>
      </w:hyperlink>
      <w:hyperlink r:id="rId1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 xml:space="preserve">October 24, 2022 </w:t>
        </w:r>
      </w:hyperlink>
      <w:hyperlink r:id="rId18">
        <w:r>
          <w:rPr>
            <w:rFonts w:ascii="Times New Roman" w:cs="Times New Roman" w:eastAsia="Times New Roman" w:hAnsi="Times New Roman"/>
            <w:sz w:val="18"/>
            <w:szCs w:val="18"/>
            <w:color w:val="000000"/>
          </w:rPr>
          <w:t>(File No. 001-34785); and</w:t>
        </w:r>
      </w:hyperlink>
    </w:p>
    <w:p>
      <w:pPr>
        <w:spacing w:after="0" w:line="161" w:lineRule="exact"/>
        <w:rPr>
          <w:rFonts w:ascii="Times New Roman" w:cs="Times New Roman" w:eastAsia="Times New Roman" w:hAnsi="Times New Roman"/>
          <w:sz w:val="18"/>
          <w:szCs w:val="18"/>
          <w:color w:val="0000EE"/>
        </w:rPr>
      </w:pPr>
    </w:p>
    <w:p>
      <w:pPr>
        <w:ind w:left="1300" w:right="100" w:hanging="644"/>
        <w:spacing w:after="0" w:line="266" w:lineRule="auto"/>
        <w:tabs>
          <w:tab w:leader="none" w:pos="13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securities contained in our Registration Statement on </w:t>
      </w:r>
      <w:hyperlink r:id="rId23">
        <w:r>
          <w:rPr>
            <w:rFonts w:ascii="Times New Roman" w:cs="Times New Roman" w:eastAsia="Times New Roman" w:hAnsi="Times New Roman"/>
            <w:sz w:val="18"/>
            <w:szCs w:val="18"/>
            <w:u w:val="single" w:color="auto"/>
            <w:color w:val="0000EE"/>
          </w:rPr>
          <w:t>Form 8-A filed on March 21, 2016 (File No. 001-34785)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April 29, 2013 (File No. 001-34785)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June 16, 2010 (File No. 001-34785)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12(b) of the Exchange Act of 1934, 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(the “Exchange Act”), and any amendment or report filed with the SEC for purposes of 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with the SEC pursuant to Sections 13(a), 13(c), 14 and 15(d) of the Exchange Act (other than those made pursuant to Item 2.02 or Item 7.01 of Form 8-K or other information “furnished” to the Commission)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These documents include periodic reports, such as Proxy Statements, Annual Reports on Form 10-K, Quarterly Reports on Form 10-Q and Current Reports on Form 8-K (other than the portions of those documents not deemed to be filed, which is deemed not to be incorporated by reference in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to be offered are registered under Section 12 of the Exchange Act and, accordingly, no description is provided 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8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into this registration statement on Form S-8.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2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gridSpan w:val="7"/>
          </w:tcPr>
          <w:p>
            <w:pPr>
              <w:ind w:left="100"/>
              <w:spacing w:after="0" w:line="169" w:lineRule="exact"/>
              <w:rPr>
                <w:sz w:val="20"/>
                <w:szCs w:val="20"/>
                <w:color w:val="auto"/>
              </w:rPr>
            </w:pPr>
            <w:r>
              <w:rPr>
                <w:rFonts w:ascii="Times New Roman" w:cs="Times New Roman" w:eastAsia="Times New Roman" w:hAnsi="Times New Roman"/>
                <w:sz w:val="18"/>
                <w:szCs w:val="18"/>
                <w:color w:val="0000EE"/>
              </w:rPr>
              <w:t>Opinion of Bryan Cave Leighton Paisner LLP</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3"/>
              </w:rPr>
              <w:t>10.</w:t>
            </w:r>
            <w:r>
              <w:rPr>
                <w:rFonts w:ascii="Times New Roman" w:cs="Times New Roman" w:eastAsia="Times New Roman" w:hAnsi="Times New Roman"/>
                <w:sz w:val="17"/>
                <w:szCs w:val="17"/>
                <w:u w:val="single" w:color="auto"/>
                <w:color w:val="0000EE"/>
                <w:w w:val="73"/>
              </w:rPr>
              <w:t>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7"/>
          </w:tcPr>
          <w:p>
            <w:pPr>
              <w:ind w:left="100"/>
              <w:spacing w:after="0" w:line="196" w:lineRule="exact"/>
              <w:rPr>
                <w:sz w:val="20"/>
                <w:szCs w:val="20"/>
                <w:color w:val="auto"/>
              </w:rPr>
            </w:pPr>
            <w:r>
              <w:rPr>
                <w:rFonts w:ascii="Times New Roman" w:cs="Times New Roman" w:eastAsia="Times New Roman" w:hAnsi="Times New Roman"/>
                <w:sz w:val="18"/>
                <w:szCs w:val="18"/>
                <w:color w:val="0000EE"/>
              </w:rPr>
              <w:t>XWELL, Inc. 2020 Equity Incentive Plan, as amended October 4, 2022</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3"/>
              </w:rPr>
              <w:t>23.</w:t>
            </w:r>
            <w:r>
              <w:rPr>
                <w:rFonts w:ascii="Times New Roman" w:cs="Times New Roman" w:eastAsia="Times New Roman" w:hAnsi="Times New Roman"/>
                <w:sz w:val="17"/>
                <w:szCs w:val="17"/>
                <w:u w:val="single" w:color="auto"/>
                <w:color w:val="0000EE"/>
                <w:w w:val="73"/>
              </w:rPr>
              <w:t>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7"/>
          </w:tcPr>
          <w:p>
            <w:pPr>
              <w:ind w:left="100"/>
              <w:spacing w:after="0" w:line="196" w:lineRule="exact"/>
              <w:rPr>
                <w:sz w:val="20"/>
                <w:szCs w:val="20"/>
                <w:color w:val="auto"/>
              </w:rPr>
            </w:pPr>
            <w:r>
              <w:rPr>
                <w:rFonts w:ascii="Times New Roman" w:cs="Times New Roman" w:eastAsia="Times New Roman" w:hAnsi="Times New Roman"/>
                <w:sz w:val="18"/>
                <w:szCs w:val="18"/>
                <w:color w:val="0000EE"/>
              </w:rPr>
              <w:t>Consent of Friedman LLP, independent registered public accounting firm</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3"/>
              </w:rPr>
              <w:t>23.</w:t>
            </w:r>
            <w:r>
              <w:rPr>
                <w:rFonts w:ascii="Times New Roman" w:cs="Times New Roman" w:eastAsia="Times New Roman" w:hAnsi="Times New Roman"/>
                <w:sz w:val="17"/>
                <w:szCs w:val="17"/>
                <w:u w:val="single" w:color="auto"/>
                <w:color w:val="0000EE"/>
                <w:w w:val="73"/>
              </w:rPr>
              <w:t>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7"/>
          </w:tcPr>
          <w:p>
            <w:pPr>
              <w:ind w:left="100"/>
              <w:spacing w:after="0" w:line="196" w:lineRule="exact"/>
              <w:rPr>
                <w:sz w:val="20"/>
                <w:szCs w:val="20"/>
                <w:color w:val="auto"/>
              </w:rPr>
            </w:pPr>
            <w:r>
              <w:rPr>
                <w:rFonts w:ascii="Times New Roman" w:cs="Times New Roman" w:eastAsia="Times New Roman" w:hAnsi="Times New Roman"/>
                <w:sz w:val="18"/>
                <w:szCs w:val="18"/>
                <w:color w:val="0000EE"/>
              </w:rPr>
              <w:t>Consent of Bryan Cave Leighton Paisner LLP (contained in Exhibit 5.1)</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3"/>
              </w:rPr>
              <w:t>24.</w:t>
            </w:r>
            <w:r>
              <w:rPr>
                <w:rFonts w:ascii="Times New Roman" w:cs="Times New Roman" w:eastAsia="Times New Roman" w:hAnsi="Times New Roman"/>
                <w:sz w:val="17"/>
                <w:szCs w:val="17"/>
                <w:u w:val="single" w:color="auto"/>
                <w:color w:val="0000EE"/>
                <w:w w:val="73"/>
              </w:rPr>
              <w:t>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7"/>
          </w:tcPr>
          <w:p>
            <w:pPr>
              <w:ind w:left="100"/>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7"/>
          </w:tcPr>
          <w:p>
            <w:pPr>
              <w:ind w:left="100"/>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7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626"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registrant pursuant to Section 13 and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660" w:hanging="4"/>
        <w:spacing w:after="0" w:line="266" w:lineRule="auto"/>
        <w:tabs>
          <w:tab w:leader="none" w:pos="9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8" w:firstLine="8"/>
        <w:spacing w:after="0" w:line="255" w:lineRule="auto"/>
        <w:tabs>
          <w:tab w:leader="none" w:pos="2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October 25, 2022.</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XWELL, Inc. constitutes and appoints Scott R. Milford and Cara Soffer, and each of them, severally, as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attorneys-in-fact and agent, or his substitute or substitute, may lawfully do or cause to be done by virtue hereof.</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49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Title(s)</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R. Milford</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R. Milford</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Omar A. Haynes</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Omar A. Haynes</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Bruce T. Bernstein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Bruce T. Bernstein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Weinstein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Weinstein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E. Stout</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10"/>
        </w:trPr>
        <w:tc>
          <w:tcPr>
            <w:tcW w:w="3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Donald E. Stout</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Lebowitz</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Lebowitz</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87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167640</wp:posOffset>
            </wp:positionV>
            <wp:extent cx="2983230" cy="248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98323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XWELL,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acted as special counsel to XWELL, Inc., a Delaware corporation (the “Company”), in connection with its registration under the Securities Act of 1933, as amended (the “Securities Act”), by means of a registration statement on Form S-8 (the “Registration Statement”), of an aggregate of 7,500,000 additional shares of the Company’s common stock, par value $0.01 per share (the “Shares”), which may be issued pursuant to the XWELL, Inc. 2020 Equity Incentive Plan, as amended, formerly known as the XpresSpa Group, Inc. 2020 Equity Incentive Plan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herewith, we have examined: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as amended to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Amended and Restated Certificate of Incorporation of the Company;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Bylaws of the Company.</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Securities and Exchange Commission’s (“SEC”)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5715</wp:posOffset>
            </wp:positionV>
            <wp:extent cx="1714500"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we are of the opinion that the Shares have been duly authorized for issuance, and when issued, delivered and paid for in accordance with the Plan, the Shares will be validly issued, fully paid and non-assessable.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opinion is being delivered by us in connection with the filing of the Registration Statement with the SEC. We do not render any opinions except as set forth above. We hereby consent to the filing of this opinion as Exhibit 5.1 to the Registration Statement and to the use of our name under the caption “Legal Matters” in the prospectus which forms part of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such consent, we do not thereby concede that we are within the category of persons whose consent is required under Section 7 of the Securities Act or the rules and regulations of the SEC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b w:val="1"/>
          <w:bCs w:val="1"/>
          <w:color w:val="231F20"/>
        </w:rPr>
        <w:t>XWELL, INC.</w:t>
      </w:r>
    </w:p>
    <w:p>
      <w:pPr>
        <w:spacing w:after="0" w:line="225"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b w:val="1"/>
          <w:bCs w:val="1"/>
          <w:color w:val="231F20"/>
        </w:rPr>
        <w:t>2020 Equity Incentive Plan (as amended October 4, 2022)</w:t>
      </w:r>
    </w:p>
    <w:p>
      <w:pPr>
        <w:spacing w:after="0" w:line="229" w:lineRule="exact"/>
        <w:rPr>
          <w:sz w:val="20"/>
          <w:szCs w:val="20"/>
          <w:color w:val="auto"/>
        </w:rPr>
      </w:pPr>
    </w:p>
    <w:p>
      <w:pPr>
        <w:ind w:left="308" w:hanging="308"/>
        <w:spacing w:after="0"/>
        <w:tabs>
          <w:tab w:leader="none" w:pos="308"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Purpose; Eligibility</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8" w:right="820"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1.1 </w:t>
      </w:r>
      <w:r>
        <w:rPr>
          <w:rFonts w:ascii="Times New Roman" w:cs="Times New Roman" w:eastAsia="Times New Roman" w:hAnsi="Times New Roman"/>
          <w:sz w:val="18"/>
          <w:szCs w:val="18"/>
          <w:u w:val="single" w:color="auto"/>
          <w:color w:val="231F20"/>
        </w:rPr>
        <w:t>General Purpose</w:t>
      </w:r>
      <w:r>
        <w:rPr>
          <w:rFonts w:ascii="Times New Roman" w:cs="Times New Roman" w:eastAsia="Times New Roman" w:hAnsi="Times New Roman"/>
          <w:sz w:val="18"/>
          <w:szCs w:val="18"/>
          <w:color w:val="231F20"/>
        </w:rPr>
        <w:t>. The name of this plan is the XWELL, Inc. 2020 Equity Incentive Plan. The purposes of the Plan are to (a) enable XWELL, Inc., a Delaware corporation, and any Affiliate to attract and retain the types of Employees, Consultants and Directors who will contribute to the Company’s long range success; (b) provide incentives that align the interests of Employees, Consultants</w:t>
      </w: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231F20"/>
        </w:rPr>
        <w:t>and Directors with those of the stockholders of the Company; and (c) promote the success of the Company’s business.</w:t>
      </w:r>
    </w:p>
    <w:p>
      <w:pPr>
        <w:spacing w:after="0" w:line="207" w:lineRule="exact"/>
        <w:rPr>
          <w:sz w:val="20"/>
          <w:szCs w:val="20"/>
          <w:color w:val="auto"/>
        </w:rPr>
      </w:pPr>
    </w:p>
    <w:p>
      <w:pPr>
        <w:ind w:left="8" w:right="680"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1.2 </w:t>
      </w:r>
      <w:r>
        <w:rPr>
          <w:rFonts w:ascii="Times New Roman" w:cs="Times New Roman" w:eastAsia="Times New Roman" w:hAnsi="Times New Roman"/>
          <w:sz w:val="18"/>
          <w:szCs w:val="18"/>
          <w:u w:val="single" w:color="auto"/>
          <w:color w:val="231F20"/>
        </w:rPr>
        <w:t>Eligible Award Recipients</w:t>
      </w:r>
      <w:r>
        <w:rPr>
          <w:rFonts w:ascii="Times New Roman" w:cs="Times New Roman" w:eastAsia="Times New Roman" w:hAnsi="Times New Roman"/>
          <w:sz w:val="18"/>
          <w:szCs w:val="18"/>
          <w:color w:val="231F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76" w:lineRule="exact"/>
        <w:rPr>
          <w:sz w:val="20"/>
          <w:szCs w:val="20"/>
          <w:color w:val="auto"/>
        </w:rPr>
      </w:pPr>
    </w:p>
    <w:p>
      <w:pPr>
        <w:ind w:left="8" w:right="1380"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1.3 </w:t>
      </w:r>
      <w:r>
        <w:rPr>
          <w:rFonts w:ascii="Times New Roman" w:cs="Times New Roman" w:eastAsia="Times New Roman" w:hAnsi="Times New Roman"/>
          <w:sz w:val="18"/>
          <w:szCs w:val="18"/>
          <w:u w:val="single" w:color="auto"/>
          <w:color w:val="231F20"/>
        </w:rPr>
        <w:t>Available Awards</w:t>
      </w:r>
      <w:r>
        <w:rPr>
          <w:rFonts w:ascii="Times New Roman" w:cs="Times New Roman" w:eastAsia="Times New Roman" w:hAnsi="Times New Roman"/>
          <w:sz w:val="18"/>
          <w:szCs w:val="18"/>
          <w:color w:val="231F20"/>
        </w:rPr>
        <w:t>. Awards that may be granted under the Plan include: (a) Incentive Stock Options, (b) Non-Qualified Stock Options, (c) Stock Appreciation Rights, (d) Restricted Awards,</w:t>
      </w:r>
    </w:p>
    <w:p>
      <w:pPr>
        <w:ind w:left="248" w:hanging="243"/>
        <w:spacing w:after="0"/>
        <w:tabs>
          <w:tab w:leader="none" w:pos="248" w:val="left"/>
        </w:tabs>
        <w:numPr>
          <w:ilvl w:val="1"/>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Stock Awards, (f) Cash Awards, and (g) Other Equity-Based Awards.</w:t>
      </w:r>
    </w:p>
    <w:p>
      <w:pPr>
        <w:spacing w:after="0" w:line="206" w:lineRule="exact"/>
        <w:rPr>
          <w:rFonts w:ascii="Times New Roman" w:cs="Times New Roman" w:eastAsia="Times New Roman" w:hAnsi="Times New Roman"/>
          <w:sz w:val="18"/>
          <w:szCs w:val="18"/>
          <w:color w:val="231F20"/>
        </w:rPr>
      </w:pPr>
    </w:p>
    <w:p>
      <w:pPr>
        <w:ind w:left="308" w:hanging="308"/>
        <w:spacing w:after="0"/>
        <w:tabs>
          <w:tab w:leader="none" w:pos="308"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Definitions</w:t>
      </w:r>
      <w:r>
        <w:rPr>
          <w:rFonts w:ascii="Times New Roman" w:cs="Times New Roman" w:eastAsia="Times New Roman" w:hAnsi="Times New Roman"/>
          <w:sz w:val="18"/>
          <w:szCs w:val="18"/>
          <w:color w:val="231F20"/>
        </w:rPr>
        <w:t>.</w:t>
      </w:r>
    </w:p>
    <w:p>
      <w:pPr>
        <w:spacing w:after="0" w:line="221" w:lineRule="exact"/>
        <w:rPr>
          <w:sz w:val="20"/>
          <w:szCs w:val="20"/>
          <w:color w:val="auto"/>
        </w:rPr>
      </w:pPr>
    </w:p>
    <w:p>
      <w:pPr>
        <w:ind w:left="8" w:right="134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Affiliate</w:t>
      </w:r>
      <w:r>
        <w:rPr>
          <w:rFonts w:ascii="Times New Roman" w:cs="Times New Roman" w:eastAsia="Times New Roman" w:hAnsi="Times New Roman"/>
          <w:sz w:val="18"/>
          <w:szCs w:val="18"/>
          <w:color w:val="231F20"/>
        </w:rPr>
        <w:t>” means a corporation or other entity that, directly or through one or more intermediaries, controls, is controlled by or is under common control with, the Company.</w:t>
      </w:r>
    </w:p>
    <w:p>
      <w:pPr>
        <w:spacing w:after="0" w:line="155" w:lineRule="exact"/>
        <w:rPr>
          <w:sz w:val="20"/>
          <w:szCs w:val="20"/>
          <w:color w:val="auto"/>
        </w:rPr>
      </w:pPr>
    </w:p>
    <w:p>
      <w:pPr>
        <w:ind w:left="8" w:right="1020" w:firstLine="359"/>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Applicable Laws</w:t>
      </w:r>
      <w:r>
        <w:rPr>
          <w:rFonts w:ascii="Times New Roman" w:cs="Times New Roman" w:eastAsia="Times New Roman" w:hAnsi="Times New Roman"/>
          <w:sz w:val="18"/>
          <w:szCs w:val="18"/>
          <w:color w:val="231F20"/>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76" w:lineRule="exact"/>
        <w:rPr>
          <w:sz w:val="20"/>
          <w:szCs w:val="20"/>
          <w:color w:val="auto"/>
        </w:rPr>
      </w:pPr>
    </w:p>
    <w:p>
      <w:pPr>
        <w:ind w:left="8" w:right="620" w:firstLine="359"/>
        <w:spacing w:after="0" w:line="31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Award</w:t>
      </w:r>
      <w:r>
        <w:rPr>
          <w:rFonts w:ascii="Times New Roman" w:cs="Times New Roman" w:eastAsia="Times New Roman" w:hAnsi="Times New Roman"/>
          <w:sz w:val="17"/>
          <w:szCs w:val="17"/>
          <w:color w:val="231F20"/>
        </w:rPr>
        <w:t>” means any right granted under the Plan, including an Incentive Stock Option, a Non-Qualified Stock Option, a Stock Appreciation Right, a Restricted Award, a Performance Stock Award, a Cash Award, or an Other Equity-Based Award.</w:t>
      </w:r>
    </w:p>
    <w:p>
      <w:pPr>
        <w:spacing w:after="0" w:line="132" w:lineRule="exact"/>
        <w:rPr>
          <w:sz w:val="20"/>
          <w:szCs w:val="20"/>
          <w:color w:val="auto"/>
        </w:rPr>
      </w:pPr>
    </w:p>
    <w:p>
      <w:pPr>
        <w:ind w:left="8" w:right="840" w:firstLine="359"/>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Award Agreement</w:t>
      </w:r>
      <w:r>
        <w:rPr>
          <w:rFonts w:ascii="Times New Roman" w:cs="Times New Roman" w:eastAsia="Times New Roman" w:hAnsi="Times New Roman"/>
          <w:sz w:val="18"/>
          <w:szCs w:val="18"/>
          <w:color w:val="231F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6" w:lineRule="exact"/>
        <w:rPr>
          <w:sz w:val="20"/>
          <w:szCs w:val="20"/>
          <w:color w:val="auto"/>
        </w:rPr>
      </w:pPr>
    </w:p>
    <w:p>
      <w:pPr>
        <w:ind w:left="8" w:right="820" w:firstLine="359"/>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Beneficial Owner</w:t>
      </w:r>
      <w:r>
        <w:rPr>
          <w:rFonts w:ascii="Times New Roman" w:cs="Times New Roman" w:eastAsia="Times New Roman" w:hAnsi="Times New Roman"/>
          <w:sz w:val="18"/>
          <w:szCs w:val="18"/>
          <w:color w:val="231F20"/>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9"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means the Board of Directors of the Company, as constituted at any time.</w:t>
      </w:r>
    </w:p>
    <w:p>
      <w:pPr>
        <w:spacing w:after="0" w:line="22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b w:val="1"/>
          <w:bCs w:val="1"/>
          <w:color w:val="231F20"/>
        </w:rPr>
        <w:t xml:space="preserve">“Cash Award” </w:t>
      </w:r>
      <w:r>
        <w:rPr>
          <w:rFonts w:ascii="Times New Roman" w:cs="Times New Roman" w:eastAsia="Times New Roman" w:hAnsi="Times New Roman"/>
          <w:sz w:val="18"/>
          <w:szCs w:val="18"/>
          <w:color w:val="231F20"/>
        </w:rPr>
        <w:t>means an Award denominated in cash that is granted under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of the Plan.</w:t>
      </w:r>
    </w:p>
    <w:p>
      <w:pPr>
        <w:spacing w:after="0" w:line="225" w:lineRule="exact"/>
        <w:rPr>
          <w:sz w:val="20"/>
          <w:szCs w:val="20"/>
          <w:color w:val="auto"/>
        </w:rPr>
      </w:pPr>
    </w:p>
    <w:p>
      <w:pPr>
        <w:ind w:left="368" w:right="840"/>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Cause</w:t>
      </w:r>
      <w:r>
        <w:rPr>
          <w:rFonts w:ascii="Times New Roman" w:cs="Times New Roman" w:eastAsia="Times New Roman" w:hAnsi="Times New Roman"/>
          <w:sz w:val="18"/>
          <w:szCs w:val="18"/>
          <w:color w:val="231F20"/>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200" w:lineRule="exact"/>
        <w:rPr>
          <w:sz w:val="20"/>
          <w:szCs w:val="20"/>
          <w:color w:val="auto"/>
        </w:rPr>
      </w:pPr>
    </w:p>
    <w:p>
      <w:pPr>
        <w:spacing w:after="0" w:line="208"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8"/>
          </w:cols>
          <w:pgMar w:left="1232" w:top="603" w:right="979" w:bottom="1440" w:gutter="0" w:footer="0" w:header="0"/>
        </w:sectPr>
      </w:pPr>
    </w:p>
    <w:bookmarkStart w:id="11" w:name="page12"/>
    <w:bookmarkEnd w:id="11"/>
    <w:p>
      <w:pPr>
        <w:ind w:right="29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Change in Control</w:t>
      </w:r>
      <w:r>
        <w:rPr>
          <w:rFonts w:ascii="Times New Roman" w:cs="Times New Roman" w:eastAsia="Times New Roman" w:hAnsi="Times New Roman"/>
          <w:sz w:val="18"/>
          <w:szCs w:val="18"/>
          <w:color w:val="231F20"/>
        </w:rPr>
        <w:t>” with respect to any Participant shall have the meaning specified in the Participant’s Award Agreement. In the absence of any such definition, a “Change in Control” shall mean the occurrence of any of the following:</w:t>
      </w:r>
    </w:p>
    <w:p>
      <w:pPr>
        <w:spacing w:after="0" w:line="157" w:lineRule="exact"/>
        <w:rPr>
          <w:sz w:val="20"/>
          <w:szCs w:val="20"/>
          <w:color w:val="auto"/>
        </w:rPr>
      </w:pPr>
    </w:p>
    <w:p>
      <w:pPr>
        <w:ind w:left="700" w:right="299" w:hanging="357"/>
        <w:spacing w:after="0" w:line="257" w:lineRule="auto"/>
        <w:tabs>
          <w:tab w:leader="none" w:pos="7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Ownership</w:t>
      </w:r>
      <w:r>
        <w:rPr>
          <w:rFonts w:ascii="Times New Roman" w:cs="Times New Roman" w:eastAsia="Times New Roman" w:hAnsi="Times New Roman"/>
          <w:sz w:val="18"/>
          <w:szCs w:val="18"/>
          <w:color w:val="231F20"/>
        </w:rPr>
        <w:t>. Any “Person” (as such term is used in Sections 13(d) and 14(d) of the Exchange Act) becomes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09" w:lineRule="exact"/>
        <w:rPr>
          <w:rFonts w:ascii="Times New Roman" w:cs="Times New Roman" w:eastAsia="Times New Roman" w:hAnsi="Times New Roman"/>
          <w:sz w:val="18"/>
          <w:szCs w:val="18"/>
          <w:color w:val="231F20"/>
        </w:rPr>
      </w:pPr>
    </w:p>
    <w:p>
      <w:pPr>
        <w:ind w:left="700" w:right="399" w:hanging="357"/>
        <w:spacing w:after="0" w:line="255" w:lineRule="auto"/>
        <w:tabs>
          <w:tab w:leader="none" w:pos="7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Merger/Sale of Assets</w:t>
      </w:r>
      <w:r>
        <w:rPr>
          <w:rFonts w:ascii="Times New Roman" w:cs="Times New Roman" w:eastAsia="Times New Roman" w:hAnsi="Times New Roman"/>
          <w:sz w:val="18"/>
          <w:szCs w:val="18"/>
          <w:color w:val="231F20"/>
        </w:rPr>
        <w:t>. (A) A merger or consolidation of the Company whether or not approved by the Board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84" w:lineRule="exact"/>
        <w:rPr>
          <w:rFonts w:ascii="Times New Roman" w:cs="Times New Roman" w:eastAsia="Times New Roman" w:hAnsi="Times New Roman"/>
          <w:sz w:val="18"/>
          <w:szCs w:val="18"/>
          <w:color w:val="231F20"/>
        </w:rPr>
      </w:pPr>
    </w:p>
    <w:p>
      <w:pPr>
        <w:ind w:left="700" w:right="179" w:hanging="357"/>
        <w:spacing w:after="0" w:line="256" w:lineRule="auto"/>
        <w:tabs>
          <w:tab w:leader="none" w:pos="7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Change in Board Composition</w:t>
      </w:r>
      <w:r>
        <w:rPr>
          <w:rFonts w:ascii="Times New Roman" w:cs="Times New Roman" w:eastAsia="Times New Roman" w:hAnsi="Times New Roman"/>
          <w:sz w:val="18"/>
          <w:szCs w:val="18"/>
          <w:color w:val="231F20"/>
        </w:rPr>
        <w:t>. A change in the composition of the Board of Directors, as a result of which fewer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12" w:lineRule="exact"/>
        <w:rPr>
          <w:sz w:val="20"/>
          <w:szCs w:val="20"/>
          <w:color w:val="auto"/>
        </w:rPr>
      </w:pPr>
    </w:p>
    <w:p>
      <w:pPr>
        <w:jc w:val="both"/>
        <w:ind w:right="219"/>
        <w:spacing w:after="0" w:line="272" w:lineRule="auto"/>
        <w:rPr>
          <w:sz w:val="20"/>
          <w:szCs w:val="20"/>
          <w:color w:val="auto"/>
        </w:rPr>
      </w:pPr>
      <w:r>
        <w:rPr>
          <w:rFonts w:ascii="Times New Roman" w:cs="Times New Roman" w:eastAsia="Times New Roman" w:hAnsi="Times New Roman"/>
          <w:sz w:val="17"/>
          <w:szCs w:val="17"/>
          <w:color w:val="231F20"/>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w:t>
      </w:r>
    </w:p>
    <w:p>
      <w:pPr>
        <w:spacing w:after="0" w:line="2" w:lineRule="exact"/>
        <w:rPr>
          <w:sz w:val="20"/>
          <w:szCs w:val="20"/>
          <w:color w:val="auto"/>
        </w:rPr>
      </w:pPr>
    </w:p>
    <w:p>
      <w:pPr>
        <w:jc w:val="both"/>
        <w:ind w:right="499"/>
        <w:spacing w:after="0" w:line="255" w:lineRule="auto"/>
        <w:rPr>
          <w:sz w:val="20"/>
          <w:szCs w:val="20"/>
          <w:color w:val="auto"/>
        </w:rPr>
      </w:pPr>
      <w:r>
        <w:rPr>
          <w:rFonts w:ascii="Times New Roman" w:cs="Times New Roman" w:eastAsia="Times New Roman" w:hAnsi="Times New Roman"/>
          <w:sz w:val="18"/>
          <w:szCs w:val="18"/>
          <w:color w:val="231F20"/>
        </w:rPr>
        <w:t>(without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82" w:lineRule="exact"/>
        <w:rPr>
          <w:sz w:val="20"/>
          <w:szCs w:val="20"/>
          <w:color w:val="auto"/>
        </w:rPr>
      </w:pPr>
    </w:p>
    <w:p>
      <w:pPr>
        <w:ind w:right="85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means the Internal Revenue Code of 1986, as it may be amended from time to time. Any reference to a section of the Code shall be deemed to include a reference to any regulations promulgated thereunder.</w:t>
      </w:r>
    </w:p>
    <w:p>
      <w:pPr>
        <w:spacing w:after="0" w:line="155" w:lineRule="exact"/>
        <w:rPr>
          <w:sz w:val="20"/>
          <w:szCs w:val="20"/>
          <w:color w:val="auto"/>
        </w:rPr>
      </w:pPr>
    </w:p>
    <w:p>
      <w:pPr>
        <w:ind w:right="379"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Committee</w:t>
      </w:r>
      <w:r>
        <w:rPr>
          <w:rFonts w:ascii="Times New Roman" w:cs="Times New Roman" w:eastAsia="Times New Roman" w:hAnsi="Times New Roman"/>
          <w:sz w:val="18"/>
          <w:szCs w:val="18"/>
          <w:color w:val="231F20"/>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231F20"/>
        </w:rPr>
        <w:t>Section 3.3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u w:val="single" w:color="auto"/>
          <w:color w:val="231F20"/>
        </w:rPr>
        <w:t>Section 3.4</w:t>
      </w:r>
      <w:r>
        <w:rPr>
          <w:rFonts w:ascii="Times New Roman" w:cs="Times New Roman" w:eastAsia="Times New Roman" w:hAnsi="Times New Roman"/>
          <w:sz w:val="18"/>
          <w:szCs w:val="18"/>
          <w:color w:val="231F20"/>
        </w:rPr>
        <w:t>, or any Officers of the Company to whom it has delegated authority as permitted under Section 3.3.</w:t>
      </w:r>
    </w:p>
    <w:p>
      <w:pPr>
        <w:spacing w:after="0" w:line="171" w:lineRule="exact"/>
        <w:rPr>
          <w:sz w:val="20"/>
          <w:szCs w:val="20"/>
          <w:color w:val="auto"/>
        </w:rPr>
      </w:pPr>
    </w:p>
    <w:p>
      <w:pPr>
        <w:ind w:right="43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Common Stock</w:t>
      </w:r>
      <w:r>
        <w:rPr>
          <w:rFonts w:ascii="Times New Roman" w:cs="Times New Roman" w:eastAsia="Times New Roman" w:hAnsi="Times New Roman"/>
          <w:sz w:val="18"/>
          <w:szCs w:val="18"/>
          <w:color w:val="231F20"/>
        </w:rPr>
        <w:t>” means shares of the Company’s common stock, $0.01 par value per share, or such other securities of the Company as may be designated by the Committee from time to time in substitution thereof.</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means XWELL, Inc., and any successor thereto.</w:t>
      </w:r>
    </w:p>
    <w:p>
      <w:pPr>
        <w:spacing w:after="0" w:line="225" w:lineRule="exact"/>
        <w:rPr>
          <w:sz w:val="20"/>
          <w:szCs w:val="20"/>
          <w:color w:val="auto"/>
        </w:rPr>
      </w:pPr>
    </w:p>
    <w:p>
      <w:pPr>
        <w:ind w:right="219"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Consultant</w:t>
      </w:r>
      <w:r>
        <w:rPr>
          <w:rFonts w:ascii="Times New Roman" w:cs="Times New Roman" w:eastAsia="Times New Roman" w:hAnsi="Times New Roman"/>
          <w:sz w:val="18"/>
          <w:szCs w:val="18"/>
          <w:color w:val="231F20"/>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pacing w:after="0" w:line="3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19"/>
          </w:cols>
          <w:pgMar w:left="1240" w:top="900" w:right="1440" w:bottom="1440" w:gutter="0" w:footer="0" w:header="0"/>
        </w:sectPr>
      </w:pPr>
    </w:p>
    <w:bookmarkStart w:id="12" w:name="page13"/>
    <w:bookmarkEnd w:id="12"/>
    <w:p>
      <w:pPr>
        <w:ind w:right="139" w:firstLine="359"/>
        <w:spacing w:after="0" w:line="25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Continuous Service</w:t>
      </w:r>
      <w:r>
        <w:rPr>
          <w:rFonts w:ascii="Times New Roman" w:cs="Times New Roman" w:eastAsia="Times New Roman" w:hAnsi="Times New Roman"/>
          <w:sz w:val="18"/>
          <w:szCs w:val="18"/>
          <w:color w:val="231F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there is no interruption or termination of the Participant’s Continuous Service; </w:t>
      </w:r>
      <w:r>
        <w:rPr>
          <w:rFonts w:ascii="Times New Roman" w:cs="Times New Roman" w:eastAsia="Times New Roman" w:hAnsi="Times New Roman"/>
          <w:sz w:val="18"/>
          <w:szCs w:val="18"/>
          <w:i w:val="1"/>
          <w:iCs w:val="1"/>
          <w:color w:val="231F20"/>
        </w:rPr>
        <w:t>provided further that</w:t>
      </w:r>
      <w:r>
        <w:rPr>
          <w:rFonts w:ascii="Times New Roman" w:cs="Times New Roman" w:eastAsia="Times New Roman" w:hAnsi="Times New Roman"/>
          <w:sz w:val="18"/>
          <w:szCs w:val="18"/>
          <w:color w:val="231F20"/>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87" w:lineRule="exact"/>
        <w:rPr>
          <w:sz w:val="20"/>
          <w:szCs w:val="20"/>
          <w:color w:val="auto"/>
        </w:rPr>
      </w:pPr>
    </w:p>
    <w:p>
      <w:pPr>
        <w:ind w:left="360" w:right="279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Deferred Stock Units</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w:t>
      </w:r>
      <w:r>
        <w:rPr>
          <w:rFonts w:ascii="Times New Roman" w:cs="Times New Roman" w:eastAsia="Times New Roman" w:hAnsi="Times New Roman"/>
          <w:sz w:val="18"/>
          <w:szCs w:val="18"/>
          <w:color w:val="231F20"/>
        </w:rPr>
        <w:t xml:space="preserve"> hereof. “</w:t>
      </w:r>
      <w:r>
        <w:rPr>
          <w:rFonts w:ascii="Times New Roman" w:cs="Times New Roman" w:eastAsia="Times New Roman" w:hAnsi="Times New Roman"/>
          <w:sz w:val="18"/>
          <w:szCs w:val="18"/>
          <w:b w:val="1"/>
          <w:bCs w:val="1"/>
          <w:color w:val="231F20"/>
        </w:rPr>
        <w:t>Director</w:t>
      </w:r>
      <w:r>
        <w:rPr>
          <w:rFonts w:ascii="Times New Roman" w:cs="Times New Roman" w:eastAsia="Times New Roman" w:hAnsi="Times New Roman"/>
          <w:sz w:val="18"/>
          <w:szCs w:val="18"/>
          <w:color w:val="231F20"/>
        </w:rPr>
        <w:t>” means a member of the Board.</w:t>
      </w:r>
    </w:p>
    <w:p>
      <w:pPr>
        <w:spacing w:after="0" w:line="155" w:lineRule="exact"/>
        <w:rPr>
          <w:sz w:val="20"/>
          <w:szCs w:val="20"/>
          <w:color w:val="auto"/>
        </w:rPr>
      </w:pPr>
    </w:p>
    <w:p>
      <w:pPr>
        <w:ind w:right="97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Disability</w:t>
      </w:r>
      <w:r>
        <w:rPr>
          <w:rFonts w:ascii="Times New Roman" w:cs="Times New Roman" w:eastAsia="Times New Roman" w:hAnsi="Times New Roman"/>
          <w:sz w:val="18"/>
          <w:szCs w:val="18"/>
          <w:color w:val="231F20"/>
        </w:rPr>
        <w:t>” means, unless the applicable Award Agreement says otherwise, permanent and total disability as defined in Section 22(e)(3) of the Code.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14.12</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Effective Date</w:t>
      </w:r>
      <w:r>
        <w:rPr>
          <w:rFonts w:ascii="Times New Roman" w:cs="Times New Roman" w:eastAsia="Times New Roman" w:hAnsi="Times New Roman"/>
          <w:sz w:val="18"/>
          <w:szCs w:val="18"/>
          <w:color w:val="231F20"/>
        </w:rPr>
        <w:t>” shall mean the date as of which this Plan is adopted by the Board.</w:t>
      </w:r>
    </w:p>
    <w:p>
      <w:pPr>
        <w:spacing w:after="0" w:line="225" w:lineRule="exact"/>
        <w:rPr>
          <w:sz w:val="20"/>
          <w:szCs w:val="20"/>
          <w:color w:val="auto"/>
        </w:rPr>
      </w:pPr>
    </w:p>
    <w:p>
      <w:pPr>
        <w:ind w:right="79" w:firstLine="359"/>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Employee</w:t>
      </w:r>
      <w:r>
        <w:rPr>
          <w:rFonts w:ascii="Times New Roman" w:cs="Times New Roman" w:eastAsia="Times New Roman" w:hAnsi="Times New Roman"/>
          <w:sz w:val="18"/>
          <w:szCs w:val="18"/>
          <w:color w:val="231F20"/>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Exchange Act</w:t>
      </w:r>
      <w:r>
        <w:rPr>
          <w:rFonts w:ascii="Times New Roman" w:cs="Times New Roman" w:eastAsia="Times New Roman" w:hAnsi="Times New Roman"/>
          <w:sz w:val="18"/>
          <w:szCs w:val="18"/>
          <w:color w:val="231F20"/>
        </w:rPr>
        <w:t>” means the Securities Exchange Act of 1934, as amended.</w:t>
      </w:r>
    </w:p>
    <w:p>
      <w:pPr>
        <w:spacing w:after="0" w:line="225" w:lineRule="exact"/>
        <w:rPr>
          <w:sz w:val="20"/>
          <w:szCs w:val="20"/>
          <w:color w:val="auto"/>
        </w:rPr>
      </w:pPr>
    </w:p>
    <w:p>
      <w:pPr>
        <w:ind w:right="159" w:firstLine="359"/>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Fair Market Value</w:t>
      </w:r>
      <w:r>
        <w:rPr>
          <w:rFonts w:ascii="Times New Roman" w:cs="Times New Roman" w:eastAsia="Times New Roman" w:hAnsi="Times New Roman"/>
          <w:sz w:val="18"/>
          <w:szCs w:val="18"/>
          <w:color w:val="231F20"/>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231F20"/>
        </w:rPr>
        <w:t>Wall Street Journal</w:t>
      </w:r>
      <w:r>
        <w:rPr>
          <w:rFonts w:ascii="Times New Roman" w:cs="Times New Roman" w:eastAsia="Times New Roman" w:hAnsi="Times New Roman"/>
          <w:sz w:val="18"/>
          <w:szCs w:val="18"/>
          <w:color w:val="231F20"/>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“Fiscal Year” </w:t>
      </w:r>
      <w:r>
        <w:rPr>
          <w:rFonts w:ascii="Times New Roman" w:cs="Times New Roman" w:eastAsia="Times New Roman" w:hAnsi="Times New Roman"/>
          <w:sz w:val="18"/>
          <w:szCs w:val="18"/>
          <w:color w:val="231F20"/>
        </w:rPr>
        <w:t>means the Company’s fiscal year.</w:t>
      </w:r>
    </w:p>
    <w:p>
      <w:pPr>
        <w:spacing w:after="0" w:line="225" w:lineRule="exact"/>
        <w:rPr>
          <w:sz w:val="20"/>
          <w:szCs w:val="20"/>
          <w:color w:val="auto"/>
        </w:rPr>
      </w:pPr>
    </w:p>
    <w:p>
      <w:pPr>
        <w:ind w:right="299"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Grant Date</w:t>
      </w:r>
      <w:r>
        <w:rPr>
          <w:rFonts w:ascii="Times New Roman" w:cs="Times New Roman" w:eastAsia="Times New Roman" w:hAnsi="Times New Roman"/>
          <w:sz w:val="18"/>
          <w:szCs w:val="18"/>
          <w:color w:val="231F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1" w:lineRule="exact"/>
        <w:rPr>
          <w:sz w:val="20"/>
          <w:szCs w:val="20"/>
          <w:color w:val="auto"/>
        </w:rPr>
      </w:pPr>
    </w:p>
    <w:p>
      <w:pPr>
        <w:ind w:right="21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Incentive Stock Option</w:t>
      </w:r>
      <w:r>
        <w:rPr>
          <w:rFonts w:ascii="Times New Roman" w:cs="Times New Roman" w:eastAsia="Times New Roman" w:hAnsi="Times New Roman"/>
          <w:sz w:val="18"/>
          <w:szCs w:val="18"/>
          <w:color w:val="231F20"/>
        </w:rPr>
        <w:t>” means an Option that is designated by the Committee as an incentive stock option within the meaning of Section 422 of the Code and that meets the requirements set out in the Plan.</w:t>
      </w:r>
    </w:p>
    <w:p>
      <w:pPr>
        <w:spacing w:after="0" w:line="155" w:lineRule="exact"/>
        <w:rPr>
          <w:sz w:val="20"/>
          <w:szCs w:val="20"/>
          <w:color w:val="auto"/>
        </w:rPr>
      </w:pPr>
    </w:p>
    <w:p>
      <w:pPr>
        <w:ind w:right="639"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Non-Employee Director</w:t>
      </w:r>
      <w:r>
        <w:rPr>
          <w:rFonts w:ascii="Times New Roman" w:cs="Times New Roman" w:eastAsia="Times New Roman" w:hAnsi="Times New Roman"/>
          <w:sz w:val="18"/>
          <w:szCs w:val="18"/>
          <w:color w:val="231F20"/>
        </w:rPr>
        <w:t>” means a Director who is a “non-employee director” within the meaning of Rule 16b-3 and an “independent director” as defined in the Marketplace Rules of The NASDAQ Stock Market LLC.</w:t>
      </w:r>
    </w:p>
    <w:p>
      <w:pPr>
        <w:spacing w:after="0" w:line="3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19"/>
          </w:cols>
          <w:pgMar w:left="1240" w:top="900" w:right="1440" w:bottom="1440" w:gutter="0" w:footer="0" w:header="0"/>
        </w:sectPr>
      </w:pPr>
    </w:p>
    <w:bookmarkStart w:id="13" w:name="page14"/>
    <w:bookmarkEnd w:id="13"/>
    <w:p>
      <w:pPr>
        <w:ind w:right="50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Non-Qualified Stock Option</w:t>
      </w:r>
      <w:r>
        <w:rPr>
          <w:rFonts w:ascii="Times New Roman" w:cs="Times New Roman" w:eastAsia="Times New Roman" w:hAnsi="Times New Roman"/>
          <w:sz w:val="18"/>
          <w:szCs w:val="18"/>
          <w:color w:val="231F20"/>
        </w:rPr>
        <w:t>” means an Option that by its terms does not qualify or is not intended to qualify as an Incentive Stock Option.</w:t>
      </w:r>
    </w:p>
    <w:p>
      <w:pPr>
        <w:spacing w:after="0" w:line="155" w:lineRule="exact"/>
        <w:rPr>
          <w:sz w:val="20"/>
          <w:szCs w:val="20"/>
          <w:color w:val="auto"/>
        </w:rPr>
      </w:pPr>
    </w:p>
    <w:p>
      <w:pPr>
        <w:ind w:right="66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Officer</w:t>
      </w:r>
      <w:r>
        <w:rPr>
          <w:rFonts w:ascii="Times New Roman" w:cs="Times New Roman" w:eastAsia="Times New Roman" w:hAnsi="Times New Roman"/>
          <w:sz w:val="18"/>
          <w:szCs w:val="18"/>
          <w:color w:val="231F20"/>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w:t>
      </w:r>
      <w:r>
        <w:rPr>
          <w:rFonts w:ascii="Times New Roman" w:cs="Times New Roman" w:eastAsia="Times New Roman" w:hAnsi="Times New Roman"/>
          <w:sz w:val="18"/>
          <w:szCs w:val="18"/>
          <w:color w:val="231F20"/>
        </w:rPr>
        <w:t>” means an Incentive Stock Option or a Non-Qualified Stock Option granted pursuant to the Plan.</w:t>
      </w:r>
    </w:p>
    <w:p>
      <w:pPr>
        <w:spacing w:after="0" w:line="225" w:lineRule="exact"/>
        <w:rPr>
          <w:sz w:val="20"/>
          <w:szCs w:val="20"/>
          <w:color w:val="auto"/>
        </w:rPr>
      </w:pPr>
    </w:p>
    <w:p>
      <w:pPr>
        <w:ind w:right="9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Optionholder</w:t>
      </w:r>
      <w:r>
        <w:rPr>
          <w:rFonts w:ascii="Times New Roman" w:cs="Times New Roman" w:eastAsia="Times New Roman" w:hAnsi="Times New Roman"/>
          <w:sz w:val="18"/>
          <w:szCs w:val="18"/>
          <w:color w:val="231F20"/>
        </w:rPr>
        <w:t>” means a person to whom an Option is granted pursuant to the Plan or, if applicable, such other person who holds an outstanding Option.</w:t>
      </w:r>
    </w:p>
    <w:p>
      <w:pPr>
        <w:spacing w:after="0" w:line="155" w:lineRule="exact"/>
        <w:rPr>
          <w:sz w:val="20"/>
          <w:szCs w:val="20"/>
          <w:color w:val="auto"/>
        </w:rPr>
      </w:pPr>
    </w:p>
    <w:p>
      <w:pPr>
        <w:ind w:right="5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 Exercise Price</w:t>
      </w:r>
      <w:r>
        <w:rPr>
          <w:rFonts w:ascii="Times New Roman" w:cs="Times New Roman" w:eastAsia="Times New Roman" w:hAnsi="Times New Roman"/>
          <w:sz w:val="18"/>
          <w:szCs w:val="18"/>
          <w:color w:val="231F20"/>
        </w:rPr>
        <w:t>” means the price at which a share of Common Stock may be purchased upon the exercise of an Option.</w:t>
      </w:r>
    </w:p>
    <w:p>
      <w:pPr>
        <w:spacing w:after="0" w:line="155" w:lineRule="exact"/>
        <w:rPr>
          <w:sz w:val="20"/>
          <w:szCs w:val="20"/>
          <w:color w:val="auto"/>
        </w:rPr>
      </w:pPr>
    </w:p>
    <w:p>
      <w:pPr>
        <w:ind w:right="360" w:firstLine="35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“Other Equity-Based Award” </w:t>
      </w:r>
      <w:r>
        <w:rPr>
          <w:rFonts w:ascii="Times New Roman" w:cs="Times New Roman" w:eastAsia="Times New Roman" w:hAnsi="Times New Roman"/>
          <w:sz w:val="18"/>
          <w:szCs w:val="18"/>
          <w:color w:val="231F20"/>
        </w:rPr>
        <w:t>means an Award that is not an Option, Stock Appreciation Right, Restricted Stock,</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Restricted Stock Unit, or Performance Stock Award that is granted under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color w:val="231F20"/>
        </w:rPr>
        <w:t xml:space="preserve"> and is payable by delivery of Common Stock and/or which is measured by reference to the value of Common Stock.</w:t>
      </w:r>
    </w:p>
    <w:p>
      <w:pPr>
        <w:spacing w:after="0" w:line="171" w:lineRule="exact"/>
        <w:rPr>
          <w:sz w:val="20"/>
          <w:szCs w:val="20"/>
          <w:color w:val="auto"/>
        </w:rPr>
      </w:pPr>
    </w:p>
    <w:p>
      <w:pPr>
        <w:ind w:right="86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Participant</w:t>
      </w:r>
      <w:r>
        <w:rPr>
          <w:rFonts w:ascii="Times New Roman" w:cs="Times New Roman" w:eastAsia="Times New Roman" w:hAnsi="Times New Roman"/>
          <w:sz w:val="18"/>
          <w:szCs w:val="18"/>
          <w:color w:val="231F20"/>
        </w:rPr>
        <w:t>” means an eligible person to whom an Award is granted pursuant to the Plan or, if applicable, such other person who holds an outstanding Award.</w:t>
      </w:r>
    </w:p>
    <w:p>
      <w:pPr>
        <w:spacing w:after="0" w:line="155" w:lineRule="exact"/>
        <w:rPr>
          <w:sz w:val="20"/>
          <w:szCs w:val="20"/>
          <w:color w:val="auto"/>
        </w:rPr>
      </w:pPr>
    </w:p>
    <w:p>
      <w:pPr>
        <w:jc w:val="both"/>
        <w:ind w:right="820"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Goals</w:t>
      </w:r>
      <w:r>
        <w:rPr>
          <w:rFonts w:ascii="Times New Roman" w:cs="Times New Roman" w:eastAsia="Times New Roman" w:hAnsi="Times New Roman"/>
          <w:sz w:val="18"/>
          <w:szCs w:val="18"/>
          <w:color w:val="231F20"/>
        </w:rPr>
        <w:t>” means, for a Performance Period, the one or more goals established by the Committee for the Performance Period based upon business criteria or other performance measures determined by the Committee in its discretion.</w:t>
      </w:r>
    </w:p>
    <w:p>
      <w:pPr>
        <w:spacing w:after="0" w:line="171" w:lineRule="exact"/>
        <w:rPr>
          <w:sz w:val="20"/>
          <w:szCs w:val="20"/>
          <w:color w:val="auto"/>
        </w:rPr>
      </w:pPr>
    </w:p>
    <w:p>
      <w:pPr>
        <w:ind w:right="300"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Period</w:t>
      </w:r>
      <w:r>
        <w:rPr>
          <w:rFonts w:ascii="Times New Roman" w:cs="Times New Roman" w:eastAsia="Times New Roman" w:hAnsi="Times New Roman"/>
          <w:sz w:val="18"/>
          <w:szCs w:val="18"/>
          <w:color w:val="231F20"/>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71" w:lineRule="exact"/>
        <w:rPr>
          <w:sz w:val="20"/>
          <w:szCs w:val="20"/>
          <w:color w:val="auto"/>
        </w:rPr>
      </w:pPr>
    </w:p>
    <w:p>
      <w:pPr>
        <w:ind w:left="360" w:right="900"/>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Stock Award</w:t>
      </w:r>
      <w:r>
        <w:rPr>
          <w:rFonts w:ascii="Times New Roman" w:cs="Times New Roman" w:eastAsia="Times New Roman" w:hAnsi="Times New Roman"/>
          <w:sz w:val="18"/>
          <w:szCs w:val="18"/>
          <w:color w:val="231F20"/>
        </w:rPr>
        <w:t xml:space="preserve">” means any Award granted pursuant to </w:t>
      </w:r>
      <w:r>
        <w:rPr>
          <w:rFonts w:ascii="Times New Roman" w:cs="Times New Roman" w:eastAsia="Times New Roman" w:hAnsi="Times New Roman"/>
          <w:sz w:val="18"/>
          <w:szCs w:val="18"/>
          <w:u w:val="single" w:color="auto"/>
          <w:color w:val="231F20"/>
        </w:rPr>
        <w:t>Section 7.3</w:t>
      </w:r>
      <w:r>
        <w:rPr>
          <w:rFonts w:ascii="Times New Roman" w:cs="Times New Roman" w:eastAsia="Times New Roman" w:hAnsi="Times New Roman"/>
          <w:sz w:val="18"/>
          <w:szCs w:val="18"/>
          <w:color w:val="231F20"/>
        </w:rPr>
        <w:t xml:space="preserve"> hereof. “</w:t>
      </w:r>
      <w:r>
        <w:rPr>
          <w:rFonts w:ascii="Times New Roman" w:cs="Times New Roman" w:eastAsia="Times New Roman" w:hAnsi="Times New Roman"/>
          <w:sz w:val="18"/>
          <w:szCs w:val="18"/>
          <w:b w:val="1"/>
          <w:bCs w:val="1"/>
          <w:color w:val="231F20"/>
        </w:rPr>
        <w:t>Performance Stock</w:t>
      </w:r>
      <w:r>
        <w:rPr>
          <w:rFonts w:ascii="Times New Roman" w:cs="Times New Roman" w:eastAsia="Times New Roman" w:hAnsi="Times New Roman"/>
          <w:sz w:val="18"/>
          <w:szCs w:val="18"/>
          <w:color w:val="231F20"/>
        </w:rPr>
        <w:t>” means the grant of a right to receive a number of actual shares of Common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Stock or stock units based upon the performance of the Company during a Performance Period, as determined by the Committee.</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“Person” </w:t>
      </w:r>
      <w:r>
        <w:rPr>
          <w:rFonts w:ascii="Times New Roman" w:cs="Times New Roman" w:eastAsia="Times New Roman" w:hAnsi="Times New Roman"/>
          <w:sz w:val="18"/>
          <w:szCs w:val="18"/>
          <w:color w:val="231F20"/>
        </w:rPr>
        <w:t>means a person as defined in Section 13(d)(3) of the Exchange Act.</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Plan</w:t>
      </w:r>
      <w:r>
        <w:rPr>
          <w:rFonts w:ascii="Times New Roman" w:cs="Times New Roman" w:eastAsia="Times New Roman" w:hAnsi="Times New Roman"/>
          <w:sz w:val="18"/>
          <w:szCs w:val="18"/>
          <w:color w:val="231F20"/>
        </w:rPr>
        <w:t>” means this XWELL, Inc. 2020 Equity Incentive Plan, as amended and/or amended and restated from time to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Prior Plan</w:t>
      </w:r>
      <w:r>
        <w:rPr>
          <w:rFonts w:ascii="Times New Roman" w:cs="Times New Roman" w:eastAsia="Times New Roman" w:hAnsi="Times New Roman"/>
          <w:sz w:val="18"/>
          <w:szCs w:val="18"/>
          <w:color w:val="231F20"/>
        </w:rPr>
        <w:t>” means the Vringo, Inc. 2012 Employee, Director and Consultant Equity Incentive Plan, as amended.</w:t>
      </w:r>
    </w:p>
    <w:p>
      <w:pPr>
        <w:spacing w:after="0" w:line="225" w:lineRule="exact"/>
        <w:rPr>
          <w:sz w:val="20"/>
          <w:szCs w:val="20"/>
          <w:color w:val="auto"/>
        </w:rPr>
      </w:pPr>
    </w:p>
    <w:p>
      <w:pPr>
        <w:ind w:left="360" w:right="2520"/>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Restricted Award</w:t>
      </w:r>
      <w:r>
        <w:rPr>
          <w:rFonts w:ascii="Times New Roman" w:cs="Times New Roman" w:eastAsia="Times New Roman" w:hAnsi="Times New Roman"/>
          <w:sz w:val="18"/>
          <w:szCs w:val="18"/>
          <w:color w:val="231F20"/>
        </w:rPr>
        <w:t xml:space="preserve">” means any Award granted pursuant to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Restricted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Period</w:t>
      </w:r>
      <w:r>
        <w:rPr>
          <w:rFonts w:ascii="Times New Roman" w:cs="Times New Roman" w:eastAsia="Times New Roman" w:hAnsi="Times New Roman"/>
          <w:sz w:val="18"/>
          <w:szCs w:val="18"/>
          <w:color w:val="231F20"/>
        </w:rPr>
        <w:t>” 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Restricted Stock</w:t>
      </w:r>
      <w:r>
        <w:rPr>
          <w:rFonts w:ascii="Times New Roman" w:cs="Times New Roman" w:eastAsia="Times New Roman" w:hAnsi="Times New Roman"/>
          <w:sz w:val="18"/>
          <w:szCs w:val="18"/>
          <w:color w:val="231F20"/>
        </w:rPr>
        <w:t>” has the meaning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set forth in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Restricted Stock Units</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7.2(a)</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ind w:right="3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Rule 16b-3</w:t>
      </w:r>
      <w:r>
        <w:rPr>
          <w:rFonts w:ascii="Times New Roman" w:cs="Times New Roman" w:eastAsia="Times New Roman" w:hAnsi="Times New Roman"/>
          <w:sz w:val="18"/>
          <w:szCs w:val="18"/>
          <w:color w:val="231F20"/>
        </w:rPr>
        <w:t>” means Rule 16b-3 promulgated under the Exchange Act or any successor to Rule 16b-3, as in effect from time to time.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Securities Act</w:t>
      </w:r>
      <w:r>
        <w:rPr>
          <w:rFonts w:ascii="Times New Roman" w:cs="Times New Roman" w:eastAsia="Times New Roman" w:hAnsi="Times New Roman"/>
          <w:sz w:val="18"/>
          <w:szCs w:val="18"/>
          <w:color w:val="231F20"/>
        </w:rPr>
        <w:t>” means the Securities Act of 1933, as amended.</w:t>
      </w:r>
    </w:p>
    <w:p>
      <w:pPr>
        <w:spacing w:after="0" w:line="225" w:lineRule="exact"/>
        <w:rPr>
          <w:sz w:val="20"/>
          <w:szCs w:val="20"/>
          <w:color w:val="auto"/>
        </w:rPr>
      </w:pPr>
    </w:p>
    <w:p>
      <w:pPr>
        <w:ind w:right="320" w:firstLine="359"/>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Appreciation Right</w:t>
      </w:r>
      <w:r>
        <w:rPr>
          <w:rFonts w:ascii="Times New Roman" w:cs="Times New Roman" w:eastAsia="Times New Roman" w:hAnsi="Times New Roman"/>
          <w:sz w:val="18"/>
          <w:szCs w:val="18"/>
          <w:color w:val="231F20"/>
        </w:rPr>
        <w:t xml:space="preserve">” means the right pursuant to an Award granted under </w:t>
      </w:r>
      <w:r>
        <w:rPr>
          <w:rFonts w:ascii="Times New Roman" w:cs="Times New Roman" w:eastAsia="Times New Roman" w:hAnsi="Times New Roman"/>
          <w:sz w:val="18"/>
          <w:szCs w:val="18"/>
          <w:u w:val="single" w:color="auto"/>
          <w:color w:val="231F20"/>
        </w:rPr>
        <w:t>Section 7.1</w:t>
      </w:r>
      <w:r>
        <w:rPr>
          <w:rFonts w:ascii="Times New Roman" w:cs="Times New Roman" w:eastAsia="Times New Roman" w:hAnsi="Times New Roman"/>
          <w:sz w:val="18"/>
          <w:szCs w:val="18"/>
          <w:color w:val="231F20"/>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00"/>
          </w:cols>
          <w:pgMar w:left="1240" w:top="900" w:right="1359" w:bottom="1440" w:gutter="0" w:footer="0" w:header="0"/>
        </w:sectPr>
      </w:pPr>
    </w:p>
    <w:bookmarkStart w:id="14" w:name="page15"/>
    <w:bookmarkEnd w:id="14"/>
    <w:p>
      <w:pPr>
        <w:ind w:left="368"/>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for Stock Exchange</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6.4</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b w:val="1"/>
          <w:bCs w:val="1"/>
          <w:color w:val="231F20"/>
        </w:rPr>
        <w:t xml:space="preserve">“Substitute Award” </w:t>
      </w:r>
      <w:r>
        <w:rPr>
          <w:rFonts w:ascii="Times New Roman" w:cs="Times New Roman" w:eastAsia="Times New Roman" w:hAnsi="Times New Roman"/>
          <w:sz w:val="18"/>
          <w:szCs w:val="18"/>
          <w:color w:val="231F20"/>
        </w:rPr>
        <w:t>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4.7</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8" w:right="279"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Ten Percent Stockholder</w:t>
      </w:r>
      <w:r>
        <w:rPr>
          <w:rFonts w:ascii="Times New Roman" w:cs="Times New Roman" w:eastAsia="Times New Roman" w:hAnsi="Times New Roman"/>
          <w:sz w:val="18"/>
          <w:szCs w:val="18"/>
          <w:color w:val="231F20"/>
        </w:rPr>
        <w:t>” means a person who owns (or is deemed to own pursuant to Section 424(d) of the Code) shares possessing more than 10% of the total combined voting power of all classes of shares of the Company or of any of its Affiliates.</w:t>
      </w:r>
    </w:p>
    <w:p>
      <w:pPr>
        <w:spacing w:after="0" w:line="17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4.1</w:t>
      </w:r>
      <w:r>
        <w:rPr>
          <w:rFonts w:ascii="Times New Roman" w:cs="Times New Roman" w:eastAsia="Times New Roman" w:hAnsi="Times New Roman"/>
          <w:sz w:val="18"/>
          <w:szCs w:val="18"/>
          <w:color w:val="231F20"/>
        </w:rPr>
        <w:t>.</w:t>
      </w:r>
    </w:p>
    <w:p>
      <w:pPr>
        <w:spacing w:after="0" w:line="229" w:lineRule="exact"/>
        <w:rPr>
          <w:sz w:val="20"/>
          <w:szCs w:val="20"/>
          <w:color w:val="auto"/>
        </w:rPr>
      </w:pPr>
    </w:p>
    <w:p>
      <w:pPr>
        <w:ind w:left="308" w:hanging="308"/>
        <w:spacing w:after="0"/>
        <w:tabs>
          <w:tab w:leader="none" w:pos="308"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Administration</w:t>
      </w:r>
      <w:r>
        <w:rPr>
          <w:rFonts w:ascii="Times New Roman" w:cs="Times New Roman" w:eastAsia="Times New Roman" w:hAnsi="Times New Roman"/>
          <w:sz w:val="18"/>
          <w:szCs w:val="18"/>
          <w:color w:val="231F20"/>
        </w:rPr>
        <w:t>.</w:t>
      </w:r>
    </w:p>
    <w:p>
      <w:pPr>
        <w:spacing w:after="0" w:line="252" w:lineRule="exact"/>
        <w:rPr>
          <w:sz w:val="20"/>
          <w:szCs w:val="20"/>
          <w:color w:val="auto"/>
        </w:rPr>
      </w:pPr>
    </w:p>
    <w:p>
      <w:pPr>
        <w:ind w:left="8" w:right="29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3.1 </w:t>
      </w:r>
      <w:r>
        <w:rPr>
          <w:rFonts w:ascii="Times New Roman" w:cs="Times New Roman" w:eastAsia="Times New Roman" w:hAnsi="Times New Roman"/>
          <w:sz w:val="18"/>
          <w:szCs w:val="18"/>
          <w:u w:val="single" w:color="auto"/>
          <w:color w:val="231F20"/>
        </w:rPr>
        <w:t>Authority of Committee</w:t>
      </w:r>
      <w:r>
        <w:rPr>
          <w:rFonts w:ascii="Times New Roman" w:cs="Times New Roman" w:eastAsia="Times New Roman" w:hAnsi="Times New Roman"/>
          <w:sz w:val="18"/>
          <w:szCs w:val="18"/>
          <w:color w:val="231F20"/>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76" w:lineRule="exact"/>
        <w:rPr>
          <w:sz w:val="20"/>
          <w:szCs w:val="20"/>
          <w:color w:val="auto"/>
        </w:rPr>
      </w:pPr>
    </w:p>
    <w:p>
      <w:pPr>
        <w:ind w:left="1068" w:hanging="352"/>
        <w:spacing w:after="0"/>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construe and interpret the Plan and apply its provisions;</w:t>
      </w:r>
    </w:p>
    <w:p>
      <w:pPr>
        <w:spacing w:after="0" w:line="252" w:lineRule="exact"/>
        <w:rPr>
          <w:rFonts w:ascii="Times New Roman" w:cs="Times New Roman" w:eastAsia="Times New Roman" w:hAnsi="Times New Roman"/>
          <w:sz w:val="18"/>
          <w:szCs w:val="18"/>
          <w:color w:val="231F20"/>
        </w:rPr>
      </w:pPr>
    </w:p>
    <w:p>
      <w:pPr>
        <w:ind w:left="1068" w:hanging="352"/>
        <w:spacing w:after="0"/>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promulgate, amend, and rescind rules and regulations relating to the administration of the Plan;</w:t>
      </w:r>
    </w:p>
    <w:p>
      <w:pPr>
        <w:spacing w:after="0" w:line="252" w:lineRule="exact"/>
        <w:rPr>
          <w:rFonts w:ascii="Times New Roman" w:cs="Times New Roman" w:eastAsia="Times New Roman" w:hAnsi="Times New Roman"/>
          <w:sz w:val="18"/>
          <w:szCs w:val="18"/>
          <w:color w:val="231F20"/>
        </w:rPr>
      </w:pPr>
    </w:p>
    <w:p>
      <w:pPr>
        <w:ind w:left="1068" w:right="799" w:hanging="352"/>
        <w:spacing w:after="0" w:line="282"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authorize any person to execute, on behalf of the Company, any instrument required to carry out the purposes of the Plan;</w:t>
      </w:r>
    </w:p>
    <w:p>
      <w:pPr>
        <w:spacing w:after="0" w:line="188" w:lineRule="exact"/>
        <w:rPr>
          <w:rFonts w:ascii="Times New Roman" w:cs="Times New Roman" w:eastAsia="Times New Roman" w:hAnsi="Times New Roman"/>
          <w:sz w:val="18"/>
          <w:szCs w:val="18"/>
          <w:color w:val="231F20"/>
        </w:rPr>
      </w:pPr>
    </w:p>
    <w:p>
      <w:pPr>
        <w:ind w:left="1068" w:right="439" w:hanging="352"/>
        <w:spacing w:after="0" w:line="282"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delegate its authority to one or more Officers of the Company with respect to Awards that do not involve “insiders” within the meaning of Section 16 of the Exchange Act;</w:t>
      </w:r>
    </w:p>
    <w:p>
      <w:pPr>
        <w:spacing w:after="0" w:line="188" w:lineRule="exact"/>
        <w:rPr>
          <w:rFonts w:ascii="Times New Roman" w:cs="Times New Roman" w:eastAsia="Times New Roman" w:hAnsi="Times New Roman"/>
          <w:sz w:val="18"/>
          <w:szCs w:val="18"/>
          <w:color w:val="231F20"/>
        </w:rPr>
      </w:pPr>
    </w:p>
    <w:p>
      <w:pPr>
        <w:ind w:left="1068" w:hanging="352"/>
        <w:spacing w:after="0"/>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when Awards are to be granted under the Plan and the applicable Grant Date;</w:t>
      </w:r>
    </w:p>
    <w:p>
      <w:pPr>
        <w:spacing w:after="0" w:line="252" w:lineRule="exact"/>
        <w:rPr>
          <w:rFonts w:ascii="Times New Roman" w:cs="Times New Roman" w:eastAsia="Times New Roman" w:hAnsi="Times New Roman"/>
          <w:sz w:val="18"/>
          <w:szCs w:val="18"/>
          <w:color w:val="231F20"/>
        </w:rPr>
      </w:pPr>
    </w:p>
    <w:p>
      <w:pPr>
        <w:ind w:left="1068" w:right="1319" w:hanging="352"/>
        <w:spacing w:after="0" w:line="282"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from time to time to select, subject to the limitations set forth in this Plan, those eligible Award recipients to whom Awards shall be granted;</w:t>
      </w:r>
    </w:p>
    <w:p>
      <w:pPr>
        <w:spacing w:after="0" w:line="188" w:lineRule="exact"/>
        <w:rPr>
          <w:rFonts w:ascii="Times New Roman" w:cs="Times New Roman" w:eastAsia="Times New Roman" w:hAnsi="Times New Roman"/>
          <w:sz w:val="18"/>
          <w:szCs w:val="18"/>
          <w:color w:val="231F20"/>
        </w:rPr>
      </w:pPr>
    </w:p>
    <w:p>
      <w:pPr>
        <w:ind w:left="1068" w:hanging="352"/>
        <w:spacing w:after="0"/>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number of shares of Common Stock to be made subject to each Award;</w:t>
      </w:r>
    </w:p>
    <w:p>
      <w:pPr>
        <w:spacing w:after="0" w:line="252" w:lineRule="exact"/>
        <w:rPr>
          <w:rFonts w:ascii="Times New Roman" w:cs="Times New Roman" w:eastAsia="Times New Roman" w:hAnsi="Times New Roman"/>
          <w:sz w:val="18"/>
          <w:szCs w:val="18"/>
          <w:color w:val="231F20"/>
        </w:rPr>
      </w:pPr>
    </w:p>
    <w:p>
      <w:pPr>
        <w:ind w:left="1068" w:hanging="352"/>
        <w:spacing w:after="0"/>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whether each Option is to be an Incentive Stock Option or a Non-Qualified Stock Option;</w:t>
      </w:r>
    </w:p>
    <w:p>
      <w:pPr>
        <w:spacing w:after="0" w:line="27" w:lineRule="exact"/>
        <w:rPr>
          <w:rFonts w:ascii="Times New Roman" w:cs="Times New Roman" w:eastAsia="Times New Roman" w:hAnsi="Times New Roman"/>
          <w:sz w:val="18"/>
          <w:szCs w:val="18"/>
          <w:color w:val="231F20"/>
        </w:rPr>
      </w:pPr>
    </w:p>
    <w:p>
      <w:pPr>
        <w:ind w:left="1068" w:right="479" w:hanging="352"/>
        <w:spacing w:after="0" w:line="255"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prescribe the terms and conditions of each Award, including, without limitation, the exercise price and medium of payment and vesting provisions, and to specify the provisions of the Award Agreement relating to such grant;</w:t>
      </w:r>
    </w:p>
    <w:p>
      <w:pPr>
        <w:spacing w:after="0" w:line="212" w:lineRule="exact"/>
        <w:rPr>
          <w:rFonts w:ascii="Times New Roman" w:cs="Times New Roman" w:eastAsia="Times New Roman" w:hAnsi="Times New Roman"/>
          <w:sz w:val="18"/>
          <w:szCs w:val="18"/>
          <w:color w:val="231F20"/>
        </w:rPr>
      </w:pPr>
    </w:p>
    <w:p>
      <w:pPr>
        <w:ind w:left="1068" w:right="199" w:hanging="352"/>
        <w:spacing w:after="0" w:line="266"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202" w:lineRule="exact"/>
        <w:rPr>
          <w:rFonts w:ascii="Times New Roman" w:cs="Times New Roman" w:eastAsia="Times New Roman" w:hAnsi="Times New Roman"/>
          <w:sz w:val="18"/>
          <w:szCs w:val="18"/>
          <w:color w:val="231F20"/>
        </w:rPr>
      </w:pPr>
    </w:p>
    <w:p>
      <w:pPr>
        <w:ind w:left="1068" w:right="419" w:hanging="352"/>
        <w:spacing w:after="0" w:line="258"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83" w:lineRule="exact"/>
        <w:rPr>
          <w:rFonts w:ascii="Times New Roman" w:cs="Times New Roman" w:eastAsia="Times New Roman" w:hAnsi="Times New Roman"/>
          <w:sz w:val="18"/>
          <w:szCs w:val="18"/>
          <w:color w:val="231F20"/>
        </w:rPr>
      </w:pPr>
    </w:p>
    <w:p>
      <w:pPr>
        <w:ind w:left="1068" w:right="339" w:hanging="352"/>
        <w:spacing w:after="0" w:line="266"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202" w:lineRule="exact"/>
        <w:rPr>
          <w:rFonts w:ascii="Times New Roman" w:cs="Times New Roman" w:eastAsia="Times New Roman" w:hAnsi="Times New Roman"/>
          <w:sz w:val="18"/>
          <w:szCs w:val="18"/>
          <w:color w:val="231F20"/>
        </w:rPr>
      </w:pPr>
    </w:p>
    <w:p>
      <w:pPr>
        <w:ind w:left="1068" w:right="999" w:hanging="352"/>
        <w:spacing w:after="0" w:line="282"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make decisions with respect to outstanding Awards that may become necessary upon a change in corporate control or an event that triggers anti-dilution adjustments;</w:t>
      </w:r>
    </w:p>
    <w:p>
      <w:pPr>
        <w:spacing w:after="0" w:line="188" w:lineRule="exact"/>
        <w:rPr>
          <w:rFonts w:ascii="Times New Roman" w:cs="Times New Roman" w:eastAsia="Times New Roman" w:hAnsi="Times New Roman"/>
          <w:sz w:val="18"/>
          <w:szCs w:val="18"/>
          <w:color w:val="231F20"/>
        </w:rPr>
      </w:pPr>
    </w:p>
    <w:p>
      <w:pPr>
        <w:ind w:left="1068" w:right="219" w:hanging="352"/>
        <w:spacing w:after="0" w:line="282" w:lineRule="auto"/>
        <w:tabs>
          <w:tab w:leader="none" w:pos="1068"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interpret, administer, reconcile any inconsistency in, correct any defect in and/or supply any omission in the Plan and any instrument or agreement relating to, or Award granted under, the Plan; and</w:t>
      </w:r>
    </w:p>
    <w:p>
      <w:pPr>
        <w:spacing w:after="0" w:line="200" w:lineRule="exact"/>
        <w:rPr>
          <w:sz w:val="20"/>
          <w:szCs w:val="20"/>
          <w:color w:val="auto"/>
        </w:rPr>
      </w:pPr>
    </w:p>
    <w:p>
      <w:pPr>
        <w:spacing w:after="0" w:line="205"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7"/>
          </w:cols>
          <w:pgMar w:left="1232" w:top="900" w:right="1440" w:bottom="1440" w:gutter="0" w:footer="0" w:header="0"/>
        </w:sectPr>
      </w:pPr>
    </w:p>
    <w:bookmarkStart w:id="15" w:name="page16"/>
    <w:bookmarkEnd w:id="15"/>
    <w:p>
      <w:pPr>
        <w:ind w:left="1060" w:right="839" w:hanging="352"/>
        <w:spacing w:after="0" w:line="282" w:lineRule="auto"/>
        <w:tabs>
          <w:tab w:leader="none" w:pos="10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exercise discretion to make any and all other determinations which it determines to be necessary or advisable for the administration of the Plan.</w:t>
      </w:r>
    </w:p>
    <w:p>
      <w:pPr>
        <w:spacing w:after="0" w:line="160" w:lineRule="exact"/>
        <w:rPr>
          <w:sz w:val="20"/>
          <w:szCs w:val="20"/>
          <w:color w:val="auto"/>
        </w:rPr>
      </w:pPr>
    </w:p>
    <w:p>
      <w:pPr>
        <w:ind w:right="259" w:firstLine="359"/>
        <w:spacing w:after="0" w:line="284" w:lineRule="auto"/>
        <w:rPr>
          <w:sz w:val="20"/>
          <w:szCs w:val="20"/>
          <w:color w:val="auto"/>
        </w:rPr>
      </w:pPr>
      <w:r>
        <w:rPr>
          <w:rFonts w:ascii="Times New Roman" w:cs="Times New Roman" w:eastAsia="Times New Roman" w:hAnsi="Times New Roman"/>
          <w:sz w:val="18"/>
          <w:szCs w:val="18"/>
          <w:color w:val="231F20"/>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if the modification effects a repricing, stockholder approval shall be required before the repricing is effective.</w:t>
      </w:r>
    </w:p>
    <w:p>
      <w:pPr>
        <w:spacing w:after="0" w:line="160" w:lineRule="exact"/>
        <w:rPr>
          <w:sz w:val="20"/>
          <w:szCs w:val="20"/>
          <w:color w:val="auto"/>
        </w:rPr>
      </w:pPr>
    </w:p>
    <w:p>
      <w:pPr>
        <w:jc w:val="both"/>
        <w:ind w:right="15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3.2 </w:t>
      </w:r>
      <w:r>
        <w:rPr>
          <w:rFonts w:ascii="Times New Roman" w:cs="Times New Roman" w:eastAsia="Times New Roman" w:hAnsi="Times New Roman"/>
          <w:sz w:val="18"/>
          <w:szCs w:val="18"/>
          <w:u w:val="single" w:color="auto"/>
          <w:color w:val="231F20"/>
        </w:rPr>
        <w:t>Committee Decisions Final</w:t>
      </w:r>
      <w:r>
        <w:rPr>
          <w:rFonts w:ascii="Times New Roman" w:cs="Times New Roman" w:eastAsia="Times New Roman" w:hAnsi="Times New Roman"/>
          <w:sz w:val="18"/>
          <w:szCs w:val="18"/>
          <w:color w:val="231F20"/>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76" w:lineRule="exact"/>
        <w:rPr>
          <w:sz w:val="20"/>
          <w:szCs w:val="20"/>
          <w:color w:val="auto"/>
        </w:rPr>
      </w:pPr>
    </w:p>
    <w:p>
      <w:pPr>
        <w:ind w:right="219" w:firstLine="359"/>
        <w:spacing w:after="0" w:line="268" w:lineRule="auto"/>
        <w:rPr>
          <w:sz w:val="20"/>
          <w:szCs w:val="20"/>
          <w:color w:val="auto"/>
        </w:rPr>
      </w:pPr>
      <w:r>
        <w:rPr>
          <w:rFonts w:ascii="Times New Roman" w:cs="Times New Roman" w:eastAsia="Times New Roman" w:hAnsi="Times New Roman"/>
          <w:sz w:val="17"/>
          <w:szCs w:val="17"/>
          <w:color w:val="231F20"/>
        </w:rPr>
        <w:t xml:space="preserve">3.3 </w:t>
      </w:r>
      <w:r>
        <w:rPr>
          <w:rFonts w:ascii="Times New Roman" w:cs="Times New Roman" w:eastAsia="Times New Roman" w:hAnsi="Times New Roman"/>
          <w:sz w:val="17"/>
          <w:szCs w:val="17"/>
          <w:u w:val="single" w:color="auto"/>
          <w:color w:val="231F20"/>
        </w:rPr>
        <w:t>Delegation</w:t>
      </w:r>
      <w:r>
        <w:rPr>
          <w:rFonts w:ascii="Times New Roman" w:cs="Times New Roman" w:eastAsia="Times New Roman" w:hAnsi="Times New Roman"/>
          <w:sz w:val="17"/>
          <w:szCs w:val="17"/>
          <w:color w:val="231F20"/>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231F20"/>
        </w:rPr>
        <w:t>Committee</w:t>
      </w:r>
      <w:r>
        <w:rPr>
          <w:rFonts w:ascii="Times New Roman" w:cs="Times New Roman" w:eastAsia="Times New Roman" w:hAnsi="Times New Roman"/>
          <w:sz w:val="17"/>
          <w:szCs w:val="17"/>
          <w:color w:val="231F2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84" w:lineRule="exact"/>
        <w:rPr>
          <w:sz w:val="20"/>
          <w:szCs w:val="20"/>
          <w:color w:val="auto"/>
        </w:rPr>
      </w:pPr>
    </w:p>
    <w:p>
      <w:pPr>
        <w:ind w:right="159" w:firstLine="359"/>
        <w:spacing w:after="0" w:line="254" w:lineRule="auto"/>
        <w:rPr>
          <w:sz w:val="20"/>
          <w:szCs w:val="20"/>
          <w:color w:val="auto"/>
        </w:rPr>
      </w:pPr>
      <w:r>
        <w:rPr>
          <w:rFonts w:ascii="Times New Roman" w:cs="Times New Roman" w:eastAsia="Times New Roman" w:hAnsi="Times New Roman"/>
          <w:sz w:val="18"/>
          <w:szCs w:val="18"/>
          <w:color w:val="231F20"/>
        </w:rPr>
        <w:t xml:space="preserve">3.4 </w:t>
      </w:r>
      <w:r>
        <w:rPr>
          <w:rFonts w:ascii="Times New Roman" w:cs="Times New Roman" w:eastAsia="Times New Roman" w:hAnsi="Times New Roman"/>
          <w:sz w:val="18"/>
          <w:szCs w:val="18"/>
          <w:u w:val="single" w:color="auto"/>
          <w:color w:val="231F20"/>
        </w:rPr>
        <w:t>Committee Composition</w:t>
      </w:r>
      <w:r>
        <w:rPr>
          <w:rFonts w:ascii="Times New Roman" w:cs="Times New Roman" w:eastAsia="Times New Roman" w:hAnsi="Times New Roman"/>
          <w:sz w:val="18"/>
          <w:szCs w:val="18"/>
          <w:color w:val="231F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88" w:lineRule="exact"/>
        <w:rPr>
          <w:sz w:val="20"/>
          <w:szCs w:val="20"/>
          <w:color w:val="auto"/>
        </w:rPr>
      </w:pPr>
    </w:p>
    <w:p>
      <w:pPr>
        <w:ind w:right="19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3.5 </w:t>
      </w:r>
      <w:r>
        <w:rPr>
          <w:rFonts w:ascii="Times New Roman" w:cs="Times New Roman" w:eastAsia="Times New Roman" w:hAnsi="Times New Roman"/>
          <w:sz w:val="18"/>
          <w:szCs w:val="18"/>
          <w:u w:val="single" w:color="auto"/>
          <w:color w:val="231F20"/>
        </w:rPr>
        <w:t>Indemnification</w:t>
      </w:r>
      <w:r>
        <w:rPr>
          <w:rFonts w:ascii="Times New Roman" w:cs="Times New Roman" w:eastAsia="Times New Roman" w:hAnsi="Times New Roman"/>
          <w:sz w:val="18"/>
          <w:szCs w:val="18"/>
          <w:color w:val="231F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w:t>
      </w:r>
    </w:p>
    <w:p>
      <w:pPr>
        <w:spacing w:after="0" w:line="181" w:lineRule="exact"/>
        <w:rPr>
          <w:sz w:val="20"/>
          <w:szCs w:val="20"/>
          <w:color w:val="auto"/>
        </w:rPr>
      </w:pPr>
    </w:p>
    <w:p>
      <w:pPr>
        <w:ind w:right="179"/>
        <w:spacing w:after="0" w:line="284" w:lineRule="auto"/>
        <w:rPr>
          <w:sz w:val="20"/>
          <w:szCs w:val="20"/>
          <w:color w:val="auto"/>
        </w:rPr>
      </w:pPr>
      <w:r>
        <w:rPr>
          <w:rFonts w:ascii="Times New Roman" w:cs="Times New Roman" w:eastAsia="Times New Roman" w:hAnsi="Times New Roman"/>
          <w:sz w:val="18"/>
          <w:szCs w:val="18"/>
          <w:color w:val="231F20"/>
        </w:rPr>
        <w:t>the Plan or any Award granted under the Plan, and against all amounts paid by the Committee in settlement thereof (</w:t>
      </w:r>
      <w:r>
        <w:rPr>
          <w:rFonts w:ascii="Times New Roman" w:cs="Times New Roman" w:eastAsia="Times New Roman" w:hAnsi="Times New Roman"/>
          <w:sz w:val="18"/>
          <w:szCs w:val="18"/>
          <w:i w:val="1"/>
          <w:iCs w:val="1"/>
          <w:color w:val="231F20"/>
        </w:rPr>
        <w:t>provided,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however</w:t>
      </w:r>
      <w:r>
        <w:rPr>
          <w:rFonts w:ascii="Times New Roman" w:cs="Times New Roman" w:eastAsia="Times New Roman" w:hAnsi="Times New Roman"/>
          <w:sz w:val="18"/>
          <w:szCs w:val="18"/>
          <w:color w:val="231F20"/>
        </w:rPr>
        <w:t>, that the settlement has been approved by the Company, which approval shall</w:t>
      </w:r>
    </w:p>
    <w:p>
      <w:pPr>
        <w:spacing w:after="0" w:line="160" w:lineRule="exact"/>
        <w:rPr>
          <w:sz w:val="20"/>
          <w:szCs w:val="20"/>
          <w:color w:val="auto"/>
        </w:rPr>
      </w:pPr>
    </w:p>
    <w:p>
      <w:pPr>
        <w:ind w:right="279"/>
        <w:spacing w:after="0" w:line="256" w:lineRule="auto"/>
        <w:rPr>
          <w:sz w:val="20"/>
          <w:szCs w:val="20"/>
          <w:color w:val="auto"/>
        </w:rPr>
      </w:pPr>
      <w:r>
        <w:rPr>
          <w:rFonts w:ascii="Times New Roman" w:cs="Times New Roman" w:eastAsia="Times New Roman" w:hAnsi="Times New Roman"/>
          <w:sz w:val="18"/>
          <w:szCs w:val="18"/>
          <w:color w:val="231F20"/>
        </w:rPr>
        <w:t xml:space="preserve">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within 60 days after the institution of any such action, suit or proceeding, such Committee shall, in writing, offer the Company the opportunity at its own expense to handle and defend such action, suit or proceeding.</w:t>
      </w: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19"/>
          </w:cols>
          <w:pgMar w:left="1240" w:top="931" w:right="1440" w:bottom="1440" w:gutter="0" w:footer="0" w:header="0"/>
        </w:sectPr>
      </w:pPr>
    </w:p>
    <w:bookmarkStart w:id="16" w:name="page17"/>
    <w:bookmarkEnd w:id="16"/>
    <w:p>
      <w:pPr>
        <w:ind w:left="308" w:hanging="308"/>
        <w:spacing w:after="0"/>
        <w:tabs>
          <w:tab w:leader="none" w:pos="308"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Shares Subject to the Plan</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8" w:right="439" w:firstLine="359"/>
        <w:spacing w:after="0" w:line="254" w:lineRule="auto"/>
        <w:rPr>
          <w:sz w:val="20"/>
          <w:szCs w:val="20"/>
          <w:color w:val="auto"/>
        </w:rPr>
      </w:pPr>
      <w:r>
        <w:rPr>
          <w:rFonts w:ascii="Times New Roman" w:cs="Times New Roman" w:eastAsia="Times New Roman" w:hAnsi="Times New Roman"/>
          <w:sz w:val="18"/>
          <w:szCs w:val="18"/>
          <w:color w:val="231F20"/>
        </w:rPr>
        <w:t>4.1 Subject to adjustment in accordance with Section 11, the maximum aggregate number of shares of Common Stock available for issuance under the Plan is 12,500,000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188" w:lineRule="exact"/>
        <w:rPr>
          <w:sz w:val="20"/>
          <w:szCs w:val="20"/>
          <w:color w:val="auto"/>
        </w:rPr>
      </w:pPr>
    </w:p>
    <w:p>
      <w:pPr>
        <w:ind w:left="8" w:right="619" w:firstLine="359"/>
        <w:spacing w:after="0" w:line="282" w:lineRule="auto"/>
        <w:rPr>
          <w:sz w:val="20"/>
          <w:szCs w:val="20"/>
          <w:color w:val="auto"/>
        </w:rPr>
      </w:pPr>
      <w:r>
        <w:rPr>
          <w:rFonts w:ascii="Times New Roman" w:cs="Times New Roman" w:eastAsia="Times New Roman" w:hAnsi="Times New Roman"/>
          <w:sz w:val="18"/>
          <w:szCs w:val="18"/>
          <w:color w:val="231F20"/>
        </w:rPr>
        <w:t>4.2 Common Stock available for distribution under the Plan may consist, in whole or in part, of authorized and unissued shares, treasury shares or shares reacquired by the Company in any manner.</w:t>
      </w:r>
    </w:p>
    <w:p>
      <w:pPr>
        <w:spacing w:after="0" w:line="162" w:lineRule="exact"/>
        <w:rPr>
          <w:sz w:val="20"/>
          <w:szCs w:val="20"/>
          <w:color w:val="auto"/>
        </w:rPr>
      </w:pPr>
    </w:p>
    <w:p>
      <w:pPr>
        <w:jc w:val="both"/>
        <w:ind w:left="8" w:right="239"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4.3 Subject to adjustment in accordance with Section 11, no more than 12,500,000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231F20"/>
        </w:rPr>
        <w:t>“ISO Limit”</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both"/>
        <w:ind w:left="8" w:right="259" w:firstLine="359"/>
        <w:spacing w:after="0" w:line="266" w:lineRule="auto"/>
        <w:rPr>
          <w:sz w:val="20"/>
          <w:szCs w:val="20"/>
          <w:color w:val="auto"/>
        </w:rPr>
      </w:pPr>
      <w:r>
        <w:rPr>
          <w:rFonts w:ascii="Times New Roman" w:cs="Times New Roman" w:eastAsia="Times New Roman" w:hAnsi="Times New Roman"/>
          <w:sz w:val="18"/>
          <w:szCs w:val="18"/>
          <w:color w:val="231F20"/>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76" w:lineRule="exact"/>
        <w:rPr>
          <w:sz w:val="20"/>
          <w:szCs w:val="20"/>
          <w:color w:val="auto"/>
        </w:rPr>
      </w:pPr>
    </w:p>
    <w:p>
      <w:pPr>
        <w:ind w:left="8" w:right="179" w:firstLine="359"/>
        <w:spacing w:after="0" w:line="256" w:lineRule="auto"/>
        <w:rPr>
          <w:sz w:val="20"/>
          <w:szCs w:val="20"/>
          <w:color w:val="auto"/>
        </w:rPr>
      </w:pPr>
      <w:r>
        <w:rPr>
          <w:rFonts w:ascii="Times New Roman" w:cs="Times New Roman" w:eastAsia="Times New Roman" w:hAnsi="Times New Roman"/>
          <w:sz w:val="18"/>
          <w:szCs w:val="18"/>
          <w:color w:val="231F20"/>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87" w:lineRule="exact"/>
        <w:rPr>
          <w:sz w:val="20"/>
          <w:szCs w:val="20"/>
          <w:color w:val="auto"/>
        </w:rPr>
      </w:pPr>
    </w:p>
    <w:p>
      <w:pPr>
        <w:ind w:left="8" w:right="199" w:firstLine="359"/>
        <w:spacing w:after="0" w:line="254" w:lineRule="auto"/>
        <w:rPr>
          <w:sz w:val="20"/>
          <w:szCs w:val="20"/>
          <w:color w:val="auto"/>
        </w:rPr>
      </w:pPr>
      <w:r>
        <w:rPr>
          <w:rFonts w:ascii="Times New Roman" w:cs="Times New Roman" w:eastAsia="Times New Roman" w:hAnsi="Times New Roman"/>
          <w:sz w:val="18"/>
          <w:szCs w:val="18"/>
          <w:color w:val="231F20"/>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231F20"/>
        </w:rPr>
        <w:t>Substitute Awards</w:t>
      </w:r>
      <w:r>
        <w:rPr>
          <w:rFonts w:ascii="Times New Roman" w:cs="Times New Roman" w:eastAsia="Times New Roman" w:hAnsi="Times New Roman"/>
          <w:sz w:val="18"/>
          <w:szCs w:val="18"/>
          <w:color w:val="231F20"/>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92" w:lineRule="exact"/>
        <w:rPr>
          <w:sz w:val="20"/>
          <w:szCs w:val="20"/>
          <w:color w:val="auto"/>
        </w:rPr>
      </w:pPr>
    </w:p>
    <w:p>
      <w:pPr>
        <w:ind w:left="8" w:right="339" w:hanging="3"/>
        <w:spacing w:after="0" w:line="256" w:lineRule="auto"/>
        <w:tabs>
          <w:tab w:leader="none" w:pos="457"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 w:cs="Times New Roman" w:eastAsia="Times New Roman" w:hAnsi="Times New Roman"/>
          <w:sz w:val="18"/>
          <w:szCs w:val="18"/>
          <w:u w:val="single" w:color="auto"/>
          <w:color w:val="231F20"/>
        </w:rPr>
        <w:t>Eligibility</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ind w:left="8" w:right="15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5.1 </w:t>
      </w:r>
      <w:r>
        <w:rPr>
          <w:rFonts w:ascii="Times New Roman" w:cs="Times New Roman" w:eastAsia="Times New Roman" w:hAnsi="Times New Roman"/>
          <w:sz w:val="18"/>
          <w:szCs w:val="18"/>
          <w:u w:val="single" w:color="auto"/>
          <w:color w:val="231F20"/>
        </w:rPr>
        <w:t>Eligibility for Specific Awards</w:t>
      </w:r>
      <w:r>
        <w:rPr>
          <w:rFonts w:ascii="Times New Roman" w:cs="Times New Roman" w:eastAsia="Times New Roman" w:hAnsi="Times New Roman"/>
          <w:sz w:val="18"/>
          <w:szCs w:val="18"/>
          <w:color w:val="231F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76" w:lineRule="exact"/>
        <w:rPr>
          <w:sz w:val="20"/>
          <w:szCs w:val="20"/>
          <w:color w:val="auto"/>
        </w:rPr>
      </w:pPr>
    </w:p>
    <w:p>
      <w:pPr>
        <w:ind w:left="8" w:right="29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5.2 </w:t>
      </w:r>
      <w:r>
        <w:rPr>
          <w:rFonts w:ascii="Times New Roman" w:cs="Times New Roman" w:eastAsia="Times New Roman" w:hAnsi="Times New Roman"/>
          <w:sz w:val="18"/>
          <w:szCs w:val="18"/>
          <w:u w:val="single" w:color="auto"/>
          <w:color w:val="231F20"/>
        </w:rPr>
        <w:t>Ten Percent Stockholders</w:t>
      </w:r>
      <w:r>
        <w:rPr>
          <w:rFonts w:ascii="Times New Roman" w:cs="Times New Roman" w:eastAsia="Times New Roman" w:hAnsi="Times New Roman"/>
          <w:sz w:val="18"/>
          <w:szCs w:val="18"/>
          <w:color w:val="231F20"/>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76" w:lineRule="exact"/>
        <w:rPr>
          <w:sz w:val="20"/>
          <w:szCs w:val="20"/>
          <w:color w:val="auto"/>
        </w:rPr>
      </w:pPr>
    </w:p>
    <w:p>
      <w:pPr>
        <w:ind w:left="8" w:right="199" w:firstLine="356"/>
        <w:spacing w:after="0" w:line="270" w:lineRule="auto"/>
        <w:tabs>
          <w:tab w:leader="none" w:pos="816"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Option Provisions</w:t>
      </w:r>
      <w:r>
        <w:rPr>
          <w:rFonts w:ascii="Times New Roman" w:cs="Times New Roman" w:eastAsia="Times New Roman" w:hAnsi="Times New Roman"/>
          <w:sz w:val="17"/>
          <w:szCs w:val="17"/>
          <w:color w:val="231F20"/>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393"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27"/>
          </w:cols>
          <w:pgMar w:left="1232" w:top="904" w:right="1440" w:bottom="1122" w:gutter="0" w:footer="0" w:header="0"/>
        </w:sectPr>
      </w:pPr>
    </w:p>
    <w:bookmarkStart w:id="17" w:name="page18"/>
    <w:bookmarkEnd w:id="17"/>
    <w:p>
      <w:pPr>
        <w:ind w:left="160" w:right="539"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6.1 </w:t>
      </w:r>
      <w:r>
        <w:rPr>
          <w:rFonts w:ascii="Times New Roman" w:cs="Times New Roman" w:eastAsia="Times New Roman" w:hAnsi="Times New Roman"/>
          <w:sz w:val="18"/>
          <w:szCs w:val="18"/>
          <w:u w:val="single" w:color="auto"/>
          <w:color w:val="231F20"/>
        </w:rPr>
        <w:t>Term</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Non-Qualified Stock Option shall be exercisable after the expiration of 10 years from the Grant Date.</w:t>
      </w:r>
    </w:p>
    <w:p>
      <w:pPr>
        <w:spacing w:after="0" w:line="180" w:lineRule="exact"/>
        <w:rPr>
          <w:sz w:val="20"/>
          <w:szCs w:val="20"/>
          <w:color w:val="auto"/>
        </w:rPr>
      </w:pPr>
    </w:p>
    <w:p>
      <w:pPr>
        <w:ind w:left="160" w:right="219"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6.2 </w:t>
      </w:r>
      <w:r>
        <w:rPr>
          <w:rFonts w:ascii="Times New Roman" w:cs="Times New Roman" w:eastAsia="Times New Roman" w:hAnsi="Times New Roman"/>
          <w:sz w:val="18"/>
          <w:szCs w:val="18"/>
          <w:u w:val="single" w:color="auto"/>
          <w:color w:val="231F20"/>
        </w:rPr>
        <w:t>Exercise Price of an Incentive Stock Option</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87" w:lineRule="exact"/>
        <w:rPr>
          <w:sz w:val="20"/>
          <w:szCs w:val="20"/>
          <w:color w:val="auto"/>
        </w:rPr>
      </w:pPr>
    </w:p>
    <w:p>
      <w:pPr>
        <w:ind w:left="160" w:right="67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6.3 </w:t>
      </w:r>
      <w:r>
        <w:rPr>
          <w:rFonts w:ascii="Times New Roman" w:cs="Times New Roman" w:eastAsia="Times New Roman" w:hAnsi="Times New Roman"/>
          <w:sz w:val="18"/>
          <w:szCs w:val="18"/>
          <w:u w:val="single" w:color="auto"/>
          <w:color w:val="231F20"/>
        </w:rPr>
        <w:t>Exercise Price of a Non-Qualified Stock Option</w:t>
      </w:r>
      <w:r>
        <w:rPr>
          <w:rFonts w:ascii="Times New Roman" w:cs="Times New Roman" w:eastAsia="Times New Roman" w:hAnsi="Times New Roman"/>
          <w:sz w:val="18"/>
          <w:szCs w:val="18"/>
          <w:color w:val="231F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3" w:lineRule="exact"/>
        <w:rPr>
          <w:sz w:val="20"/>
          <w:szCs w:val="20"/>
          <w:color w:val="auto"/>
        </w:rPr>
      </w:pPr>
    </w:p>
    <w:p>
      <w:pPr>
        <w:ind w:left="160" w:right="179" w:firstLine="359"/>
        <w:spacing w:after="0" w:line="267" w:lineRule="auto"/>
        <w:rPr>
          <w:sz w:val="20"/>
          <w:szCs w:val="20"/>
          <w:color w:val="auto"/>
        </w:rPr>
      </w:pPr>
      <w:r>
        <w:rPr>
          <w:rFonts w:ascii="Times New Roman" w:cs="Times New Roman" w:eastAsia="Times New Roman" w:hAnsi="Times New Roman"/>
          <w:sz w:val="17"/>
          <w:szCs w:val="17"/>
          <w:color w:val="231F20"/>
        </w:rPr>
        <w:t xml:space="preserve">6.4 </w:t>
      </w:r>
      <w:r>
        <w:rPr>
          <w:rFonts w:ascii="Times New Roman" w:cs="Times New Roman" w:eastAsia="Times New Roman" w:hAnsi="Times New Roman"/>
          <w:sz w:val="17"/>
          <w:szCs w:val="17"/>
          <w:u w:val="single" w:color="auto"/>
          <w:color w:val="231F20"/>
        </w:rPr>
        <w:t>Consideration</w:t>
      </w:r>
      <w:r>
        <w:rPr>
          <w:rFonts w:ascii="Times New Roman" w:cs="Times New Roman" w:eastAsia="Times New Roman" w:hAnsi="Times New Roman"/>
          <w:sz w:val="17"/>
          <w:szCs w:val="17"/>
          <w:color w:val="231F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231F20"/>
        </w:rPr>
        <w:t>Stock for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Stock Exchange</w:t>
      </w:r>
      <w:r>
        <w:rPr>
          <w:rFonts w:ascii="Times New Roman" w:cs="Times New Roman" w:eastAsia="Times New Roman" w:hAnsi="Times New Roman"/>
          <w:sz w:val="17"/>
          <w:szCs w:val="17"/>
          <w:color w:val="231F20"/>
        </w:rPr>
        <w:t>”); (ii) if the shares of Common Stock are listed on any established stock exchange or a national market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160" w:right="19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6.5 </w:t>
      </w:r>
      <w:r>
        <w:rPr>
          <w:rFonts w:ascii="Times New Roman" w:cs="Times New Roman" w:eastAsia="Times New Roman" w:hAnsi="Times New Roman"/>
          <w:sz w:val="18"/>
          <w:szCs w:val="18"/>
          <w:u w:val="single" w:color="auto"/>
          <w:color w:val="231F20"/>
        </w:rPr>
        <w:t>Transferability of an Incentive Stock Option</w:t>
      </w:r>
      <w:r>
        <w:rPr>
          <w:rFonts w:ascii="Times New Roman" w:cs="Times New Roman" w:eastAsia="Times New Roman" w:hAnsi="Times New Roman"/>
          <w:sz w:val="18"/>
          <w:szCs w:val="18"/>
          <w:color w:val="231F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3" w:lineRule="exact"/>
        <w:rPr>
          <w:sz w:val="20"/>
          <w:szCs w:val="20"/>
          <w:color w:val="auto"/>
        </w:rPr>
      </w:pPr>
    </w:p>
    <w:p>
      <w:pPr>
        <w:ind w:left="160" w:right="199"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6.6 </w:t>
      </w:r>
      <w:r>
        <w:rPr>
          <w:rFonts w:ascii="Times New Roman" w:cs="Times New Roman" w:eastAsia="Times New Roman" w:hAnsi="Times New Roman"/>
          <w:sz w:val="18"/>
          <w:szCs w:val="18"/>
          <w:u w:val="single" w:color="auto"/>
          <w:color w:val="231F20"/>
        </w:rPr>
        <w:t>Transferability of a Non-Qualified Stock Option</w:t>
      </w:r>
      <w:r>
        <w:rPr>
          <w:rFonts w:ascii="Times New Roman" w:cs="Times New Roman" w:eastAsia="Times New Roman" w:hAnsi="Times New Roman"/>
          <w:sz w:val="18"/>
          <w:szCs w:val="18"/>
          <w:color w:val="231F20"/>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9" w:lineRule="exact"/>
        <w:rPr>
          <w:sz w:val="20"/>
          <w:szCs w:val="20"/>
          <w:color w:val="auto"/>
        </w:rPr>
      </w:pPr>
    </w:p>
    <w:p>
      <w:pPr>
        <w:ind w:left="160" w:right="25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6.7 </w:t>
      </w:r>
      <w:r>
        <w:rPr>
          <w:rFonts w:ascii="Times New Roman" w:cs="Times New Roman" w:eastAsia="Times New Roman" w:hAnsi="Times New Roman"/>
          <w:sz w:val="18"/>
          <w:szCs w:val="18"/>
          <w:u w:val="single" w:color="auto"/>
          <w:color w:val="231F20"/>
        </w:rPr>
        <w:t>Vesting of Options</w:t>
      </w:r>
      <w:r>
        <w:rPr>
          <w:rFonts w:ascii="Times New Roman" w:cs="Times New Roman" w:eastAsia="Times New Roman" w:hAnsi="Times New Roman"/>
          <w:sz w:val="18"/>
          <w:szCs w:val="18"/>
          <w:color w:val="231F20"/>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83" w:lineRule="exact"/>
        <w:rPr>
          <w:sz w:val="20"/>
          <w:szCs w:val="20"/>
          <w:color w:val="auto"/>
        </w:rPr>
      </w:pPr>
    </w:p>
    <w:p>
      <w:pPr>
        <w:ind w:left="160" w:right="279" w:firstLine="359"/>
        <w:spacing w:after="0" w:line="271" w:lineRule="auto"/>
        <w:rPr>
          <w:sz w:val="20"/>
          <w:szCs w:val="20"/>
          <w:color w:val="auto"/>
        </w:rPr>
      </w:pPr>
      <w:r>
        <w:rPr>
          <w:rFonts w:ascii="Times New Roman" w:cs="Times New Roman" w:eastAsia="Times New Roman" w:hAnsi="Times New Roman"/>
          <w:sz w:val="17"/>
          <w:szCs w:val="17"/>
          <w:color w:val="231F20"/>
        </w:rPr>
        <w:t xml:space="preserve">6.8 </w:t>
      </w:r>
      <w:r>
        <w:rPr>
          <w:rFonts w:ascii="Times New Roman" w:cs="Times New Roman" w:eastAsia="Times New Roman" w:hAnsi="Times New Roman"/>
          <w:sz w:val="17"/>
          <w:szCs w:val="17"/>
          <w:u w:val="single" w:color="auto"/>
          <w:color w:val="231F20"/>
        </w:rPr>
        <w:t>Termination of Continuous Service</w:t>
      </w:r>
      <w:r>
        <w:rPr>
          <w:rFonts w:ascii="Times New Roman" w:cs="Times New Roman" w:eastAsia="Times New Roman" w:hAnsi="Times New Roman"/>
          <w:sz w:val="17"/>
          <w:szCs w:val="17"/>
          <w:color w:val="231F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7"/>
          <w:szCs w:val="17"/>
          <w:i w:val="1"/>
          <w:iCs w:val="1"/>
          <w:color w:val="231F20"/>
        </w:rPr>
        <w:t>provided that</w:t>
      </w:r>
      <w:r>
        <w:rPr>
          <w:rFonts w:ascii="Times New Roman" w:cs="Times New Roman" w:eastAsia="Times New Roman" w:hAnsi="Times New Roman"/>
          <w:sz w:val="17"/>
          <w:szCs w:val="17"/>
          <w:color w:val="231F20"/>
        </w:rPr>
        <w:t>, if the termination of Continuous Service is by the Company for Cause, all outstanding Options (whether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or not vested) shall immediately terminate and cease to be exercisable. If, after termination, the Optionholder does not exercise his or her Option within the time specified in the Award Agreement, the Option shall terminate.</w:t>
      </w:r>
    </w:p>
    <w:p>
      <w:pPr>
        <w:spacing w:after="0" w:line="173" w:lineRule="exact"/>
        <w:rPr>
          <w:sz w:val="20"/>
          <w:szCs w:val="20"/>
          <w:color w:val="auto"/>
        </w:rPr>
      </w:pPr>
    </w:p>
    <w:p>
      <w:pPr>
        <w:ind w:left="160" w:right="219" w:firstLine="359"/>
        <w:spacing w:after="0" w:line="254" w:lineRule="auto"/>
        <w:rPr>
          <w:sz w:val="20"/>
          <w:szCs w:val="20"/>
          <w:color w:val="auto"/>
        </w:rPr>
      </w:pPr>
      <w:r>
        <w:rPr>
          <w:rFonts w:ascii="Times New Roman" w:cs="Times New Roman" w:eastAsia="Times New Roman" w:hAnsi="Times New Roman"/>
          <w:sz w:val="18"/>
          <w:szCs w:val="18"/>
          <w:color w:val="231F20"/>
        </w:rPr>
        <w:t xml:space="preserve">6.9 </w:t>
      </w:r>
      <w:r>
        <w:rPr>
          <w:rFonts w:ascii="Times New Roman" w:cs="Times New Roman" w:eastAsia="Times New Roman" w:hAnsi="Times New Roman"/>
          <w:sz w:val="18"/>
          <w:szCs w:val="18"/>
          <w:u w:val="single" w:color="auto"/>
          <w:color w:val="231F20"/>
        </w:rPr>
        <w:t>Extension of Termination Date</w:t>
      </w:r>
      <w:r>
        <w:rPr>
          <w:rFonts w:ascii="Times New Roman" w:cs="Times New Roman" w:eastAsia="Times New Roman" w:hAnsi="Times New Roman"/>
          <w:sz w:val="18"/>
          <w:szCs w:val="18"/>
          <w:color w:val="231F20"/>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92" w:lineRule="exact"/>
        <w:rPr>
          <w:sz w:val="20"/>
          <w:szCs w:val="20"/>
          <w:color w:val="auto"/>
        </w:rPr>
      </w:pPr>
    </w:p>
    <w:p>
      <w:pPr>
        <w:ind w:left="160" w:right="159"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6.10 </w:t>
      </w:r>
      <w:r>
        <w:rPr>
          <w:rFonts w:ascii="Times New Roman" w:cs="Times New Roman" w:eastAsia="Times New Roman" w:hAnsi="Times New Roman"/>
          <w:sz w:val="18"/>
          <w:szCs w:val="18"/>
          <w:u w:val="single" w:color="auto"/>
          <w:color w:val="231F20"/>
        </w:rPr>
        <w:t>Disability of Optionholder</w:t>
      </w:r>
      <w:r>
        <w:rPr>
          <w:rFonts w:ascii="Times New Roman" w:cs="Times New Roman" w:eastAsia="Times New Roman" w:hAnsi="Times New Roman"/>
          <w:sz w:val="18"/>
          <w:szCs w:val="18"/>
          <w:color w:val="231F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ind w:left="368" w:right="299" w:firstLine="359"/>
        <w:spacing w:after="0" w:line="254" w:lineRule="auto"/>
        <w:rPr>
          <w:sz w:val="20"/>
          <w:szCs w:val="20"/>
          <w:color w:val="auto"/>
        </w:rPr>
      </w:pPr>
      <w:r>
        <w:rPr>
          <w:rFonts w:ascii="Times New Roman" w:cs="Times New Roman" w:eastAsia="Times New Roman" w:hAnsi="Times New Roman"/>
          <w:sz w:val="18"/>
          <w:szCs w:val="18"/>
          <w:color w:val="231F20"/>
        </w:rPr>
        <w:t xml:space="preserve">6.11 </w:t>
      </w:r>
      <w:r>
        <w:rPr>
          <w:rFonts w:ascii="Times New Roman" w:cs="Times New Roman" w:eastAsia="Times New Roman" w:hAnsi="Times New Roman"/>
          <w:sz w:val="18"/>
          <w:szCs w:val="18"/>
          <w:u w:val="single" w:color="auto"/>
          <w:color w:val="231F20"/>
        </w:rPr>
        <w:t>Death of Optionholder</w:t>
      </w:r>
      <w:r>
        <w:rPr>
          <w:rFonts w:ascii="Times New Roman" w:cs="Times New Roman" w:eastAsia="Times New Roman" w:hAnsi="Times New Roman"/>
          <w:sz w:val="18"/>
          <w:szCs w:val="18"/>
          <w:color w:val="231F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92" w:lineRule="exact"/>
        <w:rPr>
          <w:sz w:val="20"/>
          <w:szCs w:val="20"/>
          <w:color w:val="auto"/>
        </w:rPr>
      </w:pPr>
    </w:p>
    <w:p>
      <w:pPr>
        <w:ind w:left="368" w:right="29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6.12 </w:t>
      </w:r>
      <w:r>
        <w:rPr>
          <w:rFonts w:ascii="Times New Roman" w:cs="Times New Roman" w:eastAsia="Times New Roman" w:hAnsi="Times New Roman"/>
          <w:sz w:val="18"/>
          <w:szCs w:val="18"/>
          <w:u w:val="single" w:color="auto"/>
          <w:color w:val="231F20"/>
        </w:rPr>
        <w:t>Incentive Stock Option $100,000 Limitation</w:t>
      </w:r>
      <w:r>
        <w:rPr>
          <w:rFonts w:ascii="Times New Roman" w:cs="Times New Roman" w:eastAsia="Times New Roman" w:hAnsi="Times New Roman"/>
          <w:sz w:val="18"/>
          <w:szCs w:val="18"/>
          <w:color w:val="231F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3" w:lineRule="exact"/>
        <w:rPr>
          <w:sz w:val="20"/>
          <w:szCs w:val="20"/>
          <w:color w:val="auto"/>
        </w:rPr>
      </w:pPr>
    </w:p>
    <w:p>
      <w:pPr>
        <w:ind w:left="728"/>
        <w:spacing w:after="0"/>
        <w:tabs>
          <w:tab w:leader="none" w:pos="1327" w:val="left"/>
        </w:tabs>
        <w:rPr>
          <w:sz w:val="20"/>
          <w:szCs w:val="20"/>
          <w:color w:val="auto"/>
        </w:rPr>
      </w:pPr>
      <w:r>
        <w:rPr>
          <w:rFonts w:ascii="Times New Roman" w:cs="Times New Roman" w:eastAsia="Times New Roman" w:hAnsi="Times New Roman"/>
          <w:sz w:val="18"/>
          <w:szCs w:val="18"/>
          <w:color w:val="231F20"/>
        </w:rPr>
        <w:t>6.13</w:t>
      </w:r>
      <w:r>
        <w:rPr>
          <w:sz w:val="20"/>
          <w:szCs w:val="20"/>
          <w:color w:val="auto"/>
        </w:rPr>
        <w:tab/>
      </w:r>
      <w:r>
        <w:rPr>
          <w:rFonts w:ascii="Times New Roman" w:cs="Times New Roman" w:eastAsia="Times New Roman" w:hAnsi="Times New Roman"/>
          <w:sz w:val="18"/>
          <w:szCs w:val="18"/>
          <w:u w:val="single" w:color="auto"/>
          <w:color w:val="231F20"/>
        </w:rPr>
        <w:t>Reload Options</w:t>
      </w:r>
      <w:r>
        <w:rPr>
          <w:rFonts w:ascii="Times New Roman" w:cs="Times New Roman" w:eastAsia="Times New Roman" w:hAnsi="Times New Roman"/>
          <w:sz w:val="18"/>
          <w:szCs w:val="18"/>
          <w:color w:val="231F20"/>
        </w:rPr>
        <w:t>. No Option may include provisions that “reload” the Option upon exercise.</w:t>
      </w:r>
    </w:p>
    <w:p>
      <w:pPr>
        <w:spacing w:after="0" w:line="225" w:lineRule="exact"/>
        <w:rPr>
          <w:sz w:val="20"/>
          <w:szCs w:val="20"/>
          <w:color w:val="auto"/>
        </w:rPr>
      </w:pPr>
    </w:p>
    <w:p>
      <w:pPr>
        <w:ind w:left="308" w:hanging="308"/>
        <w:spacing w:after="0"/>
        <w:tabs>
          <w:tab w:leader="none" w:pos="308"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Provisions of Awards Other Than Options</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231F20"/>
        </w:rPr>
      </w:pPr>
    </w:p>
    <w:p>
      <w:pPr>
        <w:ind w:left="348"/>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7.1  </w:t>
      </w:r>
      <w:r>
        <w:rPr>
          <w:rFonts w:ascii="Times New Roman" w:cs="Times New Roman" w:eastAsia="Times New Roman" w:hAnsi="Times New Roman"/>
          <w:sz w:val="18"/>
          <w:szCs w:val="18"/>
          <w:u w:val="single" w:color="auto"/>
          <w:color w:val="231F20"/>
        </w:rPr>
        <w:t>Stock Appreciation Rights</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231F20"/>
        </w:rPr>
      </w:pPr>
    </w:p>
    <w:p>
      <w:pPr>
        <w:ind w:left="368" w:right="299" w:firstLine="355"/>
        <w:spacing w:after="0" w:line="266" w:lineRule="auto"/>
        <w:tabs>
          <w:tab w:leader="none" w:pos="1241" w:val="left"/>
        </w:tabs>
        <w:numPr>
          <w:ilvl w:val="1"/>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and to such other conditions not inconsistent with the Plan as may be reflected in the applicable Award Agreement.</w:t>
      </w:r>
    </w:p>
    <w:p>
      <w:pPr>
        <w:spacing w:after="0" w:line="175" w:lineRule="exact"/>
        <w:rPr>
          <w:rFonts w:ascii="Times New Roman" w:cs="Times New Roman" w:eastAsia="Times New Roman" w:hAnsi="Times New Roman"/>
          <w:sz w:val="18"/>
          <w:szCs w:val="18"/>
          <w:color w:val="231F20"/>
        </w:rPr>
      </w:pPr>
    </w:p>
    <w:p>
      <w:pPr>
        <w:jc w:val="both"/>
        <w:ind w:left="368" w:right="239" w:firstLine="355"/>
        <w:spacing w:after="0" w:line="266" w:lineRule="auto"/>
        <w:tabs>
          <w:tab w:leader="none" w:pos="1251" w:val="left"/>
        </w:tabs>
        <w:numPr>
          <w:ilvl w:val="1"/>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 of Stock Appreciation Rights</w:t>
      </w:r>
      <w:r>
        <w:rPr>
          <w:rFonts w:ascii="Times New Roman" w:cs="Times New Roman" w:eastAsia="Times New Roman" w:hAnsi="Times New Roman"/>
          <w:sz w:val="18"/>
          <w:szCs w:val="18"/>
          <w:color w:val="231F20"/>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Stock Appreciation Right shall be exercisable later than the tenth anniversary of the Grant Date.</w:t>
      </w:r>
    </w:p>
    <w:p>
      <w:pPr>
        <w:spacing w:after="0" w:line="175" w:lineRule="exact"/>
        <w:rPr>
          <w:rFonts w:ascii="Times New Roman" w:cs="Times New Roman" w:eastAsia="Times New Roman" w:hAnsi="Times New Roman"/>
          <w:sz w:val="18"/>
          <w:szCs w:val="18"/>
          <w:color w:val="231F20"/>
        </w:rPr>
      </w:pPr>
    </w:p>
    <w:p>
      <w:pPr>
        <w:ind w:left="368" w:right="259" w:firstLine="355"/>
        <w:spacing w:after="0" w:line="258" w:lineRule="auto"/>
        <w:tabs>
          <w:tab w:leader="none" w:pos="1241" w:val="left"/>
        </w:tabs>
        <w:numPr>
          <w:ilvl w:val="1"/>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Vesting of Stock Appreciation Rights</w:t>
      </w:r>
      <w:r>
        <w:rPr>
          <w:rFonts w:ascii="Times New Roman" w:cs="Times New Roman" w:eastAsia="Times New Roman" w:hAnsi="Times New Roman"/>
          <w:sz w:val="18"/>
          <w:szCs w:val="18"/>
          <w:color w:val="231F20"/>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183" w:lineRule="exact"/>
        <w:rPr>
          <w:rFonts w:ascii="Times New Roman" w:cs="Times New Roman" w:eastAsia="Times New Roman" w:hAnsi="Times New Roman"/>
          <w:sz w:val="18"/>
          <w:szCs w:val="18"/>
          <w:color w:val="231F20"/>
        </w:rPr>
      </w:pPr>
    </w:p>
    <w:p>
      <w:pPr>
        <w:ind w:left="368" w:right="239" w:firstLine="355"/>
        <w:spacing w:after="0" w:line="255" w:lineRule="auto"/>
        <w:tabs>
          <w:tab w:leader="none" w:pos="1251" w:val="left"/>
        </w:tabs>
        <w:numPr>
          <w:ilvl w:val="1"/>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and Payment</w:t>
      </w:r>
      <w:r>
        <w:rPr>
          <w:rFonts w:ascii="Times New Roman" w:cs="Times New Roman" w:eastAsia="Times New Roman" w:hAnsi="Times New Roman"/>
          <w:sz w:val="18"/>
          <w:szCs w:val="18"/>
          <w:color w:val="231F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188" w:lineRule="exact"/>
        <w:rPr>
          <w:rFonts w:ascii="Times New Roman" w:cs="Times New Roman" w:eastAsia="Times New Roman" w:hAnsi="Times New Roman"/>
          <w:sz w:val="18"/>
          <w:szCs w:val="18"/>
          <w:color w:val="231F20"/>
        </w:rPr>
      </w:pPr>
    </w:p>
    <w:p>
      <w:pPr>
        <w:ind w:left="1228" w:hanging="505"/>
        <w:spacing w:after="0"/>
        <w:tabs>
          <w:tab w:leader="none" w:pos="1228" w:val="left"/>
        </w:tabs>
        <w:numPr>
          <w:ilvl w:val="1"/>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Price</w:t>
      </w:r>
      <w:r>
        <w:rPr>
          <w:rFonts w:ascii="Times New Roman" w:cs="Times New Roman" w:eastAsia="Times New Roman" w:hAnsi="Times New Roman"/>
          <w:sz w:val="18"/>
          <w:szCs w:val="18"/>
          <w:color w:val="231F20"/>
        </w:rPr>
        <w:t>. The exercise price of a Stock Appreciation Right shall be determined by the</w:t>
      </w:r>
    </w:p>
    <w:p>
      <w:pPr>
        <w:spacing w:after="0" w:line="2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231F20"/>
        </w:rPr>
        <w:t>Committee.</w:t>
      </w:r>
    </w:p>
    <w:p>
      <w:pPr>
        <w:spacing w:after="0" w:line="207" w:lineRule="exact"/>
        <w:rPr>
          <w:sz w:val="20"/>
          <w:szCs w:val="20"/>
          <w:color w:val="auto"/>
        </w:rPr>
      </w:pPr>
    </w:p>
    <w:p>
      <w:pPr>
        <w:ind w:left="348"/>
        <w:spacing w:after="0"/>
        <w:tabs>
          <w:tab w:leader="none" w:pos="727" w:val="left"/>
        </w:tabs>
        <w:rPr>
          <w:sz w:val="20"/>
          <w:szCs w:val="20"/>
          <w:color w:val="auto"/>
        </w:rPr>
      </w:pPr>
      <w:r>
        <w:rPr>
          <w:rFonts w:ascii="Times New Roman" w:cs="Times New Roman" w:eastAsia="Times New Roman" w:hAnsi="Times New Roman"/>
          <w:sz w:val="18"/>
          <w:szCs w:val="18"/>
          <w:color w:val="231F20"/>
        </w:rPr>
        <w:t>7.2</w:t>
      </w:r>
      <w:r>
        <w:rPr>
          <w:sz w:val="20"/>
          <w:szCs w:val="20"/>
          <w:color w:val="auto"/>
        </w:rPr>
        <w:tab/>
      </w:r>
      <w:r>
        <w:rPr>
          <w:rFonts w:ascii="Times New Roman" w:cs="Times New Roman" w:eastAsia="Times New Roman" w:hAnsi="Times New Roman"/>
          <w:sz w:val="17"/>
          <w:szCs w:val="17"/>
          <w:u w:val="single" w:color="auto"/>
          <w:color w:val="231F20"/>
        </w:rPr>
        <w:t>Restricted Awards</w:t>
      </w:r>
      <w:r>
        <w:rPr>
          <w:rFonts w:ascii="Times New Roman" w:cs="Times New Roman" w:eastAsia="Times New Roman" w:hAnsi="Times New Roman"/>
          <w:sz w:val="17"/>
          <w:szCs w:val="17"/>
          <w:color w:val="231F20"/>
        </w:rPr>
        <w:t>.</w:t>
      </w:r>
    </w:p>
    <w:p>
      <w:pPr>
        <w:spacing w:after="0" w:line="221" w:lineRule="exact"/>
        <w:rPr>
          <w:sz w:val="20"/>
          <w:szCs w:val="20"/>
          <w:color w:val="auto"/>
        </w:rPr>
      </w:pPr>
    </w:p>
    <w:p>
      <w:pPr>
        <w:ind w:left="8" w:right="159" w:firstLine="356"/>
        <w:spacing w:after="0" w:line="255" w:lineRule="auto"/>
        <w:tabs>
          <w:tab w:leader="none" w:pos="881"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A Restricted Award is an Award of actual Common Stock (“</w:t>
      </w:r>
      <w:r>
        <w:rPr>
          <w:rFonts w:ascii="Times New Roman" w:cs="Times New Roman" w:eastAsia="Times New Roman" w:hAnsi="Times New Roman"/>
          <w:sz w:val="18"/>
          <w:szCs w:val="18"/>
          <w:b w:val="1"/>
          <w:bCs w:val="1"/>
          <w:color w:val="231F20"/>
        </w:rPr>
        <w:t>Restricted Stock</w:t>
      </w:r>
      <w:r>
        <w:rPr>
          <w:rFonts w:ascii="Times New Roman" w:cs="Times New Roman" w:eastAsia="Times New Roman" w:hAnsi="Times New Roman"/>
          <w:sz w:val="18"/>
          <w:szCs w:val="18"/>
          <w:color w:val="231F20"/>
        </w:rPr>
        <w:t>”) or hypothetical Common Stock units (“</w:t>
      </w:r>
      <w:r>
        <w:rPr>
          <w:rFonts w:ascii="Times New Roman" w:cs="Times New Roman" w:eastAsia="Times New Roman" w:hAnsi="Times New Roman"/>
          <w:sz w:val="18"/>
          <w:szCs w:val="18"/>
          <w:b w:val="1"/>
          <w:bCs w:val="1"/>
          <w:color w:val="231F20"/>
        </w:rPr>
        <w:t>Restricted Stock Units</w:t>
      </w:r>
      <w:r>
        <w:rPr>
          <w:rFonts w:ascii="Times New Roman" w:cs="Times New Roman" w:eastAsia="Times New Roman" w:hAnsi="Times New Roman"/>
          <w:sz w:val="18"/>
          <w:szCs w:val="18"/>
          <w:color w:val="231F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231F20"/>
        </w:rPr>
        <w:t>Restricted Period</w:t>
      </w:r>
      <w:r>
        <w:rPr>
          <w:rFonts w:ascii="Times New Roman" w:cs="Times New Roman" w:eastAsia="Times New Roman" w:hAnsi="Times New Roman"/>
          <w:sz w:val="18"/>
          <w:szCs w:val="18"/>
          <w:color w:val="231F20"/>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xml:space="preserve"> and to such other conditions not inconsistent with the Plan as may be reflected in the applicable Award Agreement.</w:t>
      </w:r>
    </w:p>
    <w:p>
      <w:pPr>
        <w:spacing w:after="0" w:line="200" w:lineRule="exact"/>
        <w:rPr>
          <w:sz w:val="20"/>
          <w:szCs w:val="20"/>
          <w:color w:val="auto"/>
        </w:rPr>
      </w:pPr>
    </w:p>
    <w:p>
      <w:pPr>
        <w:spacing w:after="0" w:line="232"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7"/>
          </w:cols>
          <w:pgMar w:left="1232" w:top="904" w:right="1440" w:bottom="1440" w:gutter="0" w:footer="0" w:header="0"/>
        </w:sectPr>
      </w:pPr>
    </w:p>
    <w:bookmarkStart w:id="20" w:name="page21"/>
    <w:bookmarkEnd w:id="20"/>
    <w:p>
      <w:pPr>
        <w:ind w:left="540" w:hanging="397"/>
        <w:spacing w:after="0"/>
        <w:tabs>
          <w:tab w:leader="none" w:pos="5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Stock and Restricted Stock Units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160" w:right="179" w:hanging="4"/>
        <w:spacing w:after="0" w:line="252" w:lineRule="auto"/>
        <w:tabs>
          <w:tab w:leader="none" w:pos="644" w:val="left"/>
        </w:tabs>
        <w:numPr>
          <w:ilvl w:val="1"/>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93" w:lineRule="exact"/>
        <w:rPr>
          <w:rFonts w:ascii="Times New Roman" w:cs="Times New Roman" w:eastAsia="Times New Roman" w:hAnsi="Times New Roman"/>
          <w:sz w:val="18"/>
          <w:szCs w:val="18"/>
          <w:color w:val="231F20"/>
        </w:rPr>
      </w:pPr>
    </w:p>
    <w:p>
      <w:pPr>
        <w:ind w:left="160" w:right="179" w:hanging="4"/>
        <w:spacing w:after="0" w:line="252" w:lineRule="auto"/>
        <w:tabs>
          <w:tab w:leader="none" w:pos="694" w:val="left"/>
        </w:tabs>
        <w:numPr>
          <w:ilvl w:val="1"/>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i w:val="1"/>
          <w:iCs w:val="1"/>
          <w:color w:val="231F20"/>
        </w:rPr>
        <w:t>Deferred Stock Units</w:t>
      </w:r>
      <w:r>
        <w:rPr>
          <w:rFonts w:ascii="Times New Roman" w:cs="Times New Roman" w:eastAsia="Times New Roman" w:hAnsi="Times New Roman"/>
          <w:sz w:val="18"/>
          <w:szCs w:val="18"/>
          <w:color w:val="231F20"/>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i w:val="1"/>
          <w:iCs w:val="1"/>
          <w:color w:val="231F20"/>
        </w:rPr>
        <w:t>Dividend Equivalents</w:t>
      </w:r>
      <w:r>
        <w:rPr>
          <w:rFonts w:ascii="Times New Roman" w:cs="Times New Roman" w:eastAsia="Times New Roman" w:hAnsi="Times New Roman"/>
          <w:sz w:val="18"/>
          <w:szCs w:val="18"/>
          <w:color w:val="231F20"/>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94" w:lineRule="exact"/>
        <w:rPr>
          <w:rFonts w:ascii="Times New Roman" w:cs="Times New Roman" w:eastAsia="Times New Roman" w:hAnsi="Times New Roman"/>
          <w:sz w:val="18"/>
          <w:szCs w:val="18"/>
          <w:color w:val="231F20"/>
        </w:rPr>
      </w:pPr>
    </w:p>
    <w:p>
      <w:pPr>
        <w:ind w:left="520" w:hanging="377"/>
        <w:spacing w:after="0"/>
        <w:tabs>
          <w:tab w:leader="none" w:pos="5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Restrictions</w:t>
      </w:r>
      <w:r>
        <w:rPr>
          <w:rFonts w:ascii="Times New Roman" w:cs="Times New Roman" w:eastAsia="Times New Roman" w:hAnsi="Times New Roman"/>
          <w:sz w:val="18"/>
          <w:szCs w:val="18"/>
          <w:color w:val="231F20"/>
        </w:rPr>
        <w:t>.</w:t>
      </w:r>
    </w:p>
    <w:p>
      <w:pPr>
        <w:spacing w:after="0" w:line="225" w:lineRule="exact"/>
        <w:rPr>
          <w:rFonts w:ascii="Times New Roman" w:cs="Times New Roman" w:eastAsia="Times New Roman" w:hAnsi="Times New Roman"/>
          <w:sz w:val="18"/>
          <w:szCs w:val="18"/>
          <w:color w:val="231F20"/>
        </w:rPr>
      </w:pPr>
    </w:p>
    <w:p>
      <w:pPr>
        <w:ind w:left="160" w:right="259" w:hanging="4"/>
        <w:spacing w:after="0" w:line="255" w:lineRule="auto"/>
        <w:tabs>
          <w:tab w:leader="none" w:pos="644" w:val="left"/>
        </w:tabs>
        <w:numPr>
          <w:ilvl w:val="1"/>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89" w:lineRule="exact"/>
        <w:rPr>
          <w:sz w:val="20"/>
          <w:szCs w:val="20"/>
          <w:color w:val="auto"/>
        </w:rPr>
      </w:pPr>
    </w:p>
    <w:p>
      <w:pPr>
        <w:ind w:left="540" w:hanging="397"/>
        <w:spacing w:after="0"/>
        <w:tabs>
          <w:tab w:leader="none" w:pos="5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and Deferred Stock Units awarded to any Participant shall be subject to</w:t>
      </w:r>
    </w:p>
    <w:p>
      <w:pPr>
        <w:spacing w:after="0" w:line="225" w:lineRule="exact"/>
        <w:rPr>
          <w:rFonts w:ascii="Times New Roman" w:cs="Times New Roman" w:eastAsia="Times New Roman" w:hAnsi="Times New Roman"/>
          <w:sz w:val="18"/>
          <w:szCs w:val="18"/>
          <w:color w:val="231F20"/>
        </w:rPr>
      </w:pPr>
    </w:p>
    <w:p>
      <w:pPr>
        <w:ind w:left="160" w:right="179" w:hanging="4"/>
        <w:spacing w:after="0" w:line="258" w:lineRule="auto"/>
        <w:tabs>
          <w:tab w:leader="none" w:pos="455" w:val="left"/>
        </w:tabs>
        <w:numPr>
          <w:ilvl w:val="1"/>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1" w:name="page22"/>
    <w:bookmarkEnd w:id="21"/>
    <w:p>
      <w:pPr>
        <w:ind w:left="360" w:right="439" w:firstLine="355"/>
        <w:spacing w:after="0" w:line="266" w:lineRule="auto"/>
        <w:tabs>
          <w:tab w:leader="none" w:pos="1243"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Period</w:t>
      </w:r>
      <w:r>
        <w:rPr>
          <w:rFonts w:ascii="Times New Roman" w:cs="Times New Roman" w:eastAsia="Times New Roman" w:hAnsi="Times New Roman"/>
          <w:sz w:val="18"/>
          <w:szCs w:val="18"/>
          <w:color w:val="231F20"/>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175" w:lineRule="exact"/>
        <w:rPr>
          <w:rFonts w:ascii="Times New Roman" w:cs="Times New Roman" w:eastAsia="Times New Roman" w:hAnsi="Times New Roman"/>
          <w:sz w:val="18"/>
          <w:szCs w:val="18"/>
          <w:color w:val="231F20"/>
        </w:rPr>
      </w:pPr>
    </w:p>
    <w:p>
      <w:pPr>
        <w:ind w:left="360" w:right="159" w:firstLine="355"/>
        <w:spacing w:after="0" w:line="267" w:lineRule="auto"/>
        <w:tabs>
          <w:tab w:leader="none" w:pos="1233"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Delivery of Restricted Stock and Settlement of Restricted Stock Units</w:t>
      </w:r>
      <w:r>
        <w:rPr>
          <w:rFonts w:ascii="Times New Roman" w:cs="Times New Roman" w:eastAsia="Times New Roman" w:hAnsi="Times New Roman"/>
          <w:sz w:val="17"/>
          <w:szCs w:val="17"/>
          <w:color w:val="231F20"/>
        </w:rPr>
        <w:t xml:space="preserve">. Upon the expiration of the Restricted Period with respect to any shares of Restricted Stock, the restrictions set forth in </w:t>
      </w:r>
      <w:r>
        <w:rPr>
          <w:rFonts w:ascii="Times New Roman" w:cs="Times New Roman" w:eastAsia="Times New Roman" w:hAnsi="Times New Roman"/>
          <w:sz w:val="17"/>
          <w:szCs w:val="17"/>
          <w:u w:val="single" w:color="auto"/>
          <w:color w:val="231F20"/>
        </w:rPr>
        <w:t>Section 7.2(c)</w:t>
      </w:r>
      <w:r>
        <w:rPr>
          <w:rFonts w:ascii="Times New Roman" w:cs="Times New Roman" w:eastAsia="Times New Roman" w:hAnsi="Times New Roman"/>
          <w:sz w:val="17"/>
          <w:szCs w:val="17"/>
          <w:color w:val="231F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7"/>
          <w:szCs w:val="17"/>
          <w:b w:val="1"/>
          <w:bCs w:val="1"/>
          <w:color w:val="231F20"/>
        </w:rPr>
        <w:t>Vested Unit</w:t>
      </w:r>
      <w:r>
        <w:rPr>
          <w:rFonts w:ascii="Times New Roman" w:cs="Times New Roman" w:eastAsia="Times New Roman" w:hAnsi="Times New Roman"/>
          <w:sz w:val="17"/>
          <w:szCs w:val="17"/>
          <w:color w:val="231F20"/>
        </w:rPr>
        <w:t xml:space="preserve">”) and cash equal to any Dividend Equivalents credited with respect to each such Vested Unit in accordance with </w:t>
      </w:r>
      <w:r>
        <w:rPr>
          <w:rFonts w:ascii="Times New Roman" w:cs="Times New Roman" w:eastAsia="Times New Roman" w:hAnsi="Times New Roman"/>
          <w:sz w:val="17"/>
          <w:szCs w:val="17"/>
          <w:u w:val="single" w:color="auto"/>
          <w:color w:val="231F20"/>
        </w:rPr>
        <w:t>Section 7.2(b)(ii)</w:t>
      </w:r>
      <w:r>
        <w:rPr>
          <w:rFonts w:ascii="Times New Roman" w:cs="Times New Roman" w:eastAsia="Times New Roman" w:hAnsi="Times New Roman"/>
          <w:sz w:val="17"/>
          <w:szCs w:val="17"/>
          <w:color w:val="231F20"/>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7"/>
          <w:szCs w:val="17"/>
          <w:i w:val="1"/>
          <w:iCs w:val="1"/>
          <w:color w:val="231F20"/>
        </w:rPr>
        <w:t>provided, however</w:t>
      </w:r>
      <w:r>
        <w:rPr>
          <w:rFonts w:ascii="Times New Roman" w:cs="Times New Roman" w:eastAsia="Times New Roman" w:hAnsi="Times New Roman"/>
          <w:sz w:val="17"/>
          <w:szCs w:val="17"/>
          <w:color w:val="231F20"/>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89" w:lineRule="exact"/>
        <w:rPr>
          <w:rFonts w:ascii="Times New Roman" w:cs="Times New Roman" w:eastAsia="Times New Roman" w:hAnsi="Times New Roman"/>
          <w:sz w:val="17"/>
          <w:szCs w:val="17"/>
          <w:color w:val="231F20"/>
        </w:rPr>
      </w:pPr>
    </w:p>
    <w:p>
      <w:pPr>
        <w:ind w:left="1160" w:hanging="445"/>
        <w:spacing w:after="0"/>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Stock Restrictions</w:t>
      </w:r>
      <w:r>
        <w:rPr>
          <w:rFonts w:ascii="Times New Roman" w:cs="Times New Roman" w:eastAsia="Times New Roman" w:hAnsi="Times New Roman"/>
          <w:sz w:val="18"/>
          <w:szCs w:val="18"/>
          <w:color w:val="231F20"/>
        </w:rPr>
        <w:t>. Each certificate representing Restricted Stock awarded under the Plan shall bear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legend in such form as the Company deems appropriate.</w:t>
      </w: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231F20"/>
        </w:rPr>
        <w:t>7.3</w:t>
      </w:r>
      <w:r>
        <w:rPr>
          <w:sz w:val="20"/>
          <w:szCs w:val="20"/>
          <w:color w:val="auto"/>
        </w:rPr>
        <w:tab/>
      </w:r>
      <w:r>
        <w:rPr>
          <w:rFonts w:ascii="Times New Roman" w:cs="Times New Roman" w:eastAsia="Times New Roman" w:hAnsi="Times New Roman"/>
          <w:sz w:val="17"/>
          <w:szCs w:val="17"/>
          <w:u w:val="single" w:color="auto"/>
          <w:color w:val="231F20"/>
        </w:rPr>
        <w:t>Performance Stock Awards</w:t>
      </w:r>
      <w:r>
        <w:rPr>
          <w:rFonts w:ascii="Times New Roman" w:cs="Times New Roman" w:eastAsia="Times New Roman" w:hAnsi="Times New Roman"/>
          <w:sz w:val="17"/>
          <w:szCs w:val="17"/>
          <w:color w:val="231F20"/>
        </w:rPr>
        <w:t>.</w:t>
      </w:r>
    </w:p>
    <w:p>
      <w:pPr>
        <w:spacing w:after="0" w:line="225" w:lineRule="exact"/>
        <w:rPr>
          <w:sz w:val="20"/>
          <w:szCs w:val="20"/>
          <w:color w:val="auto"/>
        </w:rPr>
      </w:pPr>
    </w:p>
    <w:p>
      <w:pPr>
        <w:ind w:right="179" w:firstLine="356"/>
        <w:spacing w:after="0" w:line="255" w:lineRule="auto"/>
        <w:tabs>
          <w:tab w:leader="none" w:pos="873"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Grant of Performance Stock Awards</w:t>
      </w:r>
      <w:r>
        <w:rPr>
          <w:rFonts w:ascii="Times New Roman" w:cs="Times New Roman" w:eastAsia="Times New Roman" w:hAnsi="Times New Roman"/>
          <w:sz w:val="18"/>
          <w:szCs w:val="18"/>
          <w:color w:val="231F20"/>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88" w:lineRule="exact"/>
        <w:rPr>
          <w:rFonts w:ascii="Times New Roman" w:cs="Times New Roman" w:eastAsia="Times New Roman" w:hAnsi="Times New Roman"/>
          <w:sz w:val="18"/>
          <w:szCs w:val="18"/>
          <w:color w:val="231F20"/>
        </w:rPr>
      </w:pPr>
    </w:p>
    <w:p>
      <w:pPr>
        <w:ind w:right="479" w:firstLine="356"/>
        <w:spacing w:after="0" w:line="266" w:lineRule="auto"/>
        <w:tabs>
          <w:tab w:leader="none" w:pos="883"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Earning Performance Stock Awards</w:t>
      </w:r>
      <w:r>
        <w:rPr>
          <w:rFonts w:ascii="Times New Roman" w:cs="Times New Roman" w:eastAsia="Times New Roman" w:hAnsi="Times New Roman"/>
          <w:sz w:val="18"/>
          <w:szCs w:val="18"/>
          <w:color w:val="231F20"/>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76" w:lineRule="exact"/>
        <w:rPr>
          <w:sz w:val="20"/>
          <w:szCs w:val="20"/>
          <w:color w:val="auto"/>
        </w:rPr>
      </w:pPr>
    </w:p>
    <w:p>
      <w:pPr>
        <w:ind w:right="159"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7.4 </w:t>
      </w:r>
      <w:r>
        <w:rPr>
          <w:rFonts w:ascii="Times New Roman" w:cs="Times New Roman" w:eastAsia="Times New Roman" w:hAnsi="Times New Roman"/>
          <w:sz w:val="18"/>
          <w:szCs w:val="18"/>
          <w:u w:val="single" w:color="auto"/>
          <w:color w:val="231F20"/>
        </w:rPr>
        <w:t>Other Equity-Based Awards and Cash Awards</w:t>
      </w:r>
      <w:r>
        <w:rPr>
          <w:rFonts w:ascii="Times New Roman" w:cs="Times New Roman" w:eastAsia="Times New Roman" w:hAnsi="Times New Roman"/>
          <w:sz w:val="18"/>
          <w:szCs w:val="18"/>
          <w:color w:val="231F20"/>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19"/>
          </w:cols>
          <w:pgMar w:left="1240" w:top="904" w:right="1440" w:bottom="1440" w:gutter="0" w:footer="0" w:header="0"/>
        </w:sectPr>
      </w:pPr>
    </w:p>
    <w:bookmarkStart w:id="22" w:name="page23"/>
    <w:bookmarkEnd w:id="22"/>
    <w:p>
      <w:pPr>
        <w:ind w:left="-200" w:right="1080" w:firstLine="356"/>
        <w:spacing w:after="0" w:line="253" w:lineRule="auto"/>
        <w:tabs>
          <w:tab w:leader="none" w:pos="608"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Securities Law Compliance</w:t>
      </w:r>
      <w:r>
        <w:rPr>
          <w:rFonts w:ascii="Times New Roman" w:cs="Times New Roman" w:eastAsia="Times New Roman" w:hAnsi="Times New Roman"/>
          <w:sz w:val="18"/>
          <w:szCs w:val="18"/>
          <w:color w:val="231F20"/>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89" w:lineRule="exact"/>
        <w:rPr>
          <w:rFonts w:ascii="Times New Roman" w:cs="Times New Roman" w:eastAsia="Times New Roman" w:hAnsi="Times New Roman"/>
          <w:sz w:val="18"/>
          <w:szCs w:val="18"/>
          <w:color w:val="231F20"/>
        </w:rPr>
      </w:pPr>
    </w:p>
    <w:p>
      <w:pPr>
        <w:ind w:left="-200" w:right="1500" w:firstLine="356"/>
        <w:spacing w:after="0" w:line="282" w:lineRule="auto"/>
        <w:tabs>
          <w:tab w:leader="none" w:pos="608"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Use of Proceeds from Stock</w:t>
      </w:r>
      <w:r>
        <w:rPr>
          <w:rFonts w:ascii="Times New Roman" w:cs="Times New Roman" w:eastAsia="Times New Roman" w:hAnsi="Times New Roman"/>
          <w:sz w:val="18"/>
          <w:szCs w:val="18"/>
          <w:color w:val="231F20"/>
        </w:rPr>
        <w:t>. Proceeds from the sale of Common Stock pursuant to Awards, or upon exercise thereof, shall constitute general funds of the Company.</w:t>
      </w:r>
    </w:p>
    <w:p>
      <w:pPr>
        <w:spacing w:after="0" w:line="162" w:lineRule="exact"/>
        <w:rPr>
          <w:sz w:val="20"/>
          <w:szCs w:val="20"/>
          <w:color w:val="auto"/>
        </w:rPr>
      </w:pPr>
    </w:p>
    <w:p>
      <w:pPr>
        <w:ind w:left="540" w:hanging="397"/>
        <w:spacing w:after="0"/>
        <w:tabs>
          <w:tab w:leader="none" w:pos="5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Miscellaneous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160" w:right="1440"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10.1 </w:t>
      </w:r>
      <w:r>
        <w:rPr>
          <w:rFonts w:ascii="Times New Roman" w:cs="Times New Roman" w:eastAsia="Times New Roman" w:hAnsi="Times New Roman"/>
          <w:sz w:val="18"/>
          <w:szCs w:val="18"/>
          <w:u w:val="single" w:color="auto"/>
          <w:color w:val="231F20"/>
        </w:rPr>
        <w:t>Acceleration of Exercisability and Vesting</w:t>
      </w:r>
      <w:r>
        <w:rPr>
          <w:rFonts w:ascii="Times New Roman" w:cs="Times New Roman" w:eastAsia="Times New Roman" w:hAnsi="Times New Roman"/>
          <w:sz w:val="18"/>
          <w:szCs w:val="18"/>
          <w:color w:val="231F20"/>
        </w:rPr>
        <w:t>. Notwithstanding anything herein or in the Award to the contrary, the Committee shall have the power to accelerate the time at which an Award may first be exercised or the time during which an Award or any part thereof will vest.</w:t>
      </w:r>
    </w:p>
    <w:p>
      <w:pPr>
        <w:spacing w:after="0" w:line="176" w:lineRule="exact"/>
        <w:rPr>
          <w:sz w:val="20"/>
          <w:szCs w:val="20"/>
          <w:color w:val="auto"/>
        </w:rPr>
      </w:pPr>
    </w:p>
    <w:p>
      <w:pPr>
        <w:jc w:val="both"/>
        <w:ind w:left="160" w:right="1040"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10.2 </w:t>
      </w:r>
      <w:r>
        <w:rPr>
          <w:rFonts w:ascii="Times New Roman" w:cs="Times New Roman" w:eastAsia="Times New Roman" w:hAnsi="Times New Roman"/>
          <w:sz w:val="18"/>
          <w:szCs w:val="18"/>
          <w:u w:val="single" w:color="auto"/>
          <w:color w:val="231F20"/>
        </w:rPr>
        <w:t>Stockholder Rights</w:t>
      </w:r>
      <w:r>
        <w:rPr>
          <w:rFonts w:ascii="Times New Roman" w:cs="Times New Roman" w:eastAsia="Times New Roman" w:hAnsi="Times New Roman"/>
          <w:sz w:val="18"/>
          <w:szCs w:val="18"/>
          <w:color w:val="231F20"/>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231F20"/>
        </w:rPr>
        <w:t>Section 11</w:t>
      </w:r>
      <w:r>
        <w:rPr>
          <w:rFonts w:ascii="Times New Roman" w:cs="Times New Roman" w:eastAsia="Times New Roman" w:hAnsi="Times New Roman"/>
          <w:sz w:val="18"/>
          <w:szCs w:val="18"/>
          <w:color w:val="231F20"/>
        </w:rPr>
        <w:t xml:space="preserve"> hereof.</w:t>
      </w:r>
    </w:p>
    <w:p>
      <w:pPr>
        <w:spacing w:after="0" w:line="187" w:lineRule="exact"/>
        <w:rPr>
          <w:sz w:val="20"/>
          <w:szCs w:val="20"/>
          <w:color w:val="auto"/>
        </w:rPr>
      </w:pPr>
    </w:p>
    <w:p>
      <w:pPr>
        <w:ind w:left="160" w:right="1180"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10.3 </w:t>
      </w:r>
      <w:r>
        <w:rPr>
          <w:rFonts w:ascii="Times New Roman" w:cs="Times New Roman" w:eastAsia="Times New Roman" w:hAnsi="Times New Roman"/>
          <w:sz w:val="18"/>
          <w:szCs w:val="18"/>
          <w:u w:val="single" w:color="auto"/>
          <w:color w:val="231F20"/>
        </w:rPr>
        <w:t>No Employment or Other Service Rights</w:t>
      </w:r>
      <w:r>
        <w:rPr>
          <w:rFonts w:ascii="Times New Roman" w:cs="Times New Roman" w:eastAsia="Times New Roman" w:hAnsi="Times New Roman"/>
          <w:sz w:val="18"/>
          <w:szCs w:val="18"/>
          <w:color w:val="231F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7" w:lineRule="exact"/>
        <w:rPr>
          <w:sz w:val="20"/>
          <w:szCs w:val="20"/>
          <w:color w:val="auto"/>
        </w:rPr>
      </w:pPr>
    </w:p>
    <w:p>
      <w:pPr>
        <w:ind w:left="160" w:right="1200"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10.4 </w:t>
      </w:r>
      <w:r>
        <w:rPr>
          <w:rFonts w:ascii="Times New Roman" w:cs="Times New Roman" w:eastAsia="Times New Roman" w:hAnsi="Times New Roman"/>
          <w:sz w:val="18"/>
          <w:szCs w:val="18"/>
          <w:u w:val="single" w:color="auto"/>
          <w:color w:val="231F20"/>
        </w:rPr>
        <w:t>Transfer; Approved Leave of Absence</w:t>
      </w:r>
      <w:r>
        <w:rPr>
          <w:rFonts w:ascii="Times New Roman" w:cs="Times New Roman" w:eastAsia="Times New Roman" w:hAnsi="Times New Roman"/>
          <w:sz w:val="18"/>
          <w:szCs w:val="18"/>
          <w:color w:val="231F20"/>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176" w:lineRule="exact"/>
        <w:rPr>
          <w:sz w:val="20"/>
          <w:szCs w:val="20"/>
          <w:color w:val="auto"/>
        </w:rPr>
      </w:pPr>
    </w:p>
    <w:p>
      <w:pPr>
        <w:ind w:left="160" w:hanging="4"/>
        <w:spacing w:after="0" w:line="261" w:lineRule="auto"/>
        <w:tabs>
          <w:tab w:leader="none" w:pos="41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80" w:lineRule="exact"/>
        <w:rPr>
          <w:sz w:val="20"/>
          <w:szCs w:val="20"/>
          <w:color w:val="auto"/>
        </w:rPr>
      </w:pPr>
    </w:p>
    <w:p>
      <w:pPr>
        <w:ind w:left="160" w:right="1080" w:firstLine="359"/>
        <w:spacing w:after="0" w:line="253" w:lineRule="auto"/>
        <w:rPr>
          <w:sz w:val="20"/>
          <w:szCs w:val="20"/>
          <w:color w:val="auto"/>
        </w:rPr>
      </w:pPr>
      <w:r>
        <w:rPr>
          <w:rFonts w:ascii="Times New Roman" w:cs="Times New Roman" w:eastAsia="Times New Roman" w:hAnsi="Times New Roman"/>
          <w:sz w:val="18"/>
          <w:szCs w:val="18"/>
          <w:color w:val="231F20"/>
        </w:rPr>
        <w:t xml:space="preserve">10.5 </w:t>
      </w:r>
      <w:r>
        <w:rPr>
          <w:rFonts w:ascii="Times New Roman" w:cs="Times New Roman" w:eastAsia="Times New Roman" w:hAnsi="Times New Roman"/>
          <w:sz w:val="18"/>
          <w:szCs w:val="18"/>
          <w:u w:val="single" w:color="auto"/>
          <w:color w:val="231F20"/>
        </w:rPr>
        <w:t>Withholding Obligations</w:t>
      </w:r>
      <w:r>
        <w:rPr>
          <w:rFonts w:ascii="Times New Roman" w:cs="Times New Roman" w:eastAsia="Times New Roman" w:hAnsi="Times New Roman"/>
          <w:sz w:val="18"/>
          <w:szCs w:val="18"/>
          <w:color w:val="231F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no Common Stock is withheld for such purpose with a value exceeding the maximum amount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1440" w:top="904" w:right="539" w:bottom="1440" w:gutter="0" w:footer="0" w:header="0"/>
        </w:sectPr>
      </w:pPr>
    </w:p>
    <w:bookmarkStart w:id="23" w:name="page24"/>
    <w:bookmarkEnd w:id="23"/>
    <w:p>
      <w:pPr>
        <w:ind w:left="8" w:right="179" w:firstLine="356"/>
        <w:spacing w:after="0" w:line="252" w:lineRule="auto"/>
        <w:tabs>
          <w:tab w:leader="none" w:pos="899"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Adjustments Upon Changes in Stock</w:t>
      </w:r>
      <w:r>
        <w:rPr>
          <w:rFonts w:ascii="Times New Roman" w:cs="Times New Roman" w:eastAsia="Times New Roman" w:hAnsi="Times New Roman"/>
          <w:sz w:val="18"/>
          <w:szCs w:val="18"/>
          <w:color w:val="231F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94" w:lineRule="exact"/>
        <w:rPr>
          <w:rFonts w:ascii="Times New Roman" w:cs="Times New Roman" w:eastAsia="Times New Roman" w:hAnsi="Times New Roman"/>
          <w:sz w:val="18"/>
          <w:szCs w:val="18"/>
          <w:color w:val="231F20"/>
        </w:rPr>
      </w:pPr>
    </w:p>
    <w:p>
      <w:pPr>
        <w:ind w:left="8" w:right="179" w:firstLine="356"/>
        <w:spacing w:after="0" w:line="256" w:lineRule="auto"/>
        <w:tabs>
          <w:tab w:leader="none" w:pos="906"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Effect of Change in Control</w:t>
      </w:r>
      <w:r>
        <w:rPr>
          <w:rFonts w:ascii="Times New Roman" w:cs="Times New Roman" w:eastAsia="Times New Roman" w:hAnsi="Times New Roman"/>
          <w:sz w:val="18"/>
          <w:szCs w:val="18"/>
          <w:color w:val="231F20"/>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187" w:lineRule="exact"/>
        <w:rPr>
          <w:rFonts w:ascii="Times New Roman" w:cs="Times New Roman" w:eastAsia="Times New Roman" w:hAnsi="Times New Roman"/>
          <w:sz w:val="18"/>
          <w:szCs w:val="18"/>
          <w:color w:val="231F20"/>
        </w:rPr>
      </w:pPr>
    </w:p>
    <w:p>
      <w:pPr>
        <w:ind w:left="408" w:hanging="408"/>
        <w:spacing w:after="0"/>
        <w:tabs>
          <w:tab w:leader="none" w:pos="408"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Amendment of the Plan and Awards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8" w:right="15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13.1 </w:t>
      </w:r>
      <w:r>
        <w:rPr>
          <w:rFonts w:ascii="Times New Roman" w:cs="Times New Roman" w:eastAsia="Times New Roman" w:hAnsi="Times New Roman"/>
          <w:sz w:val="18"/>
          <w:szCs w:val="18"/>
          <w:u w:val="single" w:color="auto"/>
          <w:color w:val="231F20"/>
        </w:rPr>
        <w:t>Amendment of Plan</w:t>
      </w:r>
      <w:r>
        <w:rPr>
          <w:rFonts w:ascii="Times New Roman" w:cs="Times New Roman" w:eastAsia="Times New Roman" w:hAnsi="Times New Roman"/>
          <w:sz w:val="18"/>
          <w:szCs w:val="18"/>
          <w:color w:val="231F20"/>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231F20"/>
        </w:rPr>
        <w:t>Section 11</w:t>
      </w:r>
      <w:r>
        <w:rPr>
          <w:rFonts w:ascii="Times New Roman" w:cs="Times New Roman" w:eastAsia="Times New Roman" w:hAnsi="Times New Roman"/>
          <w:sz w:val="18"/>
          <w:szCs w:val="18"/>
          <w:color w:val="231F20"/>
        </w:rPr>
        <w:t xml:space="preserve"> relating to adjustments upon changes in Common Stock and </w:t>
      </w:r>
      <w:r>
        <w:rPr>
          <w:rFonts w:ascii="Times New Roman" w:cs="Times New Roman" w:eastAsia="Times New Roman" w:hAnsi="Times New Roman"/>
          <w:sz w:val="18"/>
          <w:szCs w:val="18"/>
          <w:u w:val="single" w:color="auto"/>
          <w:color w:val="231F20"/>
        </w:rPr>
        <w:t>Section 13.3</w:t>
      </w:r>
      <w:r>
        <w:rPr>
          <w:rFonts w:ascii="Times New Roman" w:cs="Times New Roman" w:eastAsia="Times New Roman" w:hAnsi="Times New Roman"/>
          <w:sz w:val="18"/>
          <w:szCs w:val="18"/>
          <w:color w:val="231F2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83" w:lineRule="exact"/>
        <w:rPr>
          <w:sz w:val="20"/>
          <w:szCs w:val="20"/>
          <w:color w:val="auto"/>
        </w:rPr>
      </w:pPr>
    </w:p>
    <w:p>
      <w:pPr>
        <w:ind w:left="8" w:right="659"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13.2 </w:t>
      </w:r>
      <w:r>
        <w:rPr>
          <w:rFonts w:ascii="Times New Roman" w:cs="Times New Roman" w:eastAsia="Times New Roman" w:hAnsi="Times New Roman"/>
          <w:sz w:val="18"/>
          <w:szCs w:val="18"/>
          <w:u w:val="single" w:color="auto"/>
          <w:color w:val="231F20"/>
        </w:rPr>
        <w:t>Stockholder Approval</w:t>
      </w:r>
      <w:r>
        <w:rPr>
          <w:rFonts w:ascii="Times New Roman" w:cs="Times New Roman" w:eastAsia="Times New Roman" w:hAnsi="Times New Roman"/>
          <w:sz w:val="18"/>
          <w:szCs w:val="18"/>
          <w:color w:val="231F20"/>
        </w:rPr>
        <w:t>. The Board may, in its sole discretion, submit any other amendment to the Plan for stockholder approval.</w:t>
      </w:r>
    </w:p>
    <w:p>
      <w:pPr>
        <w:spacing w:after="0" w:line="162" w:lineRule="exact"/>
        <w:rPr>
          <w:sz w:val="20"/>
          <w:szCs w:val="20"/>
          <w:color w:val="auto"/>
        </w:rPr>
      </w:pPr>
    </w:p>
    <w:p>
      <w:pPr>
        <w:ind w:left="8" w:right="21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13.3 </w:t>
      </w:r>
      <w:r>
        <w:rPr>
          <w:rFonts w:ascii="Times New Roman" w:cs="Times New Roman" w:eastAsia="Times New Roman" w:hAnsi="Times New Roman"/>
          <w:sz w:val="18"/>
          <w:szCs w:val="18"/>
          <w:u w:val="single" w:color="auto"/>
          <w:color w:val="231F20"/>
        </w:rPr>
        <w:t>Contemplated Amendments</w:t>
      </w:r>
      <w:r>
        <w:rPr>
          <w:rFonts w:ascii="Times New Roman" w:cs="Times New Roman" w:eastAsia="Times New Roman" w:hAnsi="Times New Roman"/>
          <w:sz w:val="18"/>
          <w:szCs w:val="18"/>
          <w:color w:val="231F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83" w:lineRule="exact"/>
        <w:rPr>
          <w:sz w:val="20"/>
          <w:szCs w:val="20"/>
          <w:color w:val="auto"/>
        </w:rPr>
      </w:pPr>
    </w:p>
    <w:p>
      <w:pPr>
        <w:jc w:val="both"/>
        <w:ind w:left="8" w:right="43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13.4 </w:t>
      </w:r>
      <w:r>
        <w:rPr>
          <w:rFonts w:ascii="Times New Roman" w:cs="Times New Roman" w:eastAsia="Times New Roman" w:hAnsi="Times New Roman"/>
          <w:sz w:val="18"/>
          <w:szCs w:val="18"/>
          <w:u w:val="single" w:color="auto"/>
          <w:color w:val="231F20"/>
        </w:rPr>
        <w:t>No Impairment of Rights</w:t>
      </w:r>
      <w:r>
        <w:rPr>
          <w:rFonts w:ascii="Times New Roman" w:cs="Times New Roman" w:eastAsia="Times New Roman" w:hAnsi="Times New Roman"/>
          <w:sz w:val="18"/>
          <w:szCs w:val="18"/>
          <w:color w:val="231F20"/>
        </w:rPr>
        <w:t>. Rights under any Award granted before amendment of the Plan shall not be impaired by any amendment of the Plan unless (a) the Company requests the consent of the Participant and (b) the Participant consents in writing.</w:t>
      </w:r>
    </w:p>
    <w:p>
      <w:pPr>
        <w:spacing w:after="0" w:line="176" w:lineRule="exact"/>
        <w:rPr>
          <w:sz w:val="20"/>
          <w:szCs w:val="20"/>
          <w:color w:val="auto"/>
        </w:rPr>
      </w:pPr>
    </w:p>
    <w:p>
      <w:pPr>
        <w:jc w:val="both"/>
        <w:ind w:left="8" w:right="39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13.5 </w:t>
      </w:r>
      <w:r>
        <w:rPr>
          <w:rFonts w:ascii="Times New Roman" w:cs="Times New Roman" w:eastAsia="Times New Roman" w:hAnsi="Times New Roman"/>
          <w:sz w:val="18"/>
          <w:szCs w:val="18"/>
          <w:u w:val="single" w:color="auto"/>
          <w:color w:val="231F20"/>
        </w:rPr>
        <w:t>Amendment of Awards</w:t>
      </w:r>
      <w:r>
        <w:rPr>
          <w:rFonts w:ascii="Times New Roman" w:cs="Times New Roman" w:eastAsia="Times New Roman" w:hAnsi="Times New Roman"/>
          <w:sz w:val="18"/>
          <w:szCs w:val="18"/>
          <w:color w:val="231F20"/>
        </w:rPr>
        <w:t xml:space="preserve">. The Committee at any time, and from time to time, may amend the terms of any one or more Awards;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the Committee may not make any amendment which would otherwise constitute an impairment of the rights of a Participant under any Award unless the Participant consents in writing.</w:t>
      </w:r>
    </w:p>
    <w:p>
      <w:pPr>
        <w:spacing w:after="0" w:line="392"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7"/>
          </w:cols>
          <w:pgMar w:left="1232" w:top="904" w:right="1440" w:bottom="1440" w:gutter="0" w:footer="0" w:header="0"/>
        </w:sectPr>
      </w:pPr>
    </w:p>
    <w:bookmarkStart w:id="24" w:name="page25"/>
    <w:bookmarkEnd w:id="24"/>
    <w:p>
      <w:pPr>
        <w:ind w:left="408" w:hanging="408"/>
        <w:spacing w:after="0"/>
        <w:tabs>
          <w:tab w:leader="none" w:pos="408"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 Provisions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8" w:right="219"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14.1 </w:t>
      </w:r>
      <w:r>
        <w:rPr>
          <w:rFonts w:ascii="Times New Roman" w:cs="Times New Roman" w:eastAsia="Times New Roman" w:hAnsi="Times New Roman"/>
          <w:sz w:val="18"/>
          <w:szCs w:val="18"/>
          <w:u w:val="single" w:color="auto"/>
          <w:color w:val="231F20"/>
        </w:rPr>
        <w:t>Forfeiture Events</w:t>
      </w:r>
      <w:r>
        <w:rPr>
          <w:rFonts w:ascii="Times New Roman" w:cs="Times New Roman" w:eastAsia="Times New Roman" w:hAnsi="Times New Roman"/>
          <w:sz w:val="18"/>
          <w:szCs w:val="18"/>
          <w:color w:val="231F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87" w:lineRule="exact"/>
        <w:rPr>
          <w:sz w:val="20"/>
          <w:szCs w:val="20"/>
          <w:color w:val="auto"/>
        </w:rPr>
      </w:pPr>
    </w:p>
    <w:p>
      <w:pPr>
        <w:ind w:left="8" w:right="439" w:firstLine="359"/>
        <w:spacing w:after="0" w:line="254" w:lineRule="auto"/>
        <w:rPr>
          <w:sz w:val="20"/>
          <w:szCs w:val="20"/>
          <w:color w:val="auto"/>
        </w:rPr>
      </w:pPr>
      <w:r>
        <w:rPr>
          <w:rFonts w:ascii="Times New Roman" w:cs="Times New Roman" w:eastAsia="Times New Roman" w:hAnsi="Times New Roman"/>
          <w:sz w:val="18"/>
          <w:szCs w:val="18"/>
          <w:color w:val="231F20"/>
        </w:rPr>
        <w:t xml:space="preserve">14.2 </w:t>
      </w:r>
      <w:r>
        <w:rPr>
          <w:rFonts w:ascii="Times New Roman" w:cs="Times New Roman" w:eastAsia="Times New Roman" w:hAnsi="Times New Roman"/>
          <w:sz w:val="18"/>
          <w:szCs w:val="18"/>
          <w:u w:val="single" w:color="auto"/>
          <w:color w:val="231F20"/>
        </w:rPr>
        <w:t>Clawback</w:t>
      </w:r>
      <w:r>
        <w:rPr>
          <w:rFonts w:ascii="Times New Roman" w:cs="Times New Roman" w:eastAsia="Times New Roman" w:hAnsi="Times New Roman"/>
          <w:sz w:val="18"/>
          <w:szCs w:val="18"/>
          <w:color w:val="231F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231F20"/>
        </w:rPr>
        <w:t>“Clawback Policy”</w:t>
      </w:r>
      <w:r>
        <w:rPr>
          <w:rFonts w:ascii="Times New Roman" w:cs="Times New Roman" w:eastAsia="Times New Roman" w:hAnsi="Times New Roman"/>
          <w:sz w:val="18"/>
          <w:szCs w:val="18"/>
          <w:color w:val="231F20"/>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92" w:lineRule="exact"/>
        <w:rPr>
          <w:sz w:val="20"/>
          <w:szCs w:val="20"/>
          <w:color w:val="auto"/>
        </w:rPr>
      </w:pPr>
    </w:p>
    <w:p>
      <w:pPr>
        <w:ind w:left="8" w:right="19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14.3 </w:t>
      </w:r>
      <w:r>
        <w:rPr>
          <w:rFonts w:ascii="Times New Roman" w:cs="Times New Roman" w:eastAsia="Times New Roman" w:hAnsi="Times New Roman"/>
          <w:sz w:val="18"/>
          <w:szCs w:val="18"/>
          <w:u w:val="single" w:color="auto"/>
          <w:color w:val="231F20"/>
        </w:rPr>
        <w:t>Other Compensation Arrangements</w:t>
      </w:r>
      <w:r>
        <w:rPr>
          <w:rFonts w:ascii="Times New Roman" w:cs="Times New Roman" w:eastAsia="Times New Roman" w:hAnsi="Times New Roman"/>
          <w:sz w:val="18"/>
          <w:szCs w:val="18"/>
          <w:color w:val="231F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76" w:lineRule="exact"/>
        <w:rPr>
          <w:sz w:val="20"/>
          <w:szCs w:val="20"/>
          <w:color w:val="auto"/>
        </w:rPr>
      </w:pPr>
    </w:p>
    <w:p>
      <w:pPr>
        <w:ind w:left="8" w:right="25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14.4 </w:t>
      </w:r>
      <w:r>
        <w:rPr>
          <w:rFonts w:ascii="Times New Roman" w:cs="Times New Roman" w:eastAsia="Times New Roman" w:hAnsi="Times New Roman"/>
          <w:sz w:val="18"/>
          <w:szCs w:val="18"/>
          <w:u w:val="single" w:color="auto"/>
          <w:color w:val="231F20"/>
        </w:rPr>
        <w:t>Sub-Plans</w:t>
      </w:r>
      <w:r>
        <w:rPr>
          <w:rFonts w:ascii="Times New Roman" w:cs="Times New Roman" w:eastAsia="Times New Roman" w:hAnsi="Times New Roman"/>
          <w:sz w:val="18"/>
          <w:szCs w:val="18"/>
          <w:color w:val="231F20"/>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3" w:lineRule="exact"/>
        <w:rPr>
          <w:sz w:val="20"/>
          <w:szCs w:val="20"/>
          <w:color w:val="auto"/>
        </w:rPr>
      </w:pPr>
    </w:p>
    <w:p>
      <w:pPr>
        <w:ind w:left="8" w:right="279"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14.5 </w:t>
      </w:r>
      <w:r>
        <w:rPr>
          <w:rFonts w:ascii="Times New Roman" w:cs="Times New Roman" w:eastAsia="Times New Roman" w:hAnsi="Times New Roman"/>
          <w:sz w:val="18"/>
          <w:szCs w:val="18"/>
          <w:u w:val="single" w:color="auto"/>
          <w:color w:val="231F20"/>
        </w:rPr>
        <w:t>Deferral of Awards</w:t>
      </w:r>
      <w:r>
        <w:rPr>
          <w:rFonts w:ascii="Times New Roman" w:cs="Times New Roman" w:eastAsia="Times New Roman" w:hAnsi="Times New Roman"/>
          <w:sz w:val="18"/>
          <w:szCs w:val="18"/>
          <w:color w:val="231F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9" w:lineRule="exact"/>
        <w:rPr>
          <w:sz w:val="20"/>
          <w:szCs w:val="20"/>
          <w:color w:val="auto"/>
        </w:rPr>
      </w:pPr>
    </w:p>
    <w:p>
      <w:pPr>
        <w:ind w:left="8" w:right="21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14.6 </w:t>
      </w:r>
      <w:r>
        <w:rPr>
          <w:rFonts w:ascii="Times New Roman" w:cs="Times New Roman" w:eastAsia="Times New Roman" w:hAnsi="Times New Roman"/>
          <w:sz w:val="18"/>
          <w:szCs w:val="18"/>
          <w:u w:val="single" w:color="auto"/>
          <w:color w:val="231F20"/>
        </w:rPr>
        <w:t>Unfunded Plan</w:t>
      </w:r>
      <w:r>
        <w:rPr>
          <w:rFonts w:ascii="Times New Roman" w:cs="Times New Roman" w:eastAsia="Times New Roman" w:hAnsi="Times New Roman"/>
          <w:sz w:val="18"/>
          <w:szCs w:val="18"/>
          <w:color w:val="231F20"/>
        </w:rPr>
        <w:t>. The Plan shall be unfunded. Neither the Company, the Board nor the Committee shall be required to establish any special or separate fund or to segregate any assets to assure the performance of its obligations under the Plan.</w:t>
      </w:r>
    </w:p>
    <w:p>
      <w:pPr>
        <w:spacing w:after="0" w:line="176" w:lineRule="exact"/>
        <w:rPr>
          <w:sz w:val="20"/>
          <w:szCs w:val="20"/>
          <w:color w:val="auto"/>
        </w:rPr>
      </w:pPr>
    </w:p>
    <w:p>
      <w:pPr>
        <w:ind w:left="368"/>
        <w:spacing w:after="0"/>
        <w:tabs>
          <w:tab w:leader="none" w:pos="967" w:val="left"/>
        </w:tabs>
        <w:rPr>
          <w:sz w:val="20"/>
          <w:szCs w:val="20"/>
          <w:color w:val="auto"/>
        </w:rPr>
      </w:pPr>
      <w:r>
        <w:rPr>
          <w:rFonts w:ascii="Times New Roman" w:cs="Times New Roman" w:eastAsia="Times New Roman" w:hAnsi="Times New Roman"/>
          <w:sz w:val="18"/>
          <w:szCs w:val="18"/>
          <w:color w:val="231F20"/>
        </w:rPr>
        <w:t>14.7</w:t>
      </w:r>
      <w:r>
        <w:rPr>
          <w:sz w:val="20"/>
          <w:szCs w:val="20"/>
          <w:color w:val="auto"/>
        </w:rPr>
        <w:tab/>
      </w:r>
      <w:r>
        <w:rPr>
          <w:rFonts w:ascii="Times New Roman" w:cs="Times New Roman" w:eastAsia="Times New Roman" w:hAnsi="Times New Roman"/>
          <w:sz w:val="17"/>
          <w:szCs w:val="17"/>
          <w:u w:val="single" w:color="auto"/>
          <w:color w:val="231F20"/>
        </w:rPr>
        <w:t>Recapitalizations</w:t>
      </w:r>
      <w:r>
        <w:rPr>
          <w:rFonts w:ascii="Times New Roman" w:cs="Times New Roman" w:eastAsia="Times New Roman" w:hAnsi="Times New Roman"/>
          <w:sz w:val="17"/>
          <w:szCs w:val="17"/>
          <w:color w:val="231F20"/>
        </w:rPr>
        <w:t>. Each Award Agreement may contain provisions to reflect the provisions of</w:t>
      </w:r>
      <w:r>
        <w:rPr>
          <w:rFonts w:ascii="Times New Roman" w:cs="Times New Roman" w:eastAsia="Times New Roman" w:hAnsi="Times New Roman"/>
          <w:sz w:val="17"/>
          <w:szCs w:val="17"/>
          <w:u w:val="single" w:color="auto"/>
          <w:color w:val="231F20"/>
        </w:rPr>
        <w:t xml:space="preserve"> Section 11</w:t>
      </w:r>
      <w:r>
        <w:rPr>
          <w:rFonts w:ascii="Times New Roman" w:cs="Times New Roman" w:eastAsia="Times New Roman" w:hAnsi="Times New Roman"/>
          <w:sz w:val="17"/>
          <w:szCs w:val="17"/>
          <w:color w:val="231F20"/>
        </w:rPr>
        <w:t>.</w:t>
      </w:r>
    </w:p>
    <w:p>
      <w:pPr>
        <w:spacing w:after="0" w:line="225" w:lineRule="exact"/>
        <w:rPr>
          <w:sz w:val="20"/>
          <w:szCs w:val="20"/>
          <w:color w:val="auto"/>
        </w:rPr>
      </w:pPr>
    </w:p>
    <w:p>
      <w:pPr>
        <w:ind w:left="8" w:right="23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14.8 </w:t>
      </w:r>
      <w:r>
        <w:rPr>
          <w:rFonts w:ascii="Times New Roman" w:cs="Times New Roman" w:eastAsia="Times New Roman" w:hAnsi="Times New Roman"/>
          <w:sz w:val="18"/>
          <w:szCs w:val="18"/>
          <w:u w:val="single" w:color="auto"/>
          <w:color w:val="231F20"/>
        </w:rPr>
        <w:t>Delivery</w:t>
      </w:r>
      <w:r>
        <w:rPr>
          <w:rFonts w:ascii="Times New Roman" w:cs="Times New Roman" w:eastAsia="Times New Roman" w:hAnsi="Times New Roman"/>
          <w:sz w:val="18"/>
          <w:szCs w:val="18"/>
          <w:color w:val="231F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76" w:lineRule="exact"/>
        <w:rPr>
          <w:sz w:val="20"/>
          <w:szCs w:val="20"/>
          <w:color w:val="auto"/>
        </w:rPr>
      </w:pPr>
    </w:p>
    <w:p>
      <w:pPr>
        <w:ind w:left="8" w:right="359"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14.9 </w:t>
      </w:r>
      <w:r>
        <w:rPr>
          <w:rFonts w:ascii="Times New Roman" w:cs="Times New Roman" w:eastAsia="Times New Roman" w:hAnsi="Times New Roman"/>
          <w:sz w:val="18"/>
          <w:szCs w:val="18"/>
          <w:u w:val="single" w:color="auto"/>
          <w:color w:val="231F20"/>
        </w:rPr>
        <w:t>No Fractional Shares</w:t>
      </w:r>
      <w:r>
        <w:rPr>
          <w:rFonts w:ascii="Times New Roman" w:cs="Times New Roman" w:eastAsia="Times New Roman" w:hAnsi="Times New Roman"/>
          <w:sz w:val="18"/>
          <w:szCs w:val="18"/>
          <w:color w:val="231F20"/>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392" w:lineRule="exact"/>
        <w:rPr>
          <w:sz w:val="20"/>
          <w:szCs w:val="20"/>
          <w:color w:val="auto"/>
        </w:rPr>
      </w:pPr>
    </w:p>
    <w:p>
      <w:pPr>
        <w:jc w:val="center"/>
        <w:ind w:right="-187"/>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7"/>
          </w:cols>
          <w:pgMar w:left="1232" w:top="904" w:right="1440" w:bottom="1440" w:gutter="0" w:footer="0" w:header="0"/>
        </w:sectPr>
      </w:pPr>
    </w:p>
    <w:bookmarkStart w:id="25" w:name="page26"/>
    <w:bookmarkEnd w:id="25"/>
    <w:p>
      <w:pPr>
        <w:jc w:val="both"/>
        <w:ind w:right="459" w:firstLine="359"/>
        <w:spacing w:after="0" w:line="257" w:lineRule="auto"/>
        <w:rPr>
          <w:sz w:val="20"/>
          <w:szCs w:val="20"/>
          <w:color w:val="auto"/>
        </w:rPr>
      </w:pPr>
      <w:r>
        <w:rPr>
          <w:rFonts w:ascii="Times New Roman" w:cs="Times New Roman" w:eastAsia="Times New Roman" w:hAnsi="Times New Roman"/>
          <w:sz w:val="18"/>
          <w:szCs w:val="18"/>
          <w:color w:val="231F20"/>
        </w:rPr>
        <w:t xml:space="preserve">14.10 </w:t>
      </w:r>
      <w:r>
        <w:rPr>
          <w:rFonts w:ascii="Times New Roman" w:cs="Times New Roman" w:eastAsia="Times New Roman" w:hAnsi="Times New Roman"/>
          <w:sz w:val="18"/>
          <w:szCs w:val="18"/>
          <w:u w:val="single" w:color="auto"/>
          <w:color w:val="231F20"/>
        </w:rPr>
        <w:t>Other Provisions</w:t>
      </w:r>
      <w:r>
        <w:rPr>
          <w:rFonts w:ascii="Times New Roman" w:cs="Times New Roman" w:eastAsia="Times New Roman" w:hAnsi="Times New Roman"/>
          <w:sz w:val="18"/>
          <w:szCs w:val="18"/>
          <w:color w:val="231F20"/>
        </w:rPr>
        <w:t>. The Award Agreements authorized under the Plan may contain such other provisions not inconsistent with this Plan, including, without limitation, restrictions upon the exercise of Awards, as the Committee may deem advisable.</w:t>
      </w:r>
    </w:p>
    <w:p>
      <w:pPr>
        <w:spacing w:after="0" w:line="1" w:lineRule="exact"/>
        <w:rPr>
          <w:sz w:val="20"/>
          <w:szCs w:val="20"/>
          <w:color w:val="auto"/>
        </w:rPr>
      </w:pPr>
    </w:p>
    <w:p>
      <w:pPr>
        <w:ind w:right="139" w:firstLine="359"/>
        <w:spacing w:after="0" w:line="251" w:lineRule="auto"/>
        <w:rPr>
          <w:sz w:val="20"/>
          <w:szCs w:val="20"/>
          <w:color w:val="auto"/>
        </w:rPr>
      </w:pPr>
      <w:r>
        <w:rPr>
          <w:rFonts w:ascii="Times New Roman" w:cs="Times New Roman" w:eastAsia="Times New Roman" w:hAnsi="Times New Roman"/>
          <w:sz w:val="18"/>
          <w:szCs w:val="18"/>
          <w:color w:val="231F20"/>
        </w:rPr>
        <w:t xml:space="preserve">14.11 </w:t>
      </w:r>
      <w:r>
        <w:rPr>
          <w:rFonts w:ascii="Times New Roman" w:cs="Times New Roman" w:eastAsia="Times New Roman" w:hAnsi="Times New Roman"/>
          <w:sz w:val="18"/>
          <w:szCs w:val="18"/>
          <w:u w:val="single" w:color="auto"/>
          <w:color w:val="231F20"/>
        </w:rPr>
        <w:t>Section 409A</w:t>
      </w:r>
      <w:r>
        <w:rPr>
          <w:rFonts w:ascii="Times New Roman" w:cs="Times New Roman" w:eastAsia="Times New Roman" w:hAnsi="Times New Roman"/>
          <w:sz w:val="18"/>
          <w:szCs w:val="18"/>
          <w:color w:val="231F20"/>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92" w:lineRule="exact"/>
        <w:rPr>
          <w:sz w:val="20"/>
          <w:szCs w:val="20"/>
          <w:color w:val="auto"/>
        </w:rPr>
      </w:pPr>
    </w:p>
    <w:p>
      <w:pPr>
        <w:ind w:right="159"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14.12 </w:t>
      </w:r>
      <w:r>
        <w:rPr>
          <w:rFonts w:ascii="Times New Roman" w:cs="Times New Roman" w:eastAsia="Times New Roman" w:hAnsi="Times New Roman"/>
          <w:sz w:val="18"/>
          <w:szCs w:val="18"/>
          <w:u w:val="single" w:color="auto"/>
          <w:color w:val="231F20"/>
        </w:rPr>
        <w:t>Disqualifying Dispositions</w:t>
      </w:r>
      <w:r>
        <w:rPr>
          <w:rFonts w:ascii="Times New Roman" w:cs="Times New Roman" w:eastAsia="Times New Roman" w:hAnsi="Times New Roman"/>
          <w:sz w:val="18"/>
          <w:szCs w:val="18"/>
          <w:color w:val="231F20"/>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shall be required to immediately advise the Company in writing as to the occurrence of the sale and the price realized upon the sale of such Common Stock.</w:t>
      </w:r>
    </w:p>
    <w:p>
      <w:pPr>
        <w:spacing w:after="0" w:line="183" w:lineRule="exact"/>
        <w:rPr>
          <w:sz w:val="20"/>
          <w:szCs w:val="20"/>
          <w:color w:val="auto"/>
        </w:rPr>
      </w:pPr>
    </w:p>
    <w:p>
      <w:pPr>
        <w:ind w:right="259"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14.13 </w:t>
      </w:r>
      <w:r>
        <w:rPr>
          <w:rFonts w:ascii="Times New Roman" w:cs="Times New Roman" w:eastAsia="Times New Roman" w:hAnsi="Times New Roman"/>
          <w:sz w:val="18"/>
          <w:szCs w:val="18"/>
          <w:u w:val="single" w:color="auto"/>
          <w:color w:val="231F20"/>
        </w:rPr>
        <w:t>Section 16</w:t>
      </w:r>
      <w:r>
        <w:rPr>
          <w:rFonts w:ascii="Times New Roman" w:cs="Times New Roman" w:eastAsia="Times New Roman" w:hAnsi="Times New Roman"/>
          <w:sz w:val="18"/>
          <w:szCs w:val="18"/>
          <w:color w:val="231F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such provision to the extent possible shall be interpreted and/or deemed amended so as to avoid such conflict.</w:t>
      </w:r>
    </w:p>
    <w:p>
      <w:pPr>
        <w:spacing w:after="0" w:line="187" w:lineRule="exact"/>
        <w:rPr>
          <w:sz w:val="20"/>
          <w:szCs w:val="20"/>
          <w:color w:val="auto"/>
        </w:rPr>
      </w:pPr>
    </w:p>
    <w:p>
      <w:pPr>
        <w:ind w:right="239"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14.14 </w:t>
      </w:r>
      <w:r>
        <w:rPr>
          <w:rFonts w:ascii="Times New Roman" w:cs="Times New Roman" w:eastAsia="Times New Roman" w:hAnsi="Times New Roman"/>
          <w:sz w:val="18"/>
          <w:szCs w:val="18"/>
          <w:u w:val="single" w:color="auto"/>
          <w:color w:val="231F20"/>
        </w:rPr>
        <w:t>Beneficiary Designation</w:t>
      </w:r>
      <w:r>
        <w:rPr>
          <w:rFonts w:ascii="Times New Roman" w:cs="Times New Roman" w:eastAsia="Times New Roman" w:hAnsi="Times New Roman"/>
          <w:sz w:val="18"/>
          <w:szCs w:val="18"/>
          <w:color w:val="231F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0"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231F20"/>
        </w:rPr>
        <w:t>14.15</w:t>
      </w:r>
      <w:r>
        <w:rPr>
          <w:sz w:val="20"/>
          <w:szCs w:val="20"/>
          <w:color w:val="auto"/>
        </w:rPr>
        <w:tab/>
      </w: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The costs of administering the Plan shall be paid by the Company.</w:t>
      </w:r>
    </w:p>
    <w:p>
      <w:pPr>
        <w:spacing w:after="0" w:line="27" w:lineRule="exact"/>
        <w:rPr>
          <w:sz w:val="20"/>
          <w:szCs w:val="20"/>
          <w:color w:val="auto"/>
        </w:rPr>
      </w:pPr>
    </w:p>
    <w:p>
      <w:pPr>
        <w:ind w:right="319"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14.16 </w:t>
      </w:r>
      <w:r>
        <w:rPr>
          <w:rFonts w:ascii="Times New Roman" w:cs="Times New Roman" w:eastAsia="Times New Roman" w:hAnsi="Times New Roman"/>
          <w:sz w:val="18"/>
          <w:szCs w:val="18"/>
          <w:u w:val="single" w:color="auto"/>
          <w:color w:val="231F20"/>
        </w:rPr>
        <w:t>Severability</w:t>
      </w:r>
      <w:r>
        <w:rPr>
          <w:rFonts w:ascii="Times New Roman" w:cs="Times New Roman" w:eastAsia="Times New Roman" w:hAnsi="Times New Roman"/>
          <w:sz w:val="18"/>
          <w:szCs w:val="18"/>
          <w:color w:val="231F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86" w:lineRule="exact"/>
        <w:rPr>
          <w:sz w:val="20"/>
          <w:szCs w:val="20"/>
          <w:color w:val="auto"/>
        </w:rPr>
      </w:pPr>
    </w:p>
    <w:p>
      <w:pPr>
        <w:ind w:right="819"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14.17 </w:t>
      </w:r>
      <w:r>
        <w:rPr>
          <w:rFonts w:ascii="Times New Roman" w:cs="Times New Roman" w:eastAsia="Times New Roman" w:hAnsi="Times New Roman"/>
          <w:sz w:val="18"/>
          <w:szCs w:val="18"/>
          <w:u w:val="single" w:color="auto"/>
          <w:color w:val="231F20"/>
        </w:rPr>
        <w:t>Plan Headings</w:t>
      </w:r>
      <w:r>
        <w:rPr>
          <w:rFonts w:ascii="Times New Roman" w:cs="Times New Roman" w:eastAsia="Times New Roman" w:hAnsi="Times New Roman"/>
          <w:sz w:val="18"/>
          <w:szCs w:val="18"/>
          <w:color w:val="231F20"/>
        </w:rPr>
        <w:t>. The headings in the Plan are for purposes of convenience only and are not intended to define or limit the construction of the provisions hereof.</w:t>
      </w:r>
    </w:p>
    <w:p>
      <w:pPr>
        <w:spacing w:after="0" w:line="162" w:lineRule="exact"/>
        <w:rPr>
          <w:sz w:val="20"/>
          <w:szCs w:val="20"/>
          <w:color w:val="auto"/>
        </w:rPr>
      </w:pPr>
    </w:p>
    <w:p>
      <w:pPr>
        <w:ind w:right="299"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14.18 </w:t>
      </w:r>
      <w:r>
        <w:rPr>
          <w:rFonts w:ascii="Times New Roman" w:cs="Times New Roman" w:eastAsia="Times New Roman" w:hAnsi="Times New Roman"/>
          <w:sz w:val="18"/>
          <w:szCs w:val="18"/>
          <w:u w:val="single" w:color="auto"/>
          <w:color w:val="231F20"/>
        </w:rPr>
        <w:t>Non-Uniform Treatment</w:t>
      </w:r>
      <w:r>
        <w:rPr>
          <w:rFonts w:ascii="Times New Roman" w:cs="Times New Roman" w:eastAsia="Times New Roman" w:hAnsi="Times New Roman"/>
          <w:sz w:val="18"/>
          <w:szCs w:val="18"/>
          <w:color w:val="231F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80" w:lineRule="exact"/>
        <w:rPr>
          <w:sz w:val="20"/>
          <w:szCs w:val="20"/>
          <w:color w:val="auto"/>
        </w:rPr>
      </w:pPr>
    </w:p>
    <w:p>
      <w:pPr>
        <w:ind w:right="259" w:firstLine="356"/>
        <w:spacing w:after="0" w:line="261" w:lineRule="auto"/>
        <w:tabs>
          <w:tab w:leader="none" w:pos="899"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Effective Date of Plan</w:t>
      </w:r>
      <w:r>
        <w:rPr>
          <w:rFonts w:ascii="Times New Roman" w:cs="Times New Roman" w:eastAsia="Times New Roman" w:hAnsi="Times New Roman"/>
          <w:sz w:val="18"/>
          <w:szCs w:val="18"/>
          <w:color w:val="231F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3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19"/>
          </w:cols>
          <w:pgMar w:left="1240" w:top="904" w:right="1440" w:bottom="1440" w:gutter="0" w:footer="0" w:header="0"/>
        </w:sectPr>
      </w:pPr>
    </w:p>
    <w:bookmarkStart w:id="26" w:name="page27"/>
    <w:bookmarkEnd w:id="26"/>
    <w:p>
      <w:pPr>
        <w:ind w:left="-200" w:right="399" w:firstLine="356"/>
        <w:spacing w:after="0" w:line="261" w:lineRule="auto"/>
        <w:tabs>
          <w:tab w:leader="none" w:pos="699"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Termination or Suspension of the Plan</w:t>
      </w:r>
      <w:r>
        <w:rPr>
          <w:rFonts w:ascii="Times New Roman" w:cs="Times New Roman" w:eastAsia="Times New Roman" w:hAnsi="Times New Roman"/>
          <w:sz w:val="18"/>
          <w:szCs w:val="18"/>
          <w:color w:val="231F20"/>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79" w:lineRule="exact"/>
        <w:rPr>
          <w:rFonts w:ascii="Times New Roman" w:cs="Times New Roman" w:eastAsia="Times New Roman" w:hAnsi="Times New Roman"/>
          <w:sz w:val="18"/>
          <w:szCs w:val="18"/>
          <w:color w:val="231F20"/>
        </w:rPr>
      </w:pPr>
    </w:p>
    <w:p>
      <w:pPr>
        <w:ind w:left="-200" w:right="819" w:firstLine="356"/>
        <w:spacing w:after="0" w:line="282" w:lineRule="auto"/>
        <w:tabs>
          <w:tab w:leader="none" w:pos="699"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Choice of Law</w:t>
      </w:r>
      <w:r>
        <w:rPr>
          <w:rFonts w:ascii="Times New Roman" w:cs="Times New Roman" w:eastAsia="Times New Roman" w:hAnsi="Times New Roman"/>
          <w:sz w:val="18"/>
          <w:szCs w:val="18"/>
          <w:color w:val="231F20"/>
        </w:rPr>
        <w:t>. The law of the State of Delaware shall govern all questions concerning the construction, validity and interpretation of this Plan, without regard to such state’s conflict of law rules.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XWELL, Inc. on Form S-8 of our report dated March 31, 2022 with respect to our audits of the consolidated financial statements of XWELL, Inc. (formerly XpresSpa Group, Inc.) as of December 31, 2021 and 2020 and for the years then ended appearing in the Annual Report on Form 10-K of XpresSpa Group, Inc. for the year ended December 31, 2021.</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Friedman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Friedman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0"/>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Pr>
          <w:p>
            <w:pPr>
              <w:spacing w:after="0"/>
              <w:rPr>
                <w:sz w:val="20"/>
                <w:szCs w:val="20"/>
                <w:color w:val="auto"/>
              </w:rPr>
            </w:pP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Registered (1)</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 Share (2)</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1"/>
        </w:trPr>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Stock, $0.01 par</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auto"/>
                <w:w w:val="99"/>
              </w:rPr>
              <w:t>$110.20 per</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48"/>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per share</w:t>
            </w:r>
          </w:p>
        </w:tc>
        <w:tc>
          <w:tcPr>
            <w:tcW w:w="11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$5,100,000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$562.02</w:t>
            </w:r>
          </w:p>
        </w:tc>
      </w:tr>
      <w:tr>
        <w:trPr>
          <w:trHeight w:val="229"/>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5"/>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$5,100,000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$562.02</w:t>
            </w:r>
          </w:p>
        </w:tc>
      </w:tr>
      <w:tr>
        <w:trPr>
          <w:trHeight w:val="229"/>
        </w:trPr>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$562.02</w:t>
            </w:r>
          </w:p>
        </w:tc>
      </w:tr>
    </w:tbl>
    <w:p>
      <w:pPr>
        <w:spacing w:after="0" w:line="189" w:lineRule="exact"/>
        <w:rPr>
          <w:sz w:val="20"/>
          <w:szCs w:val="20"/>
          <w:color w:val="auto"/>
        </w:rPr>
      </w:pPr>
    </w:p>
    <w:p>
      <w:pPr>
        <w:ind w:left="420" w:right="60" w:hanging="412"/>
        <w:spacing w:after="0" w:line="255"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the Registrant’s Common Stock, $0.01 par value per share, that become issuable under the XWELL, Inc. 2020 Equity Incentive Plan, as amended, by reason of any stock dividend, stock split, recapitalization or similar transaction effected without the Registrant’s receipt of consideration which would increase the number of outstanding shares of Common Stock.</w:t>
      </w:r>
    </w:p>
    <w:p>
      <w:pPr>
        <w:spacing w:after="0" w:line="2" w:lineRule="exact"/>
        <w:rPr>
          <w:rFonts w:ascii="Times New Roman" w:cs="Times New Roman" w:eastAsia="Times New Roman" w:hAnsi="Times New Roman"/>
          <w:sz w:val="18"/>
          <w:szCs w:val="18"/>
          <w:color w:val="auto"/>
        </w:rPr>
      </w:pPr>
    </w:p>
    <w:p>
      <w:pPr>
        <w:ind w:left="420" w:hanging="412"/>
        <w:spacing w:after="0" w:line="253"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under the Securities Act, and based upon the average of the high and low prices of the Common Stock, as reported on the Nasdaq Capital Market under the symbol “XSPA” on October 24, 2022, which was $0.68 per share. Upon the opening of the trading market on October 25, 2022, the Registrant’s Common Stock will be listed on the Nasdaq Capital Market under the symbol “XWEL” in connection with the announcement on October 24, 2022 that the Registrant was changing its name to “XWELL, Inc.” pursuant to an amended and restated certificate of incorporation filed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Letter"/>
      <w:start w:val="1"/>
    </w:lvl>
  </w:abstractNum>
  <w:abstractNum w:abstractNumId="1">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31BD7B7"/>
    <w:multiLevelType w:val="hybridMultilevel"/>
    <w:lvl w:ilvl="0">
      <w:lvlJc w:val="left"/>
      <w:lvlText w:val="%1"/>
      <w:numFmt w:val="lowerLetter"/>
      <w:start w:val="1"/>
    </w:lvl>
    <w:lvl w:ilvl="1">
      <w:lvlJc w:val="left"/>
      <w:lvlText w:val="(%2)"/>
      <w:numFmt w:val="decimal"/>
      <w:start w:val="2"/>
    </w:lvl>
  </w:abstractNum>
  <w:abstractNum w:abstractNumId="3">
    <w:nsid w:val="3F2DBA31"/>
    <w:multiLevelType w:val="hybridMultilevel"/>
    <w:lvl w:ilvl="0">
      <w:lvlJc w:val="left"/>
      <w:lvlText w:val="(%1)"/>
      <w:numFmt w:val="lowerLetter"/>
      <w:start w:val="2"/>
    </w:lvl>
    <w:lvl w:ilvl="1">
      <w:lvlJc w:val="left"/>
      <w:lvlText w:val="%2"/>
      <w:numFmt w:val="decimal"/>
      <w:start w:val="1"/>
    </w:lvl>
  </w:abstractNum>
  <w:abstractNum w:abstractNumId="4">
    <w:nsid w:val="7C83E458"/>
    <w:multiLevelType w:val="hybridMultilevel"/>
    <w:lvl w:ilvl="0">
      <w:lvlJc w:val="left"/>
      <w:lvlText w:val="(%1)"/>
      <w:numFmt w:val="lowerLetter"/>
      <w:start w:val="3"/>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5"/>
    </w:lvl>
  </w:abstractNum>
  <w:abstractNum w:abstractNumId="8">
    <w:nsid w:val="628C895D"/>
    <w:multiLevelType w:val="hybridMultilevel"/>
    <w:lvl w:ilvl="0">
      <w:lvlJc w:val="left"/>
      <w:lvlText w:val="%1."/>
      <w:numFmt w:val="decimal"/>
      <w:start w:val="2"/>
    </w:lvl>
    <w:lvl w:ilvl="1">
      <w:lvlJc w:val="left"/>
      <w:lvlText w:val="%2"/>
      <w:numFmt w:val="lowerLetter"/>
      <w:start w:val="1"/>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5"/>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6"/>
    </w:lvl>
  </w:abstractNum>
  <w:abstractNum w:abstractNumId="16">
    <w:nsid w:val="79838CB2"/>
    <w:multiLevelType w:val="hybridMultilevel"/>
    <w:lvl w:ilvl="0">
      <w:lvlJc w:val="left"/>
      <w:lvlText w:val="%1."/>
      <w:numFmt w:val="decimal"/>
      <w:start w:val="7"/>
    </w:lvl>
    <w:lvl w:ilvl="1">
      <w:lvlJc w:val="left"/>
      <w:lvlText w:val="(%2)"/>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1"/>
    </w:lvl>
    <w:lvl w:ilvl="1">
      <w:lvlJc w:val="left"/>
      <w:lvlText w:val="(%2)"/>
      <w:numFmt w:val="lowerRoman"/>
      <w:start w:val="1"/>
    </w:lvl>
  </w:abstractNum>
  <w:abstractNum w:abstractNumId="20">
    <w:nsid w:val="54E49EB4"/>
    <w:multiLevelType w:val="hybridMultilevel"/>
    <w:lvl w:ilvl="0">
      <w:lvlJc w:val="left"/>
      <w:lvlText w:val="(%1)"/>
      <w:numFmt w:val="lowerLetter"/>
      <w:start w:val="3"/>
    </w:lvl>
    <w:lvl w:ilvl="1">
      <w:lvlJc w:val="left"/>
      <w:lvlText w:val="(%2)"/>
      <w:numFmt w:val="lowerRoman"/>
      <w:start w:val="1"/>
    </w:lvl>
  </w:abstractNum>
  <w:abstractNum w:abstractNumId="21">
    <w:nsid w:val="71F32454"/>
    <w:multiLevelType w:val="hybridMultilevel"/>
    <w:lvl w:ilvl="0">
      <w:lvlJc w:val="left"/>
      <w:lvlText w:val="(%1)"/>
      <w:numFmt w:val="lowerRoman"/>
      <w:start w:val="2"/>
    </w:lvl>
    <w:lvl w:ilvl="1">
      <w:lvlJc w:val="left"/>
      <w:lvlText w:val="(%2)"/>
      <w:numFmt w:val="upperLetter"/>
      <w:start w:val="1"/>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8"/>
    </w:lvl>
  </w:abstractNum>
  <w:abstractNum w:abstractNumId="25">
    <w:nsid w:val="3A95F874"/>
    <w:multiLevelType w:val="hybridMultilevel"/>
    <w:lvl w:ilvl="0">
      <w:lvlJc w:val="left"/>
      <w:lvlText w:val="%1."/>
      <w:numFmt w:val="decimal"/>
      <w:start w:val="10"/>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decimal"/>
      <w:start w:val="1"/>
    </w:lvl>
    <w:lvl w:ilvl="1">
      <w:lvlJc w:val="left"/>
      <w:lvlText w:val="%2."/>
      <w:numFmt w:val="decimal"/>
      <w:start w:val="11"/>
    </w:lvl>
  </w:abstractNum>
  <w:abstractNum w:abstractNumId="28">
    <w:nsid w:val="7C3DBD3D"/>
    <w:multiLevelType w:val="hybridMultilevel"/>
    <w:lvl w:ilvl="0">
      <w:lvlJc w:val="left"/>
      <w:lvlText w:val="%1."/>
      <w:numFmt w:val="decimal"/>
      <w:start w:val="13"/>
    </w:lvl>
    <w:lvl w:ilvl="1">
      <w:lvlJc w:val="left"/>
      <w:lvlText w:val="%2"/>
      <w:numFmt w:val="decimal"/>
      <w:start w:val="1"/>
    </w:lvl>
  </w:abstractNum>
  <w:abstractNum w:abstractNumId="29">
    <w:nsid w:val="737B8DDC"/>
    <w:multiLevelType w:val="hybridMultilevel"/>
    <w:lvl w:ilvl="0">
      <w:lvlJc w:val="left"/>
      <w:lvlText w:val="%1."/>
      <w:numFmt w:val="decimal"/>
      <w:start w:val="14"/>
    </w:lvl>
  </w:abstractNum>
  <w:abstractNum w:abstractNumId="30">
    <w:nsid w:val="6CEAF087"/>
    <w:multiLevelType w:val="hybridMultilevel"/>
    <w:lvl w:ilvl="0">
      <w:lvlJc w:val="left"/>
      <w:lvlText w:val="%1."/>
      <w:numFmt w:val="decimal"/>
      <w:start w:val="15"/>
    </w:lvl>
  </w:abstractNum>
  <w:abstractNum w:abstractNumId="31">
    <w:nsid w:val="22221A70"/>
    <w:multiLevelType w:val="hybridMultilevel"/>
    <w:lvl w:ilvl="0">
      <w:lvlJc w:val="left"/>
      <w:lvlText w:val="%1."/>
      <w:numFmt w:val="decimal"/>
      <w:start w:val="16"/>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jpeg"/><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14" Type="http://schemas.openxmlformats.org/officeDocument/2006/relationships/hyperlink" Target="http://www.sec.gov/ix?doc=/Archives/edgar/data/1410428/000155837022004897/xspa-20211231x10k.htm" TargetMode="External"/><Relationship Id="rId15" Type="http://schemas.openxmlformats.org/officeDocument/2006/relationships/hyperlink" Target="http://www.sec.gov/ix?doc=/Archives/edgar/data/1410428/000155837022006643/xspa-20211231x10ka.htm" TargetMode="External"/><Relationship Id="rId16" Type="http://schemas.openxmlformats.org/officeDocument/2006/relationships/hyperlink" Target="http://www.sec.gov/ix?doc=/Archives/edgar/data/1410428/000155837022008969/xspa-20220331x10q.htm" TargetMode="External"/><Relationship Id="rId17" Type="http://schemas.openxmlformats.org/officeDocument/2006/relationships/hyperlink" Target="http://www.sec.gov/ix?doc=/Archives/edgar/data/1410428/000155837022013619/xspa-20220630x10q.htm" TargetMode="External"/><Relationship Id="rId18" Type="http://schemas.openxmlformats.org/officeDocument/2006/relationships/hyperlink" Target="http://www.sec.gov/ix?doc=/Archives/edgar/data/1410428/000110465922063169/tm2216181d1_8k.htm" TargetMode="External"/><Relationship Id="rId19" Type="http://schemas.openxmlformats.org/officeDocument/2006/relationships/hyperlink" Target="http://www.sec.gov/ix?doc=/Archives/edgar/data/1410428/000110465922071022/tm2218408d1_8k.htm" TargetMode="External"/><Relationship Id="rId20" Type="http://schemas.openxmlformats.org/officeDocument/2006/relationships/hyperlink" Target="http://www.sec.gov/ix?doc=/Archives/edgar/data/1410428/000110465922099504/tm2225704d1_8ka.htm" TargetMode="External"/><Relationship Id="rId21" Type="http://schemas.openxmlformats.org/officeDocument/2006/relationships/hyperlink" Target="http://www.sec.gov/ix?doc=/Archives/edgar/data/1410428/000110465922106938/tm2227757d1_8k.htm" TargetMode="External"/><Relationship Id="rId22" Type="http://schemas.openxmlformats.org/officeDocument/2006/relationships/hyperlink" Target="http://www.sec.gov/ix?doc=/Archives/edgar/data/1410428/000110465922110803/tm2228726d1_8k.htm" TargetMode="External"/><Relationship Id="rId23" Type="http://schemas.openxmlformats.org/officeDocument/2006/relationships/hyperlink" Target="http://www.sec.gov/Archives/edgar/data/1410428/000114420416089194/v434658_8a12b.htm" TargetMode="External"/><Relationship Id="rId24" Type="http://schemas.openxmlformats.org/officeDocument/2006/relationships/hyperlink" Target="http://www.sec.gov/Archives/edgar/data/1410428/000114420413024675/v342843_8a12b.htm" TargetMode="External"/><Relationship Id="rId25"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2022-10-25T16:17:23Z</dcterms:created>
  <dcterms:modified xsi:type="dcterms:W3CDTF">2022-10-25T16:17:23Z</dcterms:modified>
</cp:coreProperties>
</file>