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92911N104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Andrew Kennedy Lang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jc w:val="center"/>
        <w:ind w:right="-19"/>
        <w:spacing w:after="0" w:line="186" w:lineRule="auto"/>
        <w:rPr>
          <w:sz w:val="20"/>
          <w:szCs w:val="20"/>
          <w:color w:val="auto"/>
        </w:rPr>
      </w:pPr>
      <w:r>
        <w:rPr>
          <w:rFonts w:ascii="Arial" w:cs="Arial" w:eastAsia="Arial" w:hAnsi="Arial"/>
          <w:sz w:val="18"/>
          <w:szCs w:val="18"/>
          <w:b w:val="1"/>
          <w:bCs w:val="1"/>
          <w:color w:val="auto"/>
        </w:rPr>
        <w:t>780 Third Avenue, 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NY 10017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(212) 309-7549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Kenneth R. Koch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Jeffrey P. Schultz</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Chrysler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(212) 935-3000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Persons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13,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8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5"/>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1</w:t>
            </w:r>
          </w:p>
        </w:tc>
        <w:tc>
          <w:tcPr>
            <w:tcW w:w="100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vMerge w:val="continue"/>
          </w:tcPr>
          <w:p>
            <w:pPr>
              <w:spacing w:after="0"/>
              <w:rPr>
                <w:sz w:val="20"/>
                <w:szCs w:val="20"/>
                <w:color w:val="auto"/>
              </w:rPr>
            </w:pPr>
          </w:p>
        </w:tc>
        <w:tc>
          <w:tcPr>
            <w:tcW w:w="100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Andrew Kennedy Lang</w:t>
            </w: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2</w:t>
            </w:r>
          </w:p>
        </w:tc>
        <w:tc>
          <w:tcPr>
            <w:tcW w:w="100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Borders>
              <w:right w:val="single" w:sz="8" w:color="auto"/>
            </w:tcBorders>
          </w:tcPr>
          <w:p>
            <w:pPr>
              <w:ind w:left="9000"/>
              <w:spacing w:after="0"/>
              <w:rPr>
                <w:sz w:val="20"/>
                <w:szCs w:val="20"/>
                <w:color w:val="auto"/>
              </w:rPr>
            </w:pPr>
            <w:r>
              <w:rPr>
                <w:rFonts w:ascii="Arial" w:cs="Arial" w:eastAsia="Arial" w:hAnsi="Arial"/>
                <w:sz w:val="18"/>
                <w:szCs w:val="18"/>
                <w:color w:val="auto"/>
                <w:w w:val="80"/>
              </w:rPr>
              <w:t>(a) £</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tcPr>
          <w:p>
            <w:pPr>
              <w:ind w:left="8980"/>
              <w:spacing w:after="0"/>
              <w:rPr>
                <w:sz w:val="20"/>
                <w:szCs w:val="20"/>
                <w:color w:val="auto"/>
              </w:rPr>
            </w:pPr>
            <w:r>
              <w:rPr>
                <w:rFonts w:ascii="Arial" w:cs="Arial" w:eastAsia="Arial" w:hAnsi="Arial"/>
                <w:sz w:val="18"/>
                <w:szCs w:val="18"/>
                <w:color w:val="auto"/>
                <w:w w:val="86"/>
              </w:rPr>
              <w:t>(b) £</w:t>
            </w:r>
          </w:p>
        </w:tc>
        <w:tc>
          <w:tcPr>
            <w:tcW w:w="0" w:type="dxa"/>
            <w:vAlign w:val="bottom"/>
          </w:tcPr>
          <w:p>
            <w:pPr>
              <w:spacing w:after="0"/>
              <w:rPr>
                <w:sz w:val="1"/>
                <w:szCs w:val="1"/>
                <w:color w:val="auto"/>
              </w:rPr>
            </w:pPr>
          </w:p>
        </w:tc>
      </w:tr>
      <w:tr>
        <w:trPr>
          <w:trHeight w:val="210"/>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10020" w:type="dxa"/>
            <w:vAlign w:val="bottom"/>
            <w:tcBorders>
              <w:bottom w:val="single" w:sz="8" w:color="auto"/>
              <w:right w:val="single" w:sz="8" w:color="auto"/>
            </w:tcBorders>
            <w:gridSpan w:val="2"/>
            <w:shd w:val="clear" w:color="auto" w:fill="F2F2F2"/>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4</w:t>
            </w:r>
          </w:p>
        </w:tc>
        <w:tc>
          <w:tcPr>
            <w:tcW w:w="100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w:t>
            </w: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100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CHECK BOX IF DISCLOSURE OF LEGAL PROCEEDING IS REQUIRED PURSUANT TO ITEMS 2(d) or 2(e) £</w:t>
            </w: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100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9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4"/>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NUMBER</w:t>
            </w:r>
          </w:p>
        </w:tc>
        <w:tc>
          <w:tcPr>
            <w:tcW w:w="680" w:type="dxa"/>
            <w:vAlign w:val="bottom"/>
            <w:tcBorders>
              <w:right w:val="single" w:sz="8" w:color="auto"/>
            </w:tcBorders>
          </w:tcPr>
          <w:p>
            <w:pPr>
              <w:spacing w:after="0"/>
              <w:rPr>
                <w:sz w:val="24"/>
                <w:szCs w:val="24"/>
                <w:color w:val="auto"/>
              </w:rPr>
            </w:pPr>
          </w:p>
        </w:tc>
        <w:tc>
          <w:tcPr>
            <w:tcW w:w="9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3,745,141*</w:t>
            </w:r>
          </w:p>
        </w:tc>
        <w:tc>
          <w:tcPr>
            <w:tcW w:w="0" w:type="dxa"/>
            <w:vAlign w:val="bottom"/>
          </w:tcPr>
          <w:p>
            <w:pPr>
              <w:spacing w:after="0"/>
              <w:rPr>
                <w:sz w:val="1"/>
                <w:szCs w:val="1"/>
                <w:color w:val="auto"/>
              </w:rPr>
            </w:pPr>
          </w:p>
        </w:tc>
      </w:tr>
      <w:tr>
        <w:trPr>
          <w:trHeight w:val="217"/>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OF SHARES</w:t>
            </w:r>
          </w:p>
        </w:tc>
        <w:tc>
          <w:tcPr>
            <w:tcW w:w="680" w:type="dxa"/>
            <w:vAlign w:val="bottom"/>
            <w:tcBorders>
              <w:bottom w:val="single" w:sz="8" w:color="auto"/>
              <w:right w:val="single" w:sz="8" w:color="auto"/>
            </w:tcBorders>
          </w:tcPr>
          <w:p>
            <w:pPr>
              <w:spacing w:after="0"/>
              <w:rPr>
                <w:sz w:val="18"/>
                <w:szCs w:val="18"/>
                <w:color w:val="auto"/>
              </w:rPr>
            </w:pPr>
          </w:p>
        </w:tc>
        <w:tc>
          <w:tcPr>
            <w:tcW w:w="9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8</w:t>
            </w:r>
          </w:p>
        </w:tc>
        <w:tc>
          <w:tcPr>
            <w:tcW w:w="93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3"/>
        </w:trPr>
        <w:tc>
          <w:tcPr>
            <w:tcW w:w="14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79"/>
              </w:rPr>
              <w:t>9</w:t>
            </w:r>
          </w:p>
        </w:tc>
        <w:tc>
          <w:tcPr>
            <w:tcW w:w="93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tcPr>
          <w:p>
            <w:pPr>
              <w:spacing w:after="0"/>
              <w:rPr>
                <w:sz w:val="20"/>
                <w:szCs w:val="20"/>
                <w:color w:val="auto"/>
              </w:rPr>
            </w:pPr>
          </w:p>
        </w:tc>
        <w:tc>
          <w:tcPr>
            <w:tcW w:w="93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7,641,932*</w:t>
            </w:r>
          </w:p>
        </w:tc>
        <w:tc>
          <w:tcPr>
            <w:tcW w:w="0" w:type="dxa"/>
            <w:vAlign w:val="bottom"/>
          </w:tcPr>
          <w:p>
            <w:pPr>
              <w:spacing w:after="0"/>
              <w:rPr>
                <w:sz w:val="1"/>
                <w:szCs w:val="1"/>
                <w:color w:val="auto"/>
              </w:rPr>
            </w:pPr>
          </w:p>
        </w:tc>
      </w:tr>
      <w:tr>
        <w:trPr>
          <w:trHeight w:val="229"/>
        </w:trPr>
        <w:tc>
          <w:tcPr>
            <w:tcW w:w="1400" w:type="dxa"/>
            <w:vAlign w:val="bottom"/>
            <w:tcBorders>
              <w:left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93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10</w:t>
            </w:r>
          </w:p>
        </w:tc>
        <w:tc>
          <w:tcPr>
            <w:tcW w:w="9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100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AGGREGATE AMOUNT BENEFICIALLY OWNED BY EACH PERSON</w:t>
            </w:r>
          </w:p>
        </w:tc>
        <w:tc>
          <w:tcPr>
            <w:tcW w:w="0" w:type="dxa"/>
            <w:vAlign w:val="bottom"/>
          </w:tcPr>
          <w:p>
            <w:pPr>
              <w:spacing w:after="0"/>
              <w:rPr>
                <w:sz w:val="1"/>
                <w:szCs w:val="1"/>
                <w:color w:val="auto"/>
              </w:rPr>
            </w:pPr>
          </w:p>
        </w:tc>
      </w:tr>
      <w:tr>
        <w:trPr>
          <w:trHeight w:val="414"/>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7,641,932*</w:t>
            </w:r>
          </w:p>
        </w:tc>
        <w:tc>
          <w:tcPr>
            <w:tcW w:w="0" w:type="dxa"/>
            <w:vAlign w:val="bottom"/>
          </w:tcPr>
          <w:p>
            <w:pPr>
              <w:spacing w:after="0"/>
              <w:rPr>
                <w:sz w:val="1"/>
                <w:szCs w:val="1"/>
                <w:color w:val="auto"/>
              </w:rPr>
            </w:pPr>
          </w:p>
        </w:tc>
      </w:tr>
      <w:tr>
        <w:trPr>
          <w:trHeight w:val="210"/>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100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CHECK BOX IF THE AGGREGATE AMOUNT IN ROW (11) EXCLUDES CERTAIN SHARES* £</w:t>
            </w:r>
          </w:p>
        </w:tc>
        <w:tc>
          <w:tcPr>
            <w:tcW w:w="0" w:type="dxa"/>
            <w:vAlign w:val="bottom"/>
          </w:tcPr>
          <w:p>
            <w:pPr>
              <w:spacing w:after="0"/>
              <w:rPr>
                <w:sz w:val="1"/>
                <w:szCs w:val="1"/>
                <w:color w:val="auto"/>
              </w:rPr>
            </w:pPr>
          </w:p>
        </w:tc>
      </w:tr>
      <w:tr>
        <w:trPr>
          <w:trHeight w:val="228"/>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100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PERCENT OF CLASS REPRESENTED BY AMOUNT IN ROW (11) (see Item 5)</w:t>
            </w:r>
          </w:p>
        </w:tc>
        <w:tc>
          <w:tcPr>
            <w:tcW w:w="0" w:type="dxa"/>
            <w:vAlign w:val="bottom"/>
          </w:tcPr>
          <w:p>
            <w:pPr>
              <w:spacing w:after="0"/>
              <w:rPr>
                <w:sz w:val="1"/>
                <w:szCs w:val="1"/>
                <w:color w:val="auto"/>
              </w:rPr>
            </w:pPr>
          </w:p>
        </w:tc>
      </w:tr>
      <w:tr>
        <w:trPr>
          <w:trHeight w:val="414"/>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9.06%**</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100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4"/>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 w:firstLine="8"/>
        <w:spacing w:after="0" w:line="22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Includes an aggregate of (i) 933,971 Series 1 Warrants and 1,118,448 Series 2 Warrants, each exercisable into one share of Vringo, Inc. (the “Issuer”) common stock, par value $0.01 per share (the “Common Stock”), (ii) 2,604 unvested restricted stock units which will vest within the next 60 days, and (iii) options to purchase up to an aggregate of 6,944 shares of Common Stock which are exercisable within the next 60 days. Of these securities, 2,931,752 shares of Common Stock, 368,533 Series 1 Warrants and 596,506 Series 2 Warrants are held by Innovation Spring LLC, a Delaware limited liability company (“Innovation Spring”).</w:t>
      </w:r>
    </w:p>
    <w:p>
      <w:pPr>
        <w:spacing w:after="0" w:line="242" w:lineRule="exact"/>
        <w:rPr>
          <w:sz w:val="20"/>
          <w:szCs w:val="20"/>
          <w:color w:val="auto"/>
        </w:rPr>
      </w:pPr>
    </w:p>
    <w:p>
      <w:pPr>
        <w:ind w:right="380" w:firstLine="8"/>
        <w:spacing w:after="0" w:line="194" w:lineRule="auto"/>
        <w:tabs>
          <w:tab w:leader="none" w:pos="195"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The calculation is based on 82,294,610 shares of Common Stock of Vringo, Inc. (the “Issuer”) issued and outstanding as of February 6, 2013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320" w:firstLine="495"/>
        <w:spacing w:after="0" w:line="269" w:lineRule="auto"/>
        <w:rPr>
          <w:sz w:val="20"/>
          <w:szCs w:val="20"/>
          <w:color w:val="auto"/>
        </w:rPr>
      </w:pPr>
      <w:r>
        <w:rPr>
          <w:rFonts w:ascii="Arial" w:cs="Arial" w:eastAsia="Arial" w:hAnsi="Arial"/>
          <w:sz w:val="18"/>
          <w:szCs w:val="18"/>
          <w:color w:val="auto"/>
        </w:rPr>
        <w:t>This Amendment No. 1 (this “Amendment”) to Schedule 13D (the “Schedule 13D”) relates to the common stock, par value $0.01 per share (the “Common Stock”), of Vringo, Inc., a Delaware corporation (the “Issuer”). The address of the principal executive office of the Issuer is 780 Third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1420" w:right="180" w:hanging="863"/>
        <w:spacing w:after="0" w:line="259" w:lineRule="auto"/>
        <w:tabs>
          <w:tab w:leader="none" w:pos="1400" w:val="left"/>
        </w:tabs>
        <w:rPr>
          <w:sz w:val="20"/>
          <w:szCs w:val="20"/>
          <w:color w:val="auto"/>
        </w:rPr>
      </w:pPr>
      <w:r>
        <w:rPr>
          <w:rFonts w:ascii="Arial" w:cs="Arial" w:eastAsia="Arial" w:hAnsi="Arial"/>
          <w:sz w:val="18"/>
          <w:szCs w:val="18"/>
          <w:color w:val="auto"/>
        </w:rPr>
        <w:t>(a), (f)</w:t>
      </w:r>
      <w:r>
        <w:rPr>
          <w:sz w:val="20"/>
          <w:szCs w:val="20"/>
          <w:color w:val="auto"/>
        </w:rPr>
        <w:tab/>
      </w:r>
      <w:r>
        <w:rPr>
          <w:rFonts w:ascii="Arial" w:cs="Arial" w:eastAsia="Arial" w:hAnsi="Arial"/>
          <w:sz w:val="18"/>
          <w:szCs w:val="18"/>
          <w:color w:val="auto"/>
        </w:rPr>
        <w:t>This Amendment is being filed by Andrew Kennedy Lang (the “Reporting Person”), a citizen of the United States of America. Of the securities covered by this Amendment and beneficially owned by the Reporting Person, 2,931,752 shares of Common Stock, 368,533 Series 1 Warrants and 596,506 Series 2 Warrants are held by Innovation Spring LLC, a Delaware limited liability company (“Innovation Spring”).</w:t>
      </w:r>
    </w:p>
    <w:p>
      <w:pPr>
        <w:spacing w:after="0" w:line="167" w:lineRule="exact"/>
        <w:rPr>
          <w:sz w:val="20"/>
          <w:szCs w:val="20"/>
          <w:color w:val="auto"/>
        </w:rPr>
      </w:pPr>
    </w:p>
    <w:p>
      <w:pPr>
        <w:ind w:left="1420" w:hanging="872"/>
        <w:spacing w:after="0"/>
        <w:tabs>
          <w:tab w:leader="none" w:pos="142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the Reporting Person is c/o Vringo, Inc. 780 Third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w:t>
      </w:r>
    </w:p>
    <w:p>
      <w:pPr>
        <w:spacing w:after="0" w:line="78" w:lineRule="exact"/>
        <w:rPr>
          <w:rFonts w:ascii="Arial" w:cs="Arial" w:eastAsia="Arial" w:hAnsi="Arial"/>
          <w:sz w:val="36"/>
          <w:szCs w:val="36"/>
          <w:color w:val="auto"/>
          <w:vertAlign w:val="superscript"/>
        </w:rPr>
      </w:pPr>
    </w:p>
    <w:p>
      <w:pPr>
        <w:ind w:left="1420" w:right="460" w:hanging="872"/>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of Reporting Person is serving as the Chief Technology Officer and the President of the Issuer. The Reporting Person is also a Director of the Issuer.</w:t>
      </w:r>
    </w:p>
    <w:p>
      <w:pPr>
        <w:spacing w:after="0" w:line="170" w:lineRule="exact"/>
        <w:rPr>
          <w:rFonts w:ascii="Arial" w:cs="Arial" w:eastAsia="Arial" w:hAnsi="Arial"/>
          <w:sz w:val="18"/>
          <w:szCs w:val="18"/>
          <w:color w:val="auto"/>
        </w:rPr>
      </w:pPr>
    </w:p>
    <w:p>
      <w:pPr>
        <w:ind w:left="1420" w:right="300" w:hanging="872"/>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last five years, the Reporting Person has not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1420" w:hanging="872"/>
        <w:spacing w:after="0" w:line="312" w:lineRule="auto"/>
        <w:tabs>
          <w:tab w:leader="none" w:pos="1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last five years, the Reporting Person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right="200" w:firstLine="495"/>
        <w:spacing w:after="0" w:line="277" w:lineRule="auto"/>
        <w:rPr>
          <w:sz w:val="20"/>
          <w:szCs w:val="20"/>
          <w:color w:val="auto"/>
        </w:rPr>
      </w:pPr>
      <w:r>
        <w:rPr>
          <w:rFonts w:ascii="Arial" w:cs="Arial" w:eastAsia="Arial" w:hAnsi="Arial"/>
          <w:sz w:val="18"/>
          <w:szCs w:val="18"/>
          <w:color w:val="auto"/>
        </w:rPr>
        <w:t>As described below, the securities to which this Amendment relates were awarded to the Reporting Person as compensation for his employment with the Issuer and thus no funds were used for such purpose.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right="180" w:firstLine="495"/>
        <w:spacing w:after="0" w:line="297" w:lineRule="auto"/>
        <w:rPr>
          <w:sz w:val="20"/>
          <w:szCs w:val="20"/>
          <w:color w:val="auto"/>
        </w:rPr>
      </w:pPr>
      <w:r>
        <w:rPr>
          <w:rFonts w:ascii="Arial" w:cs="Arial" w:eastAsia="Arial" w:hAnsi="Arial"/>
          <w:sz w:val="16"/>
          <w:szCs w:val="16"/>
          <w:color w:val="auto"/>
        </w:rPr>
        <w:t>The purpose of the filing of this Amendment is to report changes in the beneficial ownership of the Reporting Person since the original filing of the Schedule 13D, following the consummation of the merger between the Issuer and Innovate/Protect, Inc., which are the result of disposition of certain securities pursuant to a Rule 10b5-1 trading plan adopted by the Reporting Person on August 31, 2012 and issuances of options and restricted stock units by the Issuer to the Reporting Person as compensation for his services as the Issuer’s Chief Technology Officer and President, most recently on February 11, 2013, as reported by the Reporting Person on various Forms 4 filed with the SEC between July 30, 2012 and February 13,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60" w:firstLine="503"/>
        <w:spacing w:after="0" w:line="308"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Reporting Person beneficially owns 9.06% of the issued and outstanding shares of Common Stock of the Issuer, based on 82,294,610 shares of Common Stock of the Issuer issued and outstanding as of February 6, 2013 based on information provided by the Issuer.</w:t>
      </w:r>
    </w:p>
    <w:p>
      <w:pPr>
        <w:spacing w:after="0" w:line="146" w:lineRule="exact"/>
        <w:rPr>
          <w:rFonts w:ascii="Arial" w:cs="Arial" w:eastAsia="Arial" w:hAnsi="Arial"/>
          <w:sz w:val="17"/>
          <w:szCs w:val="17"/>
          <w:color w:val="auto"/>
        </w:rPr>
      </w:pPr>
    </w:p>
    <w:p>
      <w:pPr>
        <w:ind w:right="20" w:firstLine="503"/>
        <w:spacing w:after="0" w:line="276" w:lineRule="auto"/>
        <w:tabs>
          <w:tab w:leader="none" w:pos="75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Reporting Person, as the manager of Innovation Spring, has the sole power to dispose or direct the disposition of 7,641,932 shares of Common Stock beneficially owned by the Reporting Person, including with respect to 2,931,752 shares of Common Stock, 368,533 Series 1 Warrants and 596,506 Series 2 Warrants that are held by Innovation Spring. Innovation Spring Trust is the sole member and the 100% owner of Innovation Spring. Andrew C. Lang, the father of the Reporting Person, has the sole power to vote or direct the vote over the 3,896,791 shares held by Innovation Spring. The Reporting Person does not have power to vote or direct the vote over the 3,896,791 shares held by Innovation Spring.</w:t>
      </w:r>
    </w:p>
    <w:p>
      <w:pPr>
        <w:spacing w:after="0" w:line="172" w:lineRule="exact"/>
        <w:rPr>
          <w:rFonts w:ascii="Arial" w:cs="Arial" w:eastAsia="Arial" w:hAnsi="Arial"/>
          <w:sz w:val="17"/>
          <w:szCs w:val="17"/>
          <w:color w:val="auto"/>
        </w:rPr>
      </w:pPr>
    </w:p>
    <w:p>
      <w:pPr>
        <w:ind w:right="140" w:firstLine="503"/>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described in Items 3 and 4 of this Amendment, there have been no transactions effected with the respect to the shares of Common Stock held by the Reporting Person within the past 60 days of the date hereof by the Reporting Person.</w:t>
      </w:r>
    </w:p>
    <w:p>
      <w:pPr>
        <w:spacing w:after="0" w:line="170" w:lineRule="exact"/>
        <w:rPr>
          <w:rFonts w:ascii="Arial" w:cs="Arial" w:eastAsia="Arial" w:hAnsi="Arial"/>
          <w:sz w:val="18"/>
          <w:szCs w:val="18"/>
          <w:color w:val="auto"/>
        </w:rPr>
      </w:pPr>
    </w:p>
    <w:p>
      <w:pPr>
        <w:ind w:right="660" w:firstLine="503"/>
        <w:spacing w:after="0" w:line="277" w:lineRule="auto"/>
        <w:tabs>
          <w:tab w:leader="none" w:pos="7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has the sole right to receive, or power to direct the receipt of dividends from, or the proceeds of sale of, the shares of Common Stock beneficially owned by him.</w:t>
      </w:r>
    </w:p>
    <w:p>
      <w:pPr>
        <w:spacing w:after="0" w:line="170" w:lineRule="exact"/>
        <w:rPr>
          <w:rFonts w:ascii="Arial" w:cs="Arial" w:eastAsia="Arial" w:hAnsi="Arial"/>
          <w:sz w:val="18"/>
          <w:szCs w:val="18"/>
          <w:color w:val="auto"/>
        </w:rPr>
      </w:pPr>
    </w:p>
    <w:p>
      <w:pPr>
        <w:ind w:left="740" w:hanging="23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 except as described above under Item 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19, 2013</w:t>
      </w:r>
    </w:p>
    <w:p>
      <w:pPr>
        <w:spacing w:after="0" w:line="225" w:lineRule="exact"/>
        <w:rPr>
          <w:sz w:val="20"/>
          <w:szCs w:val="20"/>
          <w:color w:val="auto"/>
        </w:rPr>
      </w:pPr>
    </w:p>
    <w:p>
      <w:pPr>
        <w:jc w:val="right"/>
        <w:ind w:right="2640"/>
        <w:spacing w:after="0"/>
        <w:tabs>
          <w:tab w:leader="none" w:pos="4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Kennedy Lang</w:t>
      </w:r>
    </w:p>
    <w:p>
      <w:pPr>
        <w:spacing w:after="0" w:line="23" w:lineRule="exact"/>
        <w:rPr>
          <w:sz w:val="20"/>
          <w:szCs w:val="20"/>
          <w:color w:val="auto"/>
        </w:rPr>
      </w:pPr>
    </w:p>
    <w:p>
      <w:pPr>
        <w:jc w:val="right"/>
        <w:ind w:right="2640"/>
        <w:spacing w:after="0"/>
        <w:rPr>
          <w:sz w:val="20"/>
          <w:szCs w:val="20"/>
          <w:color w:val="auto"/>
        </w:rPr>
      </w:pPr>
      <w:r>
        <w:rPr>
          <w:rFonts w:ascii="Arial" w:cs="Arial" w:eastAsia="Arial" w:hAnsi="Arial"/>
          <w:sz w:val="18"/>
          <w:szCs w:val="18"/>
          <w:color w:val="auto"/>
        </w:rPr>
        <w:t>Andrew Kennedy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60"/>
      </w:cols>
      <w:pgMar w:left="240" w:top="90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2019-12-07T16:47:24Z</dcterms:created>
  <dcterms:modified xsi:type="dcterms:W3CDTF">2019-12-07T16:47:24Z</dcterms:modified>
</cp:coreProperties>
</file>