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2010</w:t>
      </w:r>
    </w:p>
    <w:p>
      <w:pPr>
        <w:spacing w:after="0" w:line="197"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1" w:lineRule="exact"/>
        <w:rPr>
          <w:sz w:val="24"/>
          <w:szCs w:val="24"/>
          <w:color w:val="auto"/>
        </w:rPr>
      </w:pPr>
    </w:p>
    <w:p>
      <w:pPr>
        <w:ind w:left="392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001-34785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VRINGO,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5160" w:type="dxa"/>
            <w:vAlign w:val="bottom"/>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149"/>
        </w:trPr>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5160" w:type="dxa"/>
            <w:vAlign w:val="bottom"/>
          </w:tcPr>
          <w:p>
            <w:pPr>
              <w:jc w:val="center"/>
              <w:ind w:left="4024"/>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5160" w:type="dxa"/>
            <w:vAlign w:val="bottom"/>
          </w:tcPr>
          <w:p>
            <w:pPr>
              <w:jc w:val="center"/>
              <w:ind w:left="402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16"/>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18 East 16th Street, 7th Floor</w:t>
            </w:r>
          </w:p>
        </w:tc>
        <w:tc>
          <w:tcPr>
            <w:tcW w:w="5160" w:type="dxa"/>
            <w:vAlign w:val="bottom"/>
          </w:tcPr>
          <w:p>
            <w:pPr>
              <w:spacing w:after="0"/>
              <w:rPr>
                <w:sz w:val="24"/>
                <w:szCs w:val="24"/>
                <w:color w:val="auto"/>
              </w:rPr>
            </w:pPr>
          </w:p>
        </w:tc>
      </w:tr>
      <w:tr>
        <w:trPr>
          <w:trHeight w:val="229"/>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New York, New York</w:t>
            </w:r>
          </w:p>
        </w:tc>
        <w:tc>
          <w:tcPr>
            <w:tcW w:w="516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10003</w:t>
            </w:r>
          </w:p>
        </w:tc>
      </w:tr>
      <w:tr>
        <w:trPr>
          <w:trHeight w:val="178"/>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5160" w:type="dxa"/>
            <w:vAlign w:val="bottom"/>
          </w:tcPr>
          <w:p>
            <w:pPr>
              <w:jc w:val="center"/>
              <w:ind w:left="4024"/>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48"/>
        </w:trPr>
        <w:tc>
          <w:tcPr>
            <w:tcW w:w="2340" w:type="dxa"/>
            <w:vAlign w:val="bottom"/>
          </w:tcPr>
          <w:p>
            <w:pPr>
              <w:spacing w:after="0"/>
              <w:rPr>
                <w:sz w:val="24"/>
                <w:szCs w:val="24"/>
                <w:color w:val="auto"/>
              </w:rPr>
            </w:pPr>
          </w:p>
        </w:tc>
        <w:tc>
          <w:tcPr>
            <w:tcW w:w="5160" w:type="dxa"/>
            <w:vAlign w:val="bottom"/>
          </w:tcPr>
          <w:p>
            <w:pPr>
              <w:jc w:val="right"/>
              <w:ind w:right="2884"/>
              <w:spacing w:after="0"/>
              <w:rPr>
                <w:sz w:val="20"/>
                <w:szCs w:val="20"/>
                <w:color w:val="auto"/>
              </w:rPr>
            </w:pPr>
            <w:r>
              <w:rPr>
                <w:rFonts w:ascii="Times New Roman" w:cs="Times New Roman" w:eastAsia="Times New Roman" w:hAnsi="Times New Roman"/>
                <w:sz w:val="18"/>
                <w:szCs w:val="18"/>
                <w:b w:val="1"/>
                <w:bCs w:val="1"/>
                <w:color w:val="auto"/>
              </w:rPr>
              <w:t>(646) 525-4319</w:t>
            </w:r>
          </w:p>
        </w:tc>
      </w:tr>
      <w:tr>
        <w:trPr>
          <w:trHeight w:val="178"/>
        </w:trPr>
        <w:tc>
          <w:tcPr>
            <w:tcW w:w="2340" w:type="dxa"/>
            <w:vAlign w:val="bottom"/>
          </w:tcPr>
          <w:p>
            <w:pPr>
              <w:spacing w:after="0"/>
              <w:rPr>
                <w:sz w:val="15"/>
                <w:szCs w:val="15"/>
                <w:color w:val="auto"/>
              </w:rPr>
            </w:pPr>
          </w:p>
        </w:tc>
        <w:tc>
          <w:tcPr>
            <w:tcW w:w="5160" w:type="dxa"/>
            <w:vAlign w:val="bottom"/>
          </w:tcPr>
          <w:p>
            <w:pPr>
              <w:jc w:val="center"/>
              <w:ind w:right="1784"/>
              <w:spacing w:after="0"/>
              <w:rPr>
                <w:sz w:val="20"/>
                <w:szCs w:val="20"/>
                <w:color w:val="auto"/>
              </w:rPr>
            </w:pPr>
            <w:r>
              <w:rPr>
                <w:rFonts w:ascii="Times New Roman" w:cs="Times New Roman" w:eastAsia="Times New Roman" w:hAnsi="Times New Roman"/>
                <w:sz w:val="14"/>
                <w:szCs w:val="14"/>
                <w:b w:val="1"/>
                <w:bCs w:val="1"/>
                <w:color w:val="auto"/>
                <w:w w:val="95"/>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ind w:right="24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time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7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72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8"/>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 of August 12, 2010, 5,098,364 shares of the registrant’s common stock were outstanding.</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80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800" w:type="dxa"/>
            <w:vAlign w:val="bottom"/>
            <w:tcBorders>
              <w:bottom w:val="single" w:sz="8" w:color="auto"/>
            </w:tcBorders>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385"/>
        </w:trPr>
        <w:tc>
          <w:tcPr>
            <w:tcW w:w="28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5"/>
              </w:rPr>
            </w:pPr>
            <w:hyperlink w:anchor="page3">
              <w:r>
                <w:rPr>
                  <w:rFonts w:ascii="Times New Roman" w:cs="Times New Roman" w:eastAsia="Times New Roman" w:hAnsi="Times New Roman"/>
                  <w:sz w:val="18"/>
                  <w:szCs w:val="18"/>
                  <w:color w:val="0000EE"/>
                  <w:w w:val="95"/>
                </w:rPr>
                <w:t>PART I. FINANCIAL INFORMATION</w:t>
              </w:r>
            </w:hyperlink>
          </w:p>
        </w:tc>
        <w:tc>
          <w:tcPr>
            <w:tcW w:w="83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4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Financial Statements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260" w:type="dxa"/>
            <w:vAlign w:val="bottom"/>
            <w:gridSpan w:val="13"/>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tcPr>
          <w:p>
            <w:pPr>
              <w:spacing w:after="0"/>
              <w:rPr>
                <w:sz w:val="17"/>
                <w:szCs w:val="17"/>
                <w:color w:val="auto"/>
              </w:rPr>
            </w:pPr>
          </w:p>
        </w:tc>
        <w:tc>
          <w:tcPr>
            <w:tcW w:w="39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4T.</w:t>
            </w:r>
          </w:p>
        </w:tc>
        <w:tc>
          <w:tcPr>
            <w:tcW w:w="1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Controls and Procedures</w:t>
              </w:r>
            </w:hyperlink>
          </w:p>
        </w:tc>
        <w:tc>
          <w:tcPr>
            <w:tcW w:w="85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412"/>
        </w:trPr>
        <w:tc>
          <w:tcPr>
            <w:tcW w:w="25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5"/>
              </w:rPr>
            </w:pPr>
            <w:hyperlink w:anchor="page34">
              <w:r>
                <w:rPr>
                  <w:rFonts w:ascii="Times New Roman" w:cs="Times New Roman" w:eastAsia="Times New Roman" w:hAnsi="Times New Roman"/>
                  <w:sz w:val="18"/>
                  <w:szCs w:val="18"/>
                  <w:color w:val="0000EE"/>
                  <w:w w:val="95"/>
                </w:rPr>
                <w:t>PART II. OTHER INFORMATION</w:t>
              </w:r>
            </w:hyperlink>
          </w:p>
        </w:tc>
        <w:tc>
          <w:tcPr>
            <w:tcW w:w="86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260" w:type="dxa"/>
            <w:vAlign w:val="bottom"/>
            <w:gridSpan w:val="13"/>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Risk Factors</w:t>
              </w:r>
            </w:hyperlink>
          </w:p>
        </w:tc>
        <w:tc>
          <w:tcPr>
            <w:tcW w:w="89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260" w:type="dxa"/>
            <w:vAlign w:val="bottom"/>
            <w:gridSpan w:val="13"/>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Unregistered Sales of Equity Securities and Use of Proceeds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2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Defaults Upon Senior Securities</w:t>
              </w:r>
            </w:hyperlink>
          </w:p>
        </w:tc>
        <w:tc>
          <w:tcPr>
            <w:tcW w:w="1960" w:type="dxa"/>
            <w:vAlign w:val="bottom"/>
            <w:tcBorders>
              <w:top w:val="single" w:sz="8" w:color="0000EE"/>
            </w:tcBorders>
          </w:tcPr>
          <w:p>
            <w:pPr>
              <w:spacing w:after="0"/>
              <w:rPr>
                <w:sz w:val="17"/>
                <w:szCs w:val="17"/>
                <w:color w:val="auto"/>
              </w:rPr>
            </w:pPr>
          </w:p>
        </w:tc>
        <w:tc>
          <w:tcPr>
            <w:tcW w:w="60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0260" w:type="dxa"/>
            <w:vAlign w:val="bottom"/>
            <w:gridSpan w:val="13"/>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35">
              <w:r>
                <w:rPr>
                  <w:rFonts w:ascii="Times New Roman" w:cs="Times New Roman" w:eastAsia="Times New Roman" w:hAnsi="Times New Roman"/>
                  <w:sz w:val="18"/>
                  <w:szCs w:val="18"/>
                  <w:color w:val="0000EE"/>
                  <w:w w:val="96"/>
                </w:rPr>
                <w:t>Exhibits</w:t>
              </w:r>
            </w:hyperlink>
          </w:p>
        </w:tc>
        <w:tc>
          <w:tcPr>
            <w:tcW w:w="680" w:type="dxa"/>
            <w:vAlign w:val="bottom"/>
            <w:tcBorders>
              <w:top w:val="single" w:sz="8" w:color="0000EE"/>
            </w:tcBorders>
            <w:gridSpan w:val="2"/>
          </w:tcPr>
          <w:p>
            <w:pPr>
              <w:spacing w:after="0"/>
              <w:rPr>
                <w:sz w:val="17"/>
                <w:szCs w:val="17"/>
                <w:color w:val="auto"/>
              </w:rPr>
            </w:pPr>
          </w:p>
        </w:tc>
        <w:tc>
          <w:tcPr>
            <w:tcW w:w="89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383"/>
        </w:trPr>
        <w:tc>
          <w:tcPr>
            <w:tcW w:w="880" w:type="dxa"/>
            <w:vAlign w:val="bottom"/>
          </w:tcPr>
          <w:p>
            <w:pPr>
              <w:spacing w:after="0"/>
              <w:rPr>
                <w:sz w:val="24"/>
                <w:szCs w:val="24"/>
                <w:color w:val="auto"/>
              </w:rPr>
            </w:pPr>
          </w:p>
        </w:tc>
        <w:tc>
          <w:tcPr>
            <w:tcW w:w="6300" w:type="dxa"/>
            <w:vAlign w:val="bottom"/>
            <w:gridSpan w:val="12"/>
          </w:tcPr>
          <w:p>
            <w:pPr>
              <w:ind w:left="4800"/>
              <w:spacing w:after="0"/>
              <w:rPr>
                <w:sz w:val="20"/>
                <w:szCs w:val="20"/>
                <w:color w:val="auto"/>
              </w:rPr>
            </w:pPr>
            <w:r>
              <w:rPr>
                <w:rFonts w:ascii="Times New Roman" w:cs="Times New Roman" w:eastAsia="Times New Roman" w:hAnsi="Times New Roman"/>
                <w:sz w:val="18"/>
                <w:szCs w:val="18"/>
                <w:color w:val="auto"/>
              </w:rPr>
              <w:t>2</w:t>
            </w: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920" w:type="dxa"/>
            <w:vAlign w:val="bottom"/>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6"/>
              </w:rPr>
              <w:t>Part I</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92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7"/>
              </w:rPr>
              <w:t>FINANCIAL INFORMATION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92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6"/>
              </w:rPr>
              <w:t>Vringo, Inc. and Subsidiary</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92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7"/>
              </w:rPr>
              <w:t>(a Development Stage Company)</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920" w:type="dxa"/>
            <w:vAlign w:val="bottom"/>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92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7"/>
              </w:rPr>
              <w:t>(in thousands except share and per share data)</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9,692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stock issuance costs</w:t>
            </w:r>
          </w:p>
        </w:tc>
        <w:tc>
          <w:tcPr>
            <w:tcW w:w="8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deposit (restricted)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assets—short-term</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9,847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deposit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 at cost, net of $351 and $306 accumulated depreciation as of June 30, 2010 and December 31, 2009,</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480" w:type="dxa"/>
            <w:vAlign w:val="bottom"/>
            <w:tcBorders>
              <w:bottom w:val="single" w:sz="8" w:color="auto"/>
            </w:tcBorders>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assets—long-term</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Total assets</w:t>
            </w:r>
          </w:p>
        </w:tc>
        <w:tc>
          <w:tcPr>
            <w:tcW w:w="89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10,105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5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85"/>
              </w:rPr>
              <w:t>Note</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4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44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805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355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maturities of venture loan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1,160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notes</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30"/>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2,320</w:t>
            </w: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severance pay</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325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 loan</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2,569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liabilities on account of warrants</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2,274</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5,168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21"/>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Series B convertible and redeemable preferred stock, $0.01 par value per share; 4,900,000 authorized; 765,465 shares</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 and outstanding as of December 31, 2009 (liquidation preference of, and redeemable at, the greater of fair value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 $15.831 per share, or $12.1 million, plus declared but unpaid dividends, if any)</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gridSpan w:val="2"/>
            <w:vMerge w:val="continue"/>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$0.01 par value per share 28,000,000 and 14,000,000 authorized; 5,098,364 and 366,782 issued and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outstanding as of June 30, 2010 and December 31, 2009 respectively</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Series A convertible preferred stock, $0.01 par value per share; 2,353,887 authorized; 392,314 issued and outstanding as</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December 31, 2009 (liquidation preference of $6.00 per share, or $2.35 million, plus declared but unpaid dividends,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if any)</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22"/>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29,300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 accumulated during development stage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7"/>
              </w:rPr>
              <w:t>(26,734)</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(20,125)</w:t>
            </w:r>
          </w:p>
        </w:tc>
        <w:tc>
          <w:tcPr>
            <w:tcW w:w="0" w:type="dxa"/>
            <w:vAlign w:val="bottom"/>
          </w:tcPr>
          <w:p>
            <w:pPr>
              <w:spacing w:after="0"/>
              <w:rPr>
                <w:sz w:val="1"/>
                <w:szCs w:val="1"/>
                <w:color w:val="auto"/>
              </w:rPr>
            </w:pPr>
          </w:p>
        </w:tc>
      </w:tr>
      <w:tr>
        <w:trPr>
          <w:trHeight w:val="230"/>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2,617</w:t>
            </w: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10,105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580" w:right="2580" w:hanging="2572"/>
        <w:spacing w:after="0" w:line="484" w:lineRule="auto"/>
        <w:tabs>
          <w:tab w:leader="none" w:pos="2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recorded as of June 30, 2010 and December 31, 2009 include $38 and $46 to a related party, respectively. The accompanying notes form an integral part of these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from inception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3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1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to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74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Pr>
          <w:p>
            <w:pPr>
              <w:spacing w:after="0"/>
              <w:rPr>
                <w:sz w:val="12"/>
                <w:szCs w:val="12"/>
                <w:color w:val="auto"/>
              </w:rPr>
            </w:pPr>
          </w:p>
        </w:tc>
        <w:tc>
          <w:tcPr>
            <w:tcW w:w="78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380" w:type="dxa"/>
            <w:vAlign w:val="bottom"/>
          </w:tcPr>
          <w:p>
            <w:pPr>
              <w:spacing w:after="0"/>
              <w:rPr>
                <w:sz w:val="12"/>
                <w:szCs w:val="12"/>
                <w:color w:val="auto"/>
              </w:rPr>
            </w:pPr>
          </w:p>
        </w:tc>
        <w:tc>
          <w:tcPr>
            <w:tcW w:w="68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44</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w:t>
            </w:r>
          </w:p>
        </w:tc>
        <w:tc>
          <w:tcPr>
            <w:tcW w:w="0" w:type="dxa"/>
            <w:vAlign w:val="bottom"/>
          </w:tcPr>
          <w:p>
            <w:pPr>
              <w:spacing w:after="0"/>
              <w:rPr>
                <w:sz w:val="1"/>
                <w:szCs w:val="1"/>
                <w:color w:val="auto"/>
              </w:rPr>
            </w:pPr>
          </w:p>
        </w:tc>
      </w:tr>
      <w:tr>
        <w:trPr>
          <w:trHeight w:val="221"/>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34</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566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1,106</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4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1,773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3,068</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22,437</w:t>
            </w:r>
          </w:p>
        </w:tc>
        <w:tc>
          <w:tcPr>
            <w:tcW w:w="0" w:type="dxa"/>
            <w:vAlign w:val="bottom"/>
          </w:tcPr>
          <w:p>
            <w:pPr>
              <w:spacing w:after="0"/>
              <w:rPr>
                <w:sz w:val="1"/>
                <w:szCs w:val="1"/>
                <w:color w:val="auto"/>
              </w:rPr>
            </w:pPr>
          </w:p>
        </w:tc>
      </w:tr>
      <w:tr>
        <w:trPr>
          <w:trHeight w:val="224"/>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1,729</w:t>
            </w:r>
          </w:p>
        </w:tc>
        <w:tc>
          <w:tcPr>
            <w:tcW w:w="4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2,994</w:t>
            </w:r>
          </w:p>
        </w:tc>
        <w:tc>
          <w:tcPr>
            <w:tcW w:w="4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4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4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(490)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(447)</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amortization of debt discount expense</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3,355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4,009</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expenses</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 on income</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4,594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6,571</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26,702</w:t>
            </w:r>
          </w:p>
        </w:tc>
        <w:tc>
          <w:tcPr>
            <w:tcW w:w="0" w:type="dxa"/>
            <w:vAlign w:val="bottom"/>
          </w:tcPr>
          <w:p>
            <w:pPr>
              <w:spacing w:after="0"/>
              <w:rPr>
                <w:sz w:val="1"/>
                <w:szCs w:val="1"/>
                <w:color w:val="auto"/>
              </w:rPr>
            </w:pPr>
          </w:p>
        </w:tc>
      </w:tr>
      <w:tr>
        <w:trPr>
          <w:trHeight w:val="331"/>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4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40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for the period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4,612</w:t>
            </w:r>
          </w:p>
        </w:tc>
        <w:tc>
          <w:tcPr>
            <w:tcW w:w="4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6,609</w:t>
            </w:r>
          </w:p>
        </w:tc>
        <w:tc>
          <w:tcPr>
            <w:tcW w:w="4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4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1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3"/>
            <w:vMerge w:val="continue"/>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4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w:t>
            </w:r>
          </w:p>
        </w:tc>
        <w:tc>
          <w:tcPr>
            <w:tcW w:w="4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4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number of shares used in computing basic and dilutive net</w:t>
            </w:r>
          </w:p>
        </w:tc>
        <w:tc>
          <w:tcPr>
            <w:tcW w:w="116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887,567</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627,174</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395,714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per common share</w:t>
            </w:r>
          </w:p>
        </w:tc>
        <w:tc>
          <w:tcPr>
            <w:tcW w:w="1160" w:type="dxa"/>
            <w:vAlign w:val="bottom"/>
            <w:gridSpan w:val="2"/>
            <w:vMerge w:val="continue"/>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366,782</w:t>
            </w:r>
          </w:p>
        </w:tc>
        <w:tc>
          <w:tcPr>
            <w:tcW w:w="38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366,782</w:t>
            </w:r>
          </w:p>
        </w:tc>
        <w:tc>
          <w:tcPr>
            <w:tcW w:w="40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20" w:right="180" w:hanging="212"/>
        <w:spacing w:after="0" w:line="275" w:lineRule="auto"/>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recorded for the three and six months ending June 30, 2010 and 2009 and the cumulative period from inception include $73, $150, $74, $45 and $696, respectively, to related parties.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Series A</w:t>
            </w: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convertible</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preferred</w:t>
            </w:r>
          </w:p>
        </w:tc>
        <w:tc>
          <w:tcPr>
            <w:tcW w:w="46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3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stock</w:t>
            </w:r>
          </w:p>
        </w:tc>
        <w:tc>
          <w:tcPr>
            <w:tcW w:w="46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paid-in capital</w:t>
            </w: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4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5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9, 2006 (inception)</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34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Issuance of series A convertible preferred stock, net of issuance costs of</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jc w:val="right"/>
              <w:ind w:right="4792"/>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2,321</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w:t>
            </w: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forfeitures-employees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forfeitures-non employees</w:t>
            </w:r>
          </w:p>
        </w:tc>
        <w:tc>
          <w:tcPr>
            <w:tcW w:w="3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(1,481)</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(1,481)</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2006</w:t>
            </w:r>
          </w:p>
        </w:tc>
        <w:tc>
          <w:tcPr>
            <w:tcW w:w="3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5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5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as part of conversion of convertible loan</w:t>
            </w:r>
          </w:p>
        </w:tc>
        <w:tc>
          <w:tcPr>
            <w:tcW w:w="16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138</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Discounts to temporary equity</w:t>
            </w:r>
          </w:p>
        </w:tc>
        <w:tc>
          <w:tcPr>
            <w:tcW w:w="3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43</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discounts to temporary equity</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forfeitures—employees</w:t>
            </w:r>
          </w:p>
        </w:tc>
        <w:tc>
          <w:tcPr>
            <w:tcW w:w="3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98</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forfeitures—non employees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34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(5,163)</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(5,163)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2007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(6,644)</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(4,020)</w:t>
            </w: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34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360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discounts to temporary equity</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forfeitures-employees</w:t>
            </w:r>
          </w:p>
        </w:tc>
        <w:tc>
          <w:tcPr>
            <w:tcW w:w="3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18</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forfeitures-non employees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34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(7,332)</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(7,332)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20" w:type="dxa"/>
            <w:vAlign w:val="bottom"/>
            <w:gridSpan w:val="2"/>
          </w:tcPr>
          <w:p>
            <w:pPr>
              <w:jc w:val="right"/>
              <w:ind w:right="734"/>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convertible</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preferred</w:t>
            </w:r>
          </w:p>
        </w:tc>
        <w:tc>
          <w:tcPr>
            <w:tcW w:w="14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3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c>
          <w:tcPr>
            <w:tcW w:w="12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stock</w:t>
            </w:r>
          </w:p>
        </w:tc>
        <w:tc>
          <w:tcPr>
            <w:tcW w:w="14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paid-in capital</w:t>
            </w: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660" w:type="dxa"/>
            <w:vAlign w:val="bottom"/>
            <w:gridSpan w:val="2"/>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5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5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5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2008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2,960</w:t>
            </w: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(13,976)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(10,970)</w:t>
            </w:r>
          </w:p>
        </w:tc>
        <w:tc>
          <w:tcPr>
            <w:tcW w:w="0" w:type="dxa"/>
            <w:vAlign w:val="bottom"/>
          </w:tcPr>
          <w:p>
            <w:pPr>
              <w:spacing w:after="0"/>
              <w:rPr>
                <w:sz w:val="1"/>
                <w:szCs w:val="1"/>
                <w:color w:val="auto"/>
              </w:rPr>
            </w:pPr>
          </w:p>
        </w:tc>
      </w:tr>
      <w:tr>
        <w:trPr>
          <w:trHeight w:val="322"/>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modification</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500</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discounts to temporary equity</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forfeitures-employees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178</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 of stock options, net of forfeiture-non employees</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(6,149)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0" w:type="dxa"/>
            <w:vAlign w:val="bottom"/>
          </w:tcPr>
          <w:p>
            <w:pPr>
              <w:spacing w:after="0"/>
              <w:rPr>
                <w:sz w:val="1"/>
                <w:szCs w:val="1"/>
                <w:color w:val="auto"/>
              </w:rPr>
            </w:pPr>
          </w:p>
        </w:tc>
      </w:tr>
      <w:tr>
        <w:trPr>
          <w:trHeight w:val="230"/>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2009</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5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5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(16,378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 stock and warrants, net of issuance costs of</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5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vMerge w:val="restart"/>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9,239</w:t>
            </w:r>
          </w:p>
        </w:tc>
        <w:tc>
          <w:tcPr>
            <w:tcW w:w="1320" w:type="dxa"/>
            <w:vAlign w:val="bottom"/>
            <w:gridSpan w:val="2"/>
            <w:vMerge w:val="restart"/>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9,263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$1,768</w:t>
            </w:r>
          </w:p>
        </w:tc>
        <w:tc>
          <w:tcPr>
            <w:tcW w:w="426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of series A convertible preferred stock for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5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(24)</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bridge notes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2,536</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discounts to temporary equity</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forfeitures—employees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432</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forfeitures-non employees</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6</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 of warrants to lead investors</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1,342</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Grants of warrants to charity</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37</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dividend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54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(19)</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 stock split</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(93)</w:t>
            </w: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93</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of series B convertible preferred stock for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54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11,925</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(6,609)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(6,609)</w:t>
            </w:r>
          </w:p>
        </w:tc>
        <w:tc>
          <w:tcPr>
            <w:tcW w:w="0" w:type="dxa"/>
            <w:vAlign w:val="bottom"/>
          </w:tcPr>
          <w:p>
            <w:pPr>
              <w:spacing w:after="0"/>
              <w:rPr>
                <w:sz w:val="1"/>
                <w:szCs w:val="1"/>
                <w:color w:val="auto"/>
              </w:rPr>
            </w:pPr>
          </w:p>
        </w:tc>
      </w:tr>
      <w:tr>
        <w:trPr>
          <w:trHeight w:val="223"/>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2010</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29,300</w:t>
            </w:r>
          </w:p>
        </w:tc>
        <w:tc>
          <w:tcPr>
            <w:tcW w:w="5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(26,734)</w:t>
            </w:r>
          </w:p>
        </w:tc>
        <w:tc>
          <w:tcPr>
            <w:tcW w:w="5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Consideration for less than $1.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from inception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to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6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7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(6,609)</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(2,853)</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cash flows from operating activities:</w:t>
            </w:r>
          </w:p>
        </w:tc>
        <w:tc>
          <w:tcPr>
            <w:tcW w:w="2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Items not affecting cash flows:</w:t>
            </w:r>
          </w:p>
        </w:tc>
        <w:tc>
          <w:tcPr>
            <w:tcW w:w="2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7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7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(8)</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pay</w:t>
            </w:r>
          </w:p>
        </w:tc>
        <w:tc>
          <w:tcPr>
            <w:tcW w:w="2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expenses</w:t>
            </w:r>
          </w:p>
        </w:tc>
        <w:tc>
          <w:tcPr>
            <w:tcW w:w="37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1,817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37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2,398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of warrants</w:t>
            </w:r>
          </w:p>
        </w:tc>
        <w:tc>
          <w:tcPr>
            <w:tcW w:w="37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(448)</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(gains) losses</w:t>
            </w:r>
          </w:p>
        </w:tc>
        <w:tc>
          <w:tcPr>
            <w:tcW w:w="37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(18)</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current assets and liabilities:</w:t>
            </w:r>
          </w:p>
        </w:tc>
        <w:tc>
          <w:tcPr>
            <w:tcW w:w="2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Decrease (increase) in receivables, prepaid expenses and other current assets</w:t>
            </w:r>
          </w:p>
        </w:tc>
        <w:tc>
          <w:tcPr>
            <w:tcW w:w="37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payables and accruals</w:t>
            </w:r>
          </w:p>
        </w:tc>
        <w:tc>
          <w:tcPr>
            <w:tcW w:w="37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(9)</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1,141</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5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(2,787)</w:t>
            </w:r>
          </w:p>
        </w:tc>
        <w:tc>
          <w:tcPr>
            <w:tcW w:w="5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5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7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(34)</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short-term deposits (restricted)</w:t>
            </w:r>
          </w:p>
        </w:tc>
        <w:tc>
          <w:tcPr>
            <w:tcW w:w="2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Release of short-term deposits</w:t>
            </w:r>
          </w:p>
        </w:tc>
        <w:tc>
          <w:tcPr>
            <w:tcW w:w="37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2,582</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long-term deposits</w:t>
            </w:r>
          </w:p>
        </w:tc>
        <w:tc>
          <w:tcPr>
            <w:tcW w:w="2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5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2,548</w:t>
            </w:r>
          </w:p>
        </w:tc>
        <w:tc>
          <w:tcPr>
            <w:tcW w:w="5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520" w:type="dxa"/>
            <w:vAlign w:val="bottom"/>
          </w:tcPr>
          <w:p>
            <w:pPr>
              <w:jc w:val="right"/>
              <w:ind w:right="2212"/>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from inception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to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Pr>
          <w:p>
            <w:pPr>
              <w:spacing w:after="0"/>
              <w:rPr>
                <w:sz w:val="12"/>
                <w:szCs w:val="12"/>
                <w:color w:val="auto"/>
              </w:rPr>
            </w:pPr>
          </w:p>
        </w:tc>
        <w:tc>
          <w:tcPr>
            <w:tcW w:w="66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Venture loan</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on account of Venture Loan</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(88)</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(259)</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Receipt of convertible loans</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convertible preferred stock</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and warrants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9,263</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9,186</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(259)</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30,628</w:t>
            </w:r>
          </w:p>
        </w:tc>
        <w:tc>
          <w:tcPr>
            <w:tcW w:w="0" w:type="dxa"/>
            <w:vAlign w:val="bottom"/>
          </w:tcPr>
          <w:p>
            <w:pPr>
              <w:spacing w:after="0"/>
              <w:rPr>
                <w:sz w:val="1"/>
                <w:szCs w:val="1"/>
                <w:color w:val="auto"/>
              </w:rPr>
            </w:pPr>
          </w:p>
        </w:tc>
      </w:tr>
      <w:tr>
        <w:trPr>
          <w:trHeight w:val="224"/>
        </w:trPr>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60" w:type="dxa"/>
            <w:vAlign w:val="bottom"/>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6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8,948</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(2,892)</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9,692</w:t>
            </w:r>
          </w:p>
        </w:tc>
        <w:tc>
          <w:tcPr>
            <w:tcW w:w="0" w:type="dxa"/>
            <w:vAlign w:val="bottom"/>
          </w:tcPr>
          <w:p>
            <w:pPr>
              <w:spacing w:after="0"/>
              <w:rPr>
                <w:sz w:val="1"/>
                <w:szCs w:val="1"/>
                <w:color w:val="auto"/>
              </w:rPr>
            </w:pPr>
          </w:p>
        </w:tc>
      </w:tr>
      <w:tr>
        <w:trPr>
          <w:trHeight w:val="331"/>
        </w:trPr>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w:t>
            </w:r>
          </w:p>
        </w:tc>
        <w:tc>
          <w:tcPr>
            <w:tcW w:w="46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420" w:type="dxa"/>
            <w:vAlign w:val="bottom"/>
          </w:tcPr>
          <w:p>
            <w:pPr>
              <w:spacing w:after="0"/>
              <w:rPr>
                <w:sz w:val="24"/>
                <w:szCs w:val="24"/>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9,692</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9,692</w:t>
            </w:r>
          </w:p>
        </w:tc>
        <w:tc>
          <w:tcPr>
            <w:tcW w:w="0" w:type="dxa"/>
            <w:vAlign w:val="bottom"/>
          </w:tcPr>
          <w:p>
            <w:pPr>
              <w:spacing w:after="0"/>
              <w:rPr>
                <w:sz w:val="1"/>
                <w:szCs w:val="1"/>
                <w:color w:val="auto"/>
              </w:rPr>
            </w:pPr>
          </w:p>
        </w:tc>
      </w:tr>
      <w:tr>
        <w:trPr>
          <w:trHeight w:val="20"/>
        </w:trPr>
        <w:tc>
          <w:tcPr>
            <w:tcW w:w="82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flows information</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40" w:type="dxa"/>
            <w:vAlign w:val="bottom"/>
            <w:gridSpan w:val="4"/>
            <w:vMerge w:val="continue"/>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238</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755</w:t>
            </w:r>
          </w:p>
        </w:tc>
        <w:tc>
          <w:tcPr>
            <w:tcW w:w="0" w:type="dxa"/>
            <w:vAlign w:val="bottom"/>
          </w:tcPr>
          <w:p>
            <w:pPr>
              <w:spacing w:after="0"/>
              <w:rPr>
                <w:sz w:val="1"/>
                <w:szCs w:val="1"/>
                <w:color w:val="auto"/>
              </w:rPr>
            </w:pPr>
          </w:p>
        </w:tc>
      </w:tr>
      <w:tr>
        <w:trPr>
          <w:trHeight w:val="284"/>
        </w:trPr>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Non-cash transactions</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loan into convertible preferred stock</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Extinguishment of debt</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to the series B convertible preferred stock</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Allocation of fair value of loan warrants</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fair value of conversion warrants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1,564</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discount to temporary equity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bridge notes into common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2,545</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 of series B convertible preferred stock for common stock</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11,971</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of series A convertible preferred stock for common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dividend 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46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 stock split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1—General</w:t>
      </w:r>
    </w:p>
    <w:p>
      <w:pPr>
        <w:spacing w:after="0" w:line="92" w:lineRule="exact"/>
        <w:rPr>
          <w:sz w:val="20"/>
          <w:szCs w:val="20"/>
          <w:color w:val="auto"/>
        </w:rPr>
      </w:pPr>
    </w:p>
    <w:p>
      <w:pPr>
        <w:jc w:val="both"/>
        <w:ind w:right="460" w:firstLine="456"/>
        <w:spacing w:after="0" w:line="310" w:lineRule="auto"/>
        <w:rPr>
          <w:sz w:val="20"/>
          <w:szCs w:val="20"/>
          <w:color w:val="auto"/>
        </w:rPr>
      </w:pPr>
      <w:r>
        <w:rPr>
          <w:rFonts w:ascii="Times New Roman" w:cs="Times New Roman" w:eastAsia="Times New Roman" w:hAnsi="Times New Roman"/>
          <w:sz w:val="16"/>
          <w:szCs w:val="16"/>
          <w:color w:val="auto"/>
        </w:rPr>
        <w:t>Vringo, Inc.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97"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Company is engaged in developing software for mobile phones. The Company provides a comprehensive platform allowing users to create, download and share video ringtones. The Company’s proprietary ringtone platform includes social networking capability and integration with web systems.</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June 2010, the Company completed an initial public offering (IPO) of 2,392,000 units, each containing one share of common stock and two warrants, at an issuance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The underwriters for the IPO were granted an option to purchase an additional 358,800 units at the same price per unit (the over-allotment option) for 45 days following the closing of the IPO, which has not been exercised by the underwriters.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per-share information in these unaudited condensed financial statements have been adjusted to give effect to the reverse stock split.</w:t>
      </w:r>
    </w:p>
    <w:p>
      <w:pPr>
        <w:spacing w:after="0" w:line="138"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On July 27, 2010, the unit was separated into its components and the shares and warrants began to trade separately. Upon separation of the units into shares and warrants, the units ceased trading.</w:t>
      </w:r>
    </w:p>
    <w:p>
      <w:pPr>
        <w:spacing w:after="0" w:line="12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 is in the development stage. Therefore, there is no certainty regarding the Company’s ability to complete the product’s development and success of its marketing. The continuation of the stages of development and the realization of assets related to the planned activities depend on future events, including future financings and achieving operational profitability. The Company has incurred significant losses since its inception and expects that it will continue to operate at a net loss in the foreseeable future. Management believes that the Company’s currently available capital resources are sufficient to meet its cash requirements for at least the next 12 months. There are still significant doubts as to the ability of the Company to continue operating as a “going concern”. 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 For the three and six months ended June 30, 2010 and for the cumulative period from inception until June 30, 2010, the Company incurred net losses of $4.6 million, $6.6 million and $26.7 million, respectively. The Company’s stockholders’ equity and working capital as of June 30, 2010 were $2.6 million and $7.5 million respectively.</w:t>
      </w:r>
    </w:p>
    <w:p>
      <w:pPr>
        <w:spacing w:after="0" w:line="13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high-tech industry in which the Company operates is highly competitive and is characterized by the risks of rapidly changing technologies. Penetration into world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2010, approximately $752 thousand of the Company’s net assets were located outside of the United States.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and Reporting Policies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3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were prepared in accordance with instructions for Form 10-Q and, therefore, do not include all disclosures necessary for a complete presentation of financial position, results of operations, and cash flows in conformity with generally accepted accounting principles. Nevertheless, these financial statements should be read in conjunction with the consolidated financial statements and related notes for the year ended December 31, 2009. The results of operations for the three and six months ended June 30, 2010 are not necessarily indicative of the results that may be expected for the entire fiscal year or for any other interim period.</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 Development stage enterprise</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 Translation into U.S. dollars</w:t>
      </w:r>
    </w:p>
    <w:p>
      <w:pPr>
        <w:spacing w:after="0" w:line="94"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20"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Transactions in foreign currency (primarily in New Israeli Shekels or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3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At June 30, 2010, the exchange rate was U.S.$1 = NIS 3.875 (December 31, 2009—U.S.$1 = NIS 3.775). The average exchange rate for the three and six months ended June 30, 2010 was U.S.$1 = NIS 3.7835 and and US $1 = NIS 3.7589, respectively (three and six months ended June 30, 2009—U.S.$1 = NIS 4.077 and US$ = NIS 4.0678, respectively).</w:t>
      </w:r>
    </w:p>
    <w:p>
      <w:pPr>
        <w:spacing w:after="0" w:line="13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translation should not be construed as a representation that the foreign currency amounts upon which the translation is based actually represent, or could be converted into, U.S. dollars.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 Use of estimates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useful lives of property and equipment, deferred tax assets, valuation of warrants, valuation of common stock share-based compensation, income tax uncertainties and other contingencies. The current economic environment has increased the degree of uncertainty inherent in those estimates and assumptions.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 Accounting for share-based compensation</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Share-based compensation is recognized as an expense in the financial statements and such cost is measured at the grant-date fair value of the equity-settled award. The expense is recognized using the straight-line method. The fair value of stock options granted to employees and directors is estimated at the date of grant using the Black-Scholes-Merton option-pricing model, which takes into consideration the share price at the date of grant, the exercise price of the option, the expected life of the option, risk-free interest rates and the expected volatility. The fair value of the March 17, 2010 stock options granted to employees and directors at an exercise price of $0.01 and $5.50 were valued using the Lattice model which takes into consideration the share price at the date of grant, the exercise price of the option, the expected life of the option, risk free interest rates and the expected volatility. The fair value of stock options granted to consultants is estimated at the date of grant using the Black-Scholes-Merton option-pricing model. In cases where no measurement date has been reached as there is no counter-party performance or performance commitment (sufficiently large disincentive for non-performance), the options are revalued. The options are valued using the share price, the exercise price of the option, the expected life of the option, risk-free interest rates and the expected volatility, at the reporting period date.</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 Net loss per share data</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of incremental shares of common stock issuable upon the exchange of series A and series B convertible preferred stock and the exercise of warrants and stock options, are not reflected in diluted net loss per share because such shares are anti-dilutive.</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 Reclassification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prior year balances have been reclassified to conform to current year presentation.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3—Bridge Financing—Convertible Promissory Notes</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December 29, 2009, the Company issued 5% subordinated convertible promissory notes, (“Bridge Notes”), in the aggregate amount of $2.98 million in a private placement (the “Bridge Financing”). The Bridge Notes converted into shares of common stock and warrants upon the consummation of the IPO. The $2.98 million of proceeds from the Bridge Financing were first allocated to the Special Bridge Warrants which were classified as a derivative liability and recorded at fair value and the residual amount was allocated to the Bridge Notes, all in accordance with the guidance in ASC 815 (formerly Statement 133) and ASC 815-40 (formerly EITF Issue No. 07-5). While the Bridge Notes had been classified as a short-term liability, the derivative liability has been reclassified under long-term liabilities as it has a five-year exercise period.</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Upon the consummation of the IPO the Bridge Notes converted into 864,332 units consisting of one share of common stock and two warrants (the “Conversion Warrants”). The Bridge Notes were converted at a price of $3.45, a 25% discount to the price of the units issued in the IPO. The beneficial conversion feature from this conversion resulted in additional interest expense of $1.1 million which was recorded in the statement of operations. Each Conversion Warrant entitles the holder to purchase one share of common stock at a price equal to 110% of the IPO offering price ($5.06) and expire five years after the IPO. The Conversion Warrants are similar to the warrants issued as part of the units issued in the IPO except that they include additional features with respect to fundamental transactions, cashless exercise, ownership limitations and dilution. As a result, the Conversion Warrants, in accordance with the guidance in ASC 815 (formerly Statement 133) and ASC 815-40 (formerly EITF Issue No. 07-5) have been recorded as a derivative liability and will be adjusted according to fair value at each reporting period (See Note 4). In addition, the Company issued a further 69,132 Special Bridge Warrants to the note holders in order to reflect the conversion at a 25% discount of the offering price.</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movement during the quarter of the instruments allocated in the Bridge Financing:</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3"/>
              </w:rPr>
              <w:t>Special</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Bridge</w:t>
            </w:r>
          </w:p>
        </w:tc>
        <w:tc>
          <w:tcPr>
            <w:tcW w:w="12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Conversion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Bridge Notes</w:t>
            </w: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12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2"/>
              </w:rPr>
              <w:t>Warrants</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5"/>
        </w:trPr>
        <w:tc>
          <w:tcPr>
            <w:tcW w:w="45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7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560" w:type="dxa"/>
            <w:vAlign w:val="bottom"/>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U.S.$</w:t>
            </w:r>
          </w:p>
        </w:tc>
        <w:tc>
          <w:tcPr>
            <w:tcW w:w="540" w:type="dxa"/>
            <w:vAlign w:val="bottom"/>
          </w:tcPr>
          <w:p>
            <w:pPr>
              <w:spacing w:after="0"/>
              <w:rPr>
                <w:sz w:val="10"/>
                <w:szCs w:val="10"/>
                <w:color w:val="auto"/>
              </w:rPr>
            </w:pPr>
          </w:p>
        </w:tc>
        <w:tc>
          <w:tcPr>
            <w:tcW w:w="6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540" w:type="dxa"/>
            <w:vAlign w:val="bottom"/>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thousands</w:t>
            </w:r>
          </w:p>
        </w:tc>
        <w:tc>
          <w:tcPr>
            <w:tcW w:w="5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thousands</w:t>
            </w:r>
          </w:p>
        </w:tc>
        <w:tc>
          <w:tcPr>
            <w:tcW w:w="5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thousands</w:t>
            </w:r>
          </w:p>
        </w:tc>
        <w:tc>
          <w:tcPr>
            <w:tcW w:w="5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at March 31, 2010</w:t>
            </w:r>
          </w:p>
        </w:tc>
        <w:tc>
          <w:tcPr>
            <w:tcW w:w="29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2,388</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1,102</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accrued</w:t>
            </w:r>
          </w:p>
        </w:tc>
        <w:tc>
          <w:tcPr>
            <w:tcW w:w="290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594</w:t>
            </w: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into equity</w:t>
            </w:r>
          </w:p>
        </w:tc>
        <w:tc>
          <w:tcPr>
            <w:tcW w:w="2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(2,982)</w:t>
            </w:r>
          </w:p>
        </w:tc>
        <w:tc>
          <w:tcPr>
            <w:tcW w:w="11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Allocated amount—June 21, 2010</w:t>
            </w:r>
          </w:p>
        </w:tc>
        <w:tc>
          <w:tcPr>
            <w:tcW w:w="160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5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included in non-operating income</w:t>
            </w:r>
          </w:p>
        </w:tc>
        <w:tc>
          <w:tcPr>
            <w:tcW w:w="1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(241)</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(239)</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Value at June 30, 2010</w:t>
            </w:r>
          </w:p>
        </w:tc>
        <w:tc>
          <w:tcPr>
            <w:tcW w:w="160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1,325</w:t>
            </w:r>
          </w:p>
        </w:tc>
        <w:tc>
          <w:tcPr>
            <w:tcW w:w="5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vMerge w:val="restart"/>
          </w:tcPr>
          <w:p>
            <w:pPr>
              <w:jc w:val="right"/>
              <w:ind w:right="732"/>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4—Fair Value Measurements</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Company measures fair value in accordance with ASC 820-10, “Fair Value Measurements and Disclosures” (formerly SFAS 157, “Fair Value Measurements”).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—Observable inputs that reflect quoted prices (unadjusted) for identical assets or liabilities in active markets.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—Include other inputs that are directly or indirectly observable in the marketplace.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—Unobservable inputs which are supported by little or no market activity.</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fair value hierarchy also requires an entity to maximize the use of observable inputs and minimize the use of unobservable inputs when measuring fair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15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measures its cash equivalents, Special Bridge Warrants and Conversion Warrants at fair value. Cash equivalents are classified within Level 1 because they are valued using quoted active market prices. The Special Bridge Warrants and Conversion Warrants are classified within Level 3 because they are valued using the Black-Scholes-Merton model which utilizes significant inputs that are unobservable in the market such as the price of stock, expected stock price volatility and the dividend yield, and the remaining period of time the warrants will be outstanding before they expire.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Company’s assets and liabilities measured at fair value on a recurring basis as of June 30, 2010 and December 31, 2009, aggregated by the level in the fair-value hierarchy within which those measurements fall: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0" w:type="dxa"/>
            <w:vAlign w:val="bottom"/>
            <w:gridSpan w:val="9"/>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Fair value measurement at reporting date using</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40"/>
              <w:spacing w:after="0" w:line="125"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5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Quoted prices in</w:t>
            </w:r>
          </w:p>
        </w:tc>
        <w:tc>
          <w:tcPr>
            <w:tcW w:w="1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active markets</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5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June 30,</w:t>
            </w:r>
          </w:p>
        </w:tc>
        <w:tc>
          <w:tcPr>
            <w:tcW w:w="180" w:type="dxa"/>
            <w:vAlign w:val="bottom"/>
          </w:tcPr>
          <w:p>
            <w:pPr>
              <w:spacing w:after="0"/>
              <w:rPr>
                <w:sz w:val="12"/>
                <w:szCs w:val="12"/>
                <w:color w:val="auto"/>
              </w:rPr>
            </w:pPr>
          </w:p>
        </w:tc>
        <w:tc>
          <w:tcPr>
            <w:tcW w:w="140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identical</w:t>
            </w:r>
          </w:p>
        </w:tc>
        <w:tc>
          <w:tcPr>
            <w:tcW w:w="1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 (Level</w:t>
            </w:r>
          </w:p>
        </w:tc>
        <w:tc>
          <w:tcPr>
            <w:tcW w:w="5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unobservable</w:t>
            </w:r>
          </w:p>
        </w:tc>
        <w:tc>
          <w:tcPr>
            <w:tcW w:w="0" w:type="dxa"/>
            <w:vAlign w:val="bottom"/>
          </w:tcPr>
          <w:p>
            <w:pPr>
              <w:spacing w:after="0"/>
              <w:rPr>
                <w:sz w:val="1"/>
                <w:szCs w:val="1"/>
                <w:color w:val="auto"/>
              </w:rPr>
            </w:pPr>
          </w:p>
        </w:tc>
      </w:tr>
      <w:tr>
        <w:trPr>
          <w:trHeight w:val="165"/>
        </w:trPr>
        <w:tc>
          <w:tcPr>
            <w:tcW w:w="6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40" w:type="dxa"/>
            <w:vAlign w:val="bottom"/>
          </w:tcPr>
          <w:p>
            <w:pPr>
              <w:spacing w:after="0"/>
              <w:rPr>
                <w:sz w:val="14"/>
                <w:szCs w:val="14"/>
                <w:color w:val="auto"/>
              </w:rPr>
            </w:pPr>
          </w:p>
        </w:tc>
        <w:tc>
          <w:tcPr>
            <w:tcW w:w="4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2010</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assets (Level 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inputs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gridSpan w:val="5"/>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U.S.$ thousands</w:t>
            </w: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54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8,903</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8,903</w:t>
            </w:r>
          </w:p>
        </w:tc>
        <w:tc>
          <w:tcPr>
            <w:tcW w:w="15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8,903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4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 on account of warrants</w:t>
            </w:r>
          </w:p>
        </w:tc>
        <w:tc>
          <w:tcPr>
            <w:tcW w:w="54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2,274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tcBorders>
              <w:top w:val="single" w:sz="8" w:color="auto"/>
            </w:tcBorders>
            <w:gridSpan w:val="4"/>
          </w:tcPr>
          <w:p>
            <w:pPr>
              <w:jc w:val="center"/>
              <w:ind w:right="620"/>
              <w:spacing w:after="0" w:line="125" w:lineRule="exact"/>
              <w:rPr>
                <w:sz w:val="20"/>
                <w:szCs w:val="20"/>
                <w:color w:val="auto"/>
              </w:rPr>
            </w:pPr>
            <w:r>
              <w:rPr>
                <w:rFonts w:ascii="Times New Roman" w:cs="Times New Roman" w:eastAsia="Times New Roman" w:hAnsi="Times New Roman"/>
                <w:sz w:val="14"/>
                <w:szCs w:val="14"/>
                <w:b w:val="1"/>
                <w:bCs w:val="1"/>
                <w:color w:val="auto"/>
                <w:w w:val="97"/>
              </w:rPr>
              <w:t>Quoted prices in</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gridSpan w:val="4"/>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active markets</w:t>
            </w:r>
          </w:p>
        </w:tc>
        <w:tc>
          <w:tcPr>
            <w:tcW w:w="10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5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gridSpan w:val="4"/>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identical</w:t>
            </w:r>
          </w:p>
        </w:tc>
        <w:tc>
          <w:tcPr>
            <w:tcW w:w="14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observable</w:t>
            </w:r>
          </w:p>
        </w:tc>
        <w:tc>
          <w:tcPr>
            <w:tcW w:w="5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unobservable</w:t>
            </w:r>
          </w:p>
        </w:tc>
        <w:tc>
          <w:tcPr>
            <w:tcW w:w="0" w:type="dxa"/>
            <w:vAlign w:val="bottom"/>
          </w:tcPr>
          <w:p>
            <w:pPr>
              <w:spacing w:after="0"/>
              <w:rPr>
                <w:sz w:val="1"/>
                <w:szCs w:val="1"/>
                <w:color w:val="auto"/>
              </w:rPr>
            </w:pPr>
          </w:p>
        </w:tc>
      </w:tr>
      <w:tr>
        <w:trPr>
          <w:trHeight w:val="165"/>
        </w:trPr>
        <w:tc>
          <w:tcPr>
            <w:tcW w:w="6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2009</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assets (Level 1)</w:t>
            </w:r>
          </w:p>
        </w:tc>
        <w:tc>
          <w:tcPr>
            <w:tcW w:w="620" w:type="dxa"/>
            <w:vAlign w:val="bottom"/>
            <w:gridSpan w:val="2"/>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inputs (Level 2)</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inputs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gridSpan w:val="6"/>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U.S.$ thousands</w:t>
            </w: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193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193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4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on account of warrants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above, the Company’s financial instruments at June 30, 2010 and December 31, 2009, consisted of cash, accounts receivable, long term deposits, accrued expenses, accrued compensation, related liabilities, and the Venture Loan. The carrying amounts of all the aforementioned financial instruments, approximate fair value, except the Venture Loan (see below).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liabilities measured at fair value using significant unobservable inputs (Level 3) during the three and six months ended June 30, 2010: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2"/>
              </w:rPr>
              <w:t>Level 3</w:t>
            </w: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6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260" w:type="dxa"/>
            <w:vAlign w:val="bottom"/>
            <w:gridSpan w:val="4"/>
          </w:tcPr>
          <w:p>
            <w:pPr>
              <w:jc w:val="center"/>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Special Bridge</w:t>
            </w:r>
          </w:p>
        </w:tc>
        <w:tc>
          <w:tcPr>
            <w:tcW w:w="240" w:type="dxa"/>
            <w:vAlign w:val="bottom"/>
          </w:tcPr>
          <w:p>
            <w:pPr>
              <w:spacing w:after="0"/>
              <w:rPr>
                <w:sz w:val="10"/>
                <w:szCs w:val="10"/>
                <w:color w:val="auto"/>
              </w:rPr>
            </w:pPr>
          </w:p>
        </w:tc>
        <w:tc>
          <w:tcPr>
            <w:tcW w:w="840" w:type="dxa"/>
            <w:vAlign w:val="bottom"/>
            <w:gridSpan w:val="3"/>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Conversion</w:t>
            </w: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24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540" w:type="dxa"/>
            <w:vAlign w:val="bottom"/>
          </w:tcPr>
          <w:p>
            <w:pPr>
              <w:spacing w:after="0"/>
              <w:rPr>
                <w:sz w:val="14"/>
                <w:szCs w:val="14"/>
                <w:color w:val="auto"/>
              </w:rPr>
            </w:pPr>
          </w:p>
        </w:tc>
        <w:tc>
          <w:tcPr>
            <w:tcW w:w="112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5"/>
        </w:trPr>
        <w:tc>
          <w:tcPr>
            <w:tcW w:w="46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ind w:right="172"/>
              <w:spacing w:after="0" w:line="125"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thousands</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thousands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5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2009</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6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included in non-operating expense</w:t>
            </w: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2010</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5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1,102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Allocated amount—June 21, 2010</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420" w:type="dxa"/>
            <w:vAlign w:val="bottom"/>
          </w:tcPr>
          <w:p>
            <w:pPr>
              <w:spacing w:after="0"/>
              <w:rPr>
                <w:sz w:val="24"/>
                <w:szCs w:val="24"/>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1,564</w:t>
            </w:r>
          </w:p>
        </w:tc>
        <w:tc>
          <w:tcPr>
            <w:tcW w:w="540" w:type="dxa"/>
            <w:vAlign w:val="bottom"/>
          </w:tcPr>
          <w:p>
            <w:pPr>
              <w:spacing w:after="0"/>
              <w:rPr>
                <w:sz w:val="24"/>
                <w:szCs w:val="24"/>
                <w:color w:val="auto"/>
              </w:rPr>
            </w:pPr>
          </w:p>
        </w:tc>
        <w:tc>
          <w:tcPr>
            <w:tcW w:w="6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1,652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included in non-operating income</w:t>
            </w:r>
          </w:p>
        </w:tc>
        <w:tc>
          <w:tcPr>
            <w:tcW w:w="12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(241)</w:t>
            </w: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(239)</w:t>
            </w:r>
          </w:p>
        </w:tc>
        <w:tc>
          <w:tcPr>
            <w:tcW w:w="5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2010</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1,325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Carrying amounts and the related estimated fair value of the Venture Loan are as follows:</w:t>
            </w: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5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June 30, 2010</w:t>
            </w:r>
          </w:p>
        </w:tc>
        <w:tc>
          <w:tcPr>
            <w:tcW w:w="16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2009</w:t>
            </w:r>
          </w:p>
        </w:tc>
        <w:tc>
          <w:tcPr>
            <w:tcW w:w="0" w:type="dxa"/>
            <w:vAlign w:val="bottom"/>
          </w:tcPr>
          <w:p>
            <w:pPr>
              <w:spacing w:after="0"/>
              <w:rPr>
                <w:sz w:val="1"/>
                <w:szCs w:val="1"/>
                <w:color w:val="auto"/>
              </w:rPr>
            </w:pPr>
          </w:p>
        </w:tc>
      </w:tr>
      <w:tr>
        <w:trPr>
          <w:trHeight w:val="125"/>
        </w:trPr>
        <w:tc>
          <w:tcPr>
            <w:tcW w:w="46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500"/>
              <w:spacing w:after="0" w:line="125"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2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gridSpan w:val="2"/>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Fair Value</w:t>
            </w:r>
          </w:p>
        </w:tc>
        <w:tc>
          <w:tcPr>
            <w:tcW w:w="480" w:type="dxa"/>
            <w:vAlign w:val="bottom"/>
            <w:gridSpan w:val="2"/>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100" w:type="dxa"/>
            <w:vAlign w:val="bottom"/>
            <w:tcBorders>
              <w:bottom w:val="single" w:sz="8" w:color="auto"/>
            </w:tcBorders>
            <w:gridSpan w:val="4"/>
          </w:tcPr>
          <w:p>
            <w:pPr>
              <w:jc w:val="right"/>
              <w:ind w:right="289"/>
              <w:spacing w:after="0" w:line="142" w:lineRule="exact"/>
              <w:rPr>
                <w:sz w:val="20"/>
                <w:szCs w:val="20"/>
                <w:color w:val="auto"/>
              </w:rPr>
            </w:pPr>
            <w:r>
              <w:rPr>
                <w:rFonts w:ascii="Times New Roman" w:cs="Times New Roman" w:eastAsia="Times New Roman" w:hAnsi="Times New Roman"/>
                <w:sz w:val="14"/>
                <w:szCs w:val="14"/>
                <w:b w:val="1"/>
                <w:bCs w:val="1"/>
                <w:color w:val="auto"/>
              </w:rPr>
              <w:t>$ thousands</w:t>
            </w:r>
          </w:p>
        </w:tc>
        <w:tc>
          <w:tcPr>
            <w:tcW w:w="480" w:type="dxa"/>
            <w:vAlign w:val="bottom"/>
            <w:gridSpan w:val="2"/>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100" w:type="dxa"/>
            <w:vAlign w:val="bottom"/>
            <w:tcBorders>
              <w:bottom w:val="single" w:sz="8" w:color="auto"/>
            </w:tcBorders>
            <w:gridSpan w:val="3"/>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 loan</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3,729</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of the loan was assessed using an interest rate of 12% which represents market conditions for a similar loan.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5—Venture Loan</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On December 29, 2009, the Company entered into a loan modification agreement with the lenders of the Venture Loan. The new facility bears an interest rate of 9.5% per annum, with an effective interest rate of 18%. Following a five month moratorium on principal payments from February—June 2010 the Company will repay the loan monthly using a straight line calculation until March 2013. Future monthly payments of principal and interest amount to approximately $142,000. The Company began to repay the principal from July 1, 2010.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6—Temporary Equity</w:t>
      </w:r>
    </w:p>
    <w:p>
      <w:pPr>
        <w:spacing w:after="0" w:line="92"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Upon the consummation of the IPO the series B convertible preferred stock previously classified as temporary equity was granted a 33% stock dividend, subjected to the 1 to 6 reverse split and then exchanged for shares of common stock and recorded as such. The balance was recorded as additional paid-in capital.</w:t>
      </w:r>
    </w:p>
    <w:p>
      <w:pPr>
        <w:spacing w:after="0" w:line="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40"/>
          </w:cols>
          <w:pgMar w:left="240" w:top="455" w:right="3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7—Stockholders’ Equity</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94"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During the three and six months ended June 30, 2010, no stock options were awarded other than options to management (see below), 20,833 and 56,384 stock options were forfeited and 6,085 stock options were exercised.</w:t>
      </w:r>
    </w:p>
    <w:p>
      <w:pPr>
        <w:spacing w:after="0" w:line="120"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As of June 30, 2010, there was approximately $5.1 million of total unrecognized compensation cost related to non-vested share-based compensation arrangements granted under the incentive plans. That cost is expected to be recognized over a weighted-average period of 3.5 years.</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March 17, 2010, the Company’s Board of Directors (the “Board”) approved the granting of options to management, directors and consultants from an additional pool of options equal to 20% of the fully diluted equity of the Company subsequent to the IPO (“Management Options”). The Board approved the granting of 1,392,000 options at an exercise price of $0.01. These options will vest yearly over three and four year periods (according to the applicable schedule of the optionee), with the first portion vesting on the first anniversary of the consummation of the IPO. The Board also approved the granting of 1,420,000 options at an exercise price of $5.50 to its employees, directors and consultants. These options will vest quarterly over four years, with the first portion vesting on the first anniversary of the consummation of the IPO. A further 40,000 options (20,000 options with an exercise price of $0.01 and 20,000 options with an exercise price of $5.50) will be granted as a charitable donation. Expenses for these options have begun to be recorded upon the consummation of the IPO including $393 thousand of expenses during the three months ended June 30, 2010.</w:t>
      </w:r>
    </w:p>
    <w:p>
      <w:pPr>
        <w:spacing w:after="0" w:line="138"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Upon the consummation of the IPO, the Company recognized a charitable donation of 20,000 options with an exercise price of $1.50 granted in 2006. The fair value of the donation was calculated using the Black-Scholes-Merton model with an expected life of 6.33 years, a risk-free interest rate of 2.7%, an expected volatility of 56.1% and no dividend yield.</w:t>
      </w:r>
    </w:p>
    <w:p>
      <w:pPr>
        <w:spacing w:after="0" w:line="13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As of June 30, 2010, there were 413,134 Management Options available for grant at an exercise price of $0.01 and a further 385,134 Management Options available for grant at an exercise price of $5.50.</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option activity for the year 2010 by grant date.</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No. of</w:t>
            </w: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4"/>
              </w:rPr>
              <w:t>Fair value</w:t>
            </w:r>
          </w:p>
        </w:tc>
      </w:tr>
      <w:tr>
        <w:trPr>
          <w:trHeight w:val="149"/>
        </w:trPr>
        <w:tc>
          <w:tcPr>
            <w:tcW w:w="6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r>
      <w:tr>
        <w:trPr>
          <w:trHeight w:val="149"/>
        </w:trPr>
        <w:tc>
          <w:tcPr>
            <w:tcW w:w="65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 of shares</w:t>
            </w:r>
          </w:p>
        </w:tc>
        <w:tc>
          <w:tcPr>
            <w:tcW w:w="48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Non</w:t>
            </w:r>
          </w:p>
        </w:tc>
        <w:tc>
          <w:tcPr>
            <w:tcW w:w="9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6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r>
      <w:tr>
        <w:trPr>
          <w:trHeight w:val="165"/>
        </w:trPr>
        <w:tc>
          <w:tcPr>
            <w:tcW w:w="6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48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Employees</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stock</w:t>
            </w:r>
          </w:p>
        </w:tc>
      </w:tr>
      <w:tr>
        <w:trPr>
          <w:trHeight w:val="142"/>
        </w:trPr>
        <w:tc>
          <w:tcPr>
            <w:tcW w:w="65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U.S.$</w:t>
            </w:r>
          </w:p>
        </w:tc>
        <w:tc>
          <w:tcPr>
            <w:tcW w:w="2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17, 2010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1,340,000</w:t>
            </w:r>
          </w:p>
        </w:tc>
        <w:tc>
          <w:tcPr>
            <w:tcW w:w="16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52,000</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0.01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8"/>
                <w:szCs w:val="18"/>
                <w:color w:val="auto"/>
              </w:rPr>
            </w:pPr>
          </w:p>
        </w:tc>
      </w:tr>
      <w:tr>
        <w:trPr>
          <w:trHeight w:val="228"/>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March 17, 2010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1,368,000</w:t>
            </w:r>
          </w:p>
        </w:tc>
        <w:tc>
          <w:tcPr>
            <w:tcW w:w="16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52,000</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5.50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9"/>
                <w:szCs w:val="19"/>
                <w:color w:val="auto"/>
              </w:rPr>
            </w:pPr>
          </w:p>
        </w:tc>
      </w:tr>
    </w:tbl>
    <w:p>
      <w:pPr>
        <w:spacing w:after="0" w:line="13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fair value of the options to employees and directors is calculated using the Lattice model with an expected life of 2.35-5.33 years, a risk-free interest rate of 2.83% and an expected volatility of 64.3% and no dividend yield. The fair value of the common stock used for this calculation was $2.62. The fair value of options to non-employees is calculated using the Black-Scholes-Merton model with an expected life of 5.75 years, a risk free interest rate of 2.14% and an expected volatility of 55% and no dividend yield.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8—Commitments and Contingencies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for office space and cars, as of June 30, 2010, are as follows:</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65"/>
        </w:trPr>
        <w:tc>
          <w:tcPr>
            <w:tcW w:w="520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9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322"/>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2010 (six months ending December 31, 2010)</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8"/>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19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2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5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Rental expense for operating leases for both office space and cars for the six months ended June 30, 2010 and 2009 was $65 thousand, and $80 thousand, respectively. Rental expense for operating leases for both office space and cars for the three months ended June 30, 2010 and 2009 was $39 thousand, and $56 thousand,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9—Risks and Uncertainties</w:t>
      </w:r>
    </w:p>
    <w:p>
      <w:pPr>
        <w:spacing w:after="0" w:line="92" w:lineRule="exact"/>
        <w:rPr>
          <w:sz w:val="20"/>
          <w:szCs w:val="20"/>
          <w:color w:val="auto"/>
        </w:rPr>
      </w:pPr>
    </w:p>
    <w:p>
      <w:pPr>
        <w:ind w:left="900" w:right="40" w:hanging="446"/>
        <w:spacing w:after="0" w:line="262" w:lineRule="auto"/>
        <w:tabs>
          <w:tab w:leader="none" w:pos="9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primary business is to provide video ringtones globally by partnering with international telecommunication carriers. Principal markets targeted are the U.S., Europe and the Far East. The Company’s business depends on the technological infrastructures, wireless networks and information systems of the Company’s international carrier partners.</w:t>
      </w:r>
    </w:p>
    <w:p>
      <w:pPr>
        <w:spacing w:after="0" w:line="51" w:lineRule="exact"/>
        <w:rPr>
          <w:rFonts w:ascii="Times New Roman" w:cs="Times New Roman" w:eastAsia="Times New Roman" w:hAnsi="Times New Roman"/>
          <w:sz w:val="18"/>
          <w:szCs w:val="18"/>
          <w:b w:val="1"/>
          <w:bCs w:val="1"/>
          <w:color w:val="auto"/>
        </w:rPr>
      </w:pPr>
    </w:p>
    <w:p>
      <w:pPr>
        <w:ind w:left="900" w:right="860" w:hanging="446"/>
        <w:spacing w:after="0" w:line="275" w:lineRule="auto"/>
        <w:tabs>
          <w:tab w:leader="none" w:pos="9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38" w:lineRule="exact"/>
        <w:rPr>
          <w:rFonts w:ascii="Times New Roman" w:cs="Times New Roman" w:eastAsia="Times New Roman" w:hAnsi="Times New Roman"/>
          <w:sz w:val="18"/>
          <w:szCs w:val="18"/>
          <w:b w:val="1"/>
          <w:bCs w:val="1"/>
          <w:color w:val="auto"/>
        </w:rPr>
      </w:pPr>
    </w:p>
    <w:p>
      <w:pPr>
        <w:ind w:left="900" w:right="460" w:hanging="446"/>
        <w:spacing w:after="0" w:line="275" w:lineRule="auto"/>
        <w:tabs>
          <w:tab w:leader="none" w:pos="9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data is hosted at a remote location. Although the Company has full alternative site data back-up, they do not have data hosting redundancy and are thus exposed to the business risk of significant service interruptions.</w:t>
      </w:r>
    </w:p>
    <w:p>
      <w:pPr>
        <w:spacing w:after="0" w:line="38" w:lineRule="exact"/>
        <w:rPr>
          <w:rFonts w:ascii="Times New Roman" w:cs="Times New Roman" w:eastAsia="Times New Roman" w:hAnsi="Times New Roman"/>
          <w:sz w:val="18"/>
          <w:szCs w:val="18"/>
          <w:b w:val="1"/>
          <w:bCs w:val="1"/>
          <w:color w:val="auto"/>
        </w:rPr>
      </w:pPr>
    </w:p>
    <w:p>
      <w:pPr>
        <w:ind w:left="900" w:right="100" w:hanging="446"/>
        <w:spacing w:after="0" w:line="256" w:lineRule="auto"/>
        <w:tabs>
          <w:tab w:leader="none" w:pos="9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significant portion of the Company’s expenses are denominated in NIS. The Company expects this level of NIS expenses to continue for the foreseeable future. The average value of the dollar during the first half of 2010 decreased 7.6% as compared to its value in 2009.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57" w:lineRule="exact"/>
        <w:rPr>
          <w:rFonts w:ascii="Times New Roman" w:cs="Times New Roman" w:eastAsia="Times New Roman" w:hAnsi="Times New Roman"/>
          <w:sz w:val="18"/>
          <w:szCs w:val="18"/>
          <w:b w:val="1"/>
          <w:bCs w:val="1"/>
          <w:color w:val="auto"/>
        </w:rPr>
      </w:pPr>
    </w:p>
    <w:p>
      <w:pPr>
        <w:ind w:left="900" w:hanging="446"/>
        <w:spacing w:after="0" w:line="275" w:lineRule="auto"/>
        <w:tabs>
          <w:tab w:leader="none" w:pos="9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to continue operating as a going concern the Company may need to raise capital through further debt or equity transactions. The Company is thus exposed to a market risk that it will not be able to raise this capital.</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0" w:lineRule="exact"/>
        <w:rPr>
          <w:sz w:val="20"/>
          <w:szCs w:val="20"/>
          <w:color w:val="auto"/>
        </w:rPr>
      </w:pPr>
    </w:p>
    <w:p>
      <w:pPr>
        <w:ind w:right="20" w:firstLine="456"/>
        <w:spacing w:after="0" w:line="283" w:lineRule="auto"/>
        <w:rPr>
          <w:sz w:val="20"/>
          <w:szCs w:val="20"/>
          <w:color w:val="auto"/>
        </w:rPr>
      </w:pPr>
      <w:r>
        <w:rPr>
          <w:rFonts w:ascii="Times New Roman" w:cs="Times New Roman" w:eastAsia="Times New Roman" w:hAnsi="Times New Roman"/>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below and included in our Prospectus filed pursuant to</w:t>
      </w:r>
    </w:p>
    <w:p>
      <w:pPr>
        <w:spacing w:after="0" w:line="6"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Rule 424(b) under the Securities Act with the Securities and Exchange Commission on June 22, 2010.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94"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strategy to date has primarily focused on product maturation, research and development, distribution and marketing. We recently started focusing on commercializing our service primarily through agreements with mobile carriers and other partners. We have live commercial launches of our service with four mobile carriers operating in Turkey, Malaysia, Armenia and United Arab Emirates as well as a live commercial launch with RTL in Belgium, a major television network in that market. Our carrier partners have an aggregate of approximately 32 million subscribers, of which 66,000 subscribe to our service, as of June 30, 2010 and in addition 23,000 subscribers have enrolled on a free-trial basis. Following the termination of our agreement with Avea in Turkey, we signed a deal with Retromedya, a third party service provider there, whereby we will have access to offer our service to the customers of all carriers in Turkey. As of the fourth quarter of 2009, we began to recognize revenues from our carrier subscription service. We are negotiating with additional mobile carriers in a number of different countries and we expect to continue to scale our carrier business in 2010.</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Our Business Model</w:t>
      </w:r>
    </w:p>
    <w:p>
      <w:pPr>
        <w:spacing w:after="0" w:line="92"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Our business model entails revenue sharing from our mobile carriers using a subscription-based model where users pay a monthly fee for access to the service as well as additional fees for access to certain premium content. We believe that this is a highly scalable model that can be rolled out to many carriers across the world.</w:t>
      </w:r>
    </w:p>
    <w:p>
      <w:pPr>
        <w:spacing w:after="0" w:line="13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have launched our service together with mobile carriers in Turkey, Malaysia, Armenia and United Arab Emirates. Our mobile carrier partners co-brand our service and help market it to their subscribers. The pricing for subscriptions and content in various countries will vary substantially based on local economic conditions. In general, we aim to sell the monthly subscription for $1 to $3 and we expect to generally receive at least 30% of the monthly subscription revenue. We expect that premium content will generally be sold for $1 to $2 per item although this price and the monthly subscription rate may vary substantially by country. Operators usually do not charge us or our users for any data charges associated with using our service or for using the operator’s text messaging infrastructure to communicate with our subscribers.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455" w:right="2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model consists of growing our user base through carrier partnerships, continuing to ensure we have broad handset reach, enhancing our viral and social tools, maintaining and growing our product and technology leadership, building a strong revenue base of recurring monthly subscription revenue, finding new forms of distribution, exploring monetization through advertising, and revenue through content sales.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financial statements were prepared using principles applicable to a going concern, which contemplates the realizations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if we are not able to continue as a going concern. We had approximately $9.7 million of cash and cash equivalents at June 30, 2010. Our average monthly burn rate from operations for the six months ended June 30, 2010 and the year ended December 31, 2009, was $0.5 million, and $0.4 million, respectively. On April 1, 2009, we commenced repayment of a $5.0 million loan over a thirty-six month period (resulting in repayments amounting to approximately $0, $0.1 million and $0.8 million during the three and six months ended June 30, 2010 and the year ended December 31, 2009, respectively). This loan was modified to permit us to defer principal payments due during and subsequent to February 2010 until the consummation of our Initial Public Offering. Subsequent to the closing of the offering, we have recommenced principal payments and the loan will be repaid over 33 months until March 2013.</w:t>
      </w:r>
    </w:p>
    <w:p>
      <w:pPr>
        <w:spacing w:after="0" w:line="143"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We are a development stage company. From inception, we have raised approximately $28.5 million.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we raised a further $10.0 million through the issuance of 4,592,794 shares of Series B Convertible Preferred Stock and the issuance of 200,694 shares of common stock. In addition, in September 2008, we closed a $5.0 million loan from SVB/Gold Hill Capital. In December 2009, we completed a bridge round of financing of $3.0 million of convertible notes. These notes were converted into equity upon the closing of our offering. In our Initial Public Offering we raised $11.0 million through the sale of 2,392,000 units. Immediately prior to the closing of the IPO, the Series A Preferred Stock and the Series B Preferred Stock were granted a stock dividend of 15% and 33% respectively and exchanged (at a 1:1 ratio) for common stock following a 1 to 6 reverse split. These amounts have been used to finance our operations until now as we have not yet generated any significant revenues. From inception until June 30, 2010, we recorded losses of $26.7 million and a net cash outflow from operations of $20.3 million.</w:t>
      </w:r>
    </w:p>
    <w:p>
      <w:pPr>
        <w:spacing w:after="0" w:line="13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A substantial portion of our cash received and anticipated revenues are based in dollars and euros, while a significant portion of our expenses, principally salaries and related personnel expenses, are paid in Israeli currency by our subsidiary. As a result, we are exposed to an exchange rate risk if the value of the dollar or euro significantly depreciates vis-à-vis the value of the New Israeli Shekel.</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recognize revenue from monthly subscription from carriers when all the conditions for revenue recognition are met: (i) persuasive evidence of an arrangement exists, (ii) collection of the fee is probable, (iii) the sales price is fixed and determinable and (iv) delivery has occurred or services have been rendered. Our subscription service arrangements are evidenced by a written document signed by both parties. Our revenues from monthly subscription fees and content purchases are recognized when we have received confirmation from the carrier that the amount is due to us, which provides proof that the services have been rendered, and making collection probable.</w:t>
      </w:r>
    </w:p>
    <w:p>
      <w:pPr>
        <w:spacing w:after="0" w:line="13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recognize revenue from non-refundable up-front fees relating to set-up and billing integration across the period of the contract for the subscription service as these fees are part of a “hosting solution” as defined in ASC 605-10-S99 (SAB Topic 13.A.3.f). As these fees are part of a hosting solution that we provide to the carrier in Armenia, and that the hosting is provided on our servers for the entire 24 month period of the arrangement with this carrier, the revenues relating to the monthly subscription, set-up fees and billing integration have been recognized over the 24-month period in the agreement. Since the non-refundable up-front fee was paid in full to us in October 2009, we have determined that the collection is certain, an arrangement exists and the sales price has been fixed. As we have received customer acceptance from the carrier that the services have been rendered, that requirement is also met.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Revenues from minimum monthly revenue guarantees from carriers are recognized at the end of each billing period for the service provided as we have an agreement with the carrier, the fee has been agreed upon contractually and the collection of this fee is probable.</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Cost of revenue consists primarily of expenses directly related to providing our service in launched markets. These expenses include the costs associated with production servers serving the end-users, royalty fees for content sales and the direct costs of billing services and text messaging providers.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9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and server and support functions for our development environment.</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Marketing expenses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Marketing expenses include the salary of all business development and marketing personnel, 50% of the CEO’s salary, travel expenses relating to business development activity and tradeshows, as well as public relations, advertising and customer acquisition expenses. As we increase our sales, certain commissions to agents will also be included in sales and marketing expenses as well as purchases of content that will increase the attractiveness of our service to end-users. Royalties related to the sale of that content will be recorded in cost of revenue.</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include 50% of the CEO’s salary, the salary of our finance and administrative personnel, rental costs for both the U.S. and Israeli offices, legal and accounting costs and telephone and other office expenses including depreciation. We expect a our general and administrative expenses in the coming twelve months following the consummation of our initial public offering to increase significantly as we incur additional costs of being a public company. These costs will include increased legal and accounting costs, additional insurance costs, director compensation costs and increased compensation costs as a result of the recording of the Management Options. This is in addition to the specific increases in professional fees as a result of recording of the placement agent warrants.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Non-operating expenses (income)</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Until September 2008, our non-operating expense (income) was primarily from yields from our cash and cash equivalents. Subsequent to September 2008, as our cash resources have been depleted, we have received lower yields resulting from lower interest rates and we have drawn on our $5.0 million loan from Silicon Valley Bank and Gold Hill, or the venture loan. Accordingly, our finance expense since that date has been primarily from the interest payments on the venture loan. From December 2009 and until the consummation of our offering on June 21, 2010, these costs also included $0.1 million of interest expense on the convertible bridge loan. Non-operating expense also includes transaction gains (losses) from foreign exchange rate differences. In addition, non-operating expenses include a loss of $0.2 million (as restated) recorded as a result of the extinguishment of debt related to the loan modification agreement signed on December 29, 2009 with Silicon Valley Bank and Gold Hill, $1.1 million recorded as interest expense from the Beneficial Conversion Feature as a result of the conversion of the Bridge loan into equity, $1.2 million recorded as additional amortization on the convertible bridge loan and $1.3 million recorded on account of the lead investor warrants. Non-operating expenses were offset by non-operating income of $0.5 million of income from changes in fair value of the Special Bridge Warrants and the Conversion Warrants. We expect that our non-operating expenses (income) will be directly impacted by changes in fair value of these warrants over the next 5 years.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right="80" w:firstLine="456"/>
        <w:spacing w:after="0" w:line="291" w:lineRule="auto"/>
        <w:rPr>
          <w:sz w:val="20"/>
          <w:szCs w:val="20"/>
          <w:color w:val="auto"/>
        </w:rPr>
      </w:pPr>
      <w:r>
        <w:rPr>
          <w:rFonts w:ascii="Times New Roman" w:cs="Times New Roman" w:eastAsia="Times New Roman" w:hAnsi="Times New Roman"/>
          <w:sz w:val="16"/>
          <w:szCs w:val="16"/>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equipment and intangible assets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foreign income from our wholly owned subsidiary. At June 30, 2010, our deferred tax assets generated from our activities were entirely offset by a valuation allowance because realization depends on generating future taxable income, which, in our estimation, is not more likely than not to be realized. The deferred tax assets generated from our subsidiary’s operations are not offset by an allowance, as in our estimation, it is more likely than not to be realized.</w:t>
      </w:r>
    </w:p>
    <w:p>
      <w:pPr>
        <w:spacing w:after="0" w:line="113" w:lineRule="exact"/>
        <w:rPr>
          <w:sz w:val="20"/>
          <w:szCs w:val="20"/>
          <w:color w:val="auto"/>
        </w:rPr>
      </w:pPr>
    </w:p>
    <w:p>
      <w:pPr>
        <w:ind w:right="260" w:firstLine="456"/>
        <w:spacing w:after="0" w:line="293" w:lineRule="auto"/>
        <w:rPr>
          <w:sz w:val="20"/>
          <w:szCs w:val="20"/>
          <w:color w:val="auto"/>
        </w:rPr>
      </w:pPr>
      <w:r>
        <w:rPr>
          <w:rFonts w:ascii="Times New Roman" w:cs="Times New Roman" w:eastAsia="Times New Roman" w:hAnsi="Times New Roman"/>
          <w:sz w:val="16"/>
          <w:szCs w:val="16"/>
          <w:color w:val="auto"/>
        </w:rPr>
        <w:t>Our subsidiary generates net income from services it provides to us. The subsidiary charges us for research and development and certain management services which it provides us, plus a profit margin on such costs, which is currently 8%.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 zero percent tax benefits for the fiscal years of 2007 and 2008. Beginning in 2009, the subsidiary is subject to taxes on its income. This tax liability has been recorded in our financial statements for the three and six months ended June 30, 2010 and for the year ended December 31, 2009.</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Three Months and Six Months Ended June 30, 2010 and 2009 and the development stage period (cumulative from inception through June 30, 2010)</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following analysis compares the results of our operations for the three and six months ended June 30, 2010 to the results of operations for the three and six months ended June 30, 2009 and the results of our operations from inception through June 30, 2010.</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Cumulative</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from inception to</w:t>
            </w:r>
          </w:p>
        </w:tc>
        <w:tc>
          <w:tcPr>
            <w:tcW w:w="0" w:type="dxa"/>
            <w:vAlign w:val="bottom"/>
          </w:tcPr>
          <w:p>
            <w:pPr>
              <w:spacing w:after="0"/>
              <w:rPr>
                <w:sz w:val="1"/>
                <w:szCs w:val="1"/>
                <w:color w:val="auto"/>
              </w:rPr>
            </w:pPr>
          </w:p>
        </w:tc>
      </w:tr>
      <w:tr>
        <w:trPr>
          <w:trHeight w:val="152"/>
        </w:trPr>
        <w:tc>
          <w:tcPr>
            <w:tcW w:w="2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2009</w:t>
            </w:r>
          </w:p>
        </w:tc>
        <w:tc>
          <w:tcPr>
            <w:tcW w:w="1360" w:type="dxa"/>
            <w:vAlign w:val="bottom"/>
            <w:gridSpan w:val="2"/>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1"/>
              </w:rPr>
              <w:t>Change</w:t>
            </w:r>
          </w:p>
        </w:tc>
        <w:tc>
          <w:tcPr>
            <w:tcW w:w="48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480" w:type="dxa"/>
            <w:vAlign w:val="bottom"/>
            <w:gridSpan w:val="2"/>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46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 - in thousands)</w:t>
            </w:r>
          </w:p>
        </w:tc>
        <w:tc>
          <w:tcPr>
            <w:tcW w:w="4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 - in thousands)</w:t>
            </w:r>
          </w:p>
        </w:tc>
        <w:tc>
          <w:tcPr>
            <w:tcW w:w="4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 -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During the three and six months ended June 30, 2010, we recorded revenues of $44,000 and $74,000, which represents an increase of $44,000 and $74,000 from our revenues for the three and six months ended June 30, 2009. The increase in revenue from the first quarter to the second quarter was due to an increase in revenues from our revenue-sharing agreement in Malaysia whereby we recognized $15,000 in the second quarter and $9,000 in the first quarter (a growth of 167% quarter on quarter). We also recognized $15,000 in minimum guarantees from our service in the United Arab Emirates (up from $10,000 in the first quarter). Our revenues from our service in Armenia remained at $9,000 per quarter and we also recognized approximately $3,000 from our revenue-sharing agreement in Turkey (up from approximately $2,000 in the first quarter). We expect to continue to generate a substantial portion of our revenues for the coming quarters from: (i) continuing to recognize the revenue from our agreement with Vivacell in Armenia, (ii) minimum monthly guarantees relating to our service in the United Arab Emirates and (iii) our revenue-sharing agreements in Turkey and Malaysia. In July 2010, signed an agreement to expand our coverage in Turkey as the result of our agreement with Retromedya which will replace our revenue-sharing agreement with Avea. We expect that as a result of our agreement with Retromedya we will be able o reach a larger mobile subscriber base in Turkey. From inception through June 30, 2010, we have recorded revenues of $94,000, which amount includes $36,000 from our services in Armenia, $25,000 from our services in the United Arab Emirates, $27,000 from our services in Malaysia and $6,000 from our services in Turkey. We did not record any revenues for the three and six months ended June 30, 2009, as we were mainly focused on our research and development activities during that period and we did not begin to record revenue until the third quarter of 2009.</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Cumulative</w:t>
            </w:r>
          </w:p>
        </w:tc>
      </w:tr>
      <w:tr>
        <w:trPr>
          <w:trHeight w:val="149"/>
        </w:trPr>
        <w:tc>
          <w:tcPr>
            <w:tcW w:w="5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from inception</w:t>
            </w:r>
          </w:p>
        </w:tc>
      </w:tr>
      <w:tr>
        <w:trPr>
          <w:trHeight w:val="165"/>
        </w:trPr>
        <w:tc>
          <w:tcPr>
            <w:tcW w:w="5460" w:type="dxa"/>
            <w:vAlign w:val="bottom"/>
          </w:tcPr>
          <w:p>
            <w:pPr>
              <w:spacing w:after="0"/>
              <w:rPr>
                <w:sz w:val="14"/>
                <w:szCs w:val="14"/>
                <w:color w:val="auto"/>
              </w:rPr>
            </w:pPr>
          </w:p>
        </w:tc>
        <w:tc>
          <w:tcPr>
            <w:tcW w:w="2220" w:type="dxa"/>
            <w:vAlign w:val="bottom"/>
            <w:tcBorders>
              <w:bottom w:val="single" w:sz="8" w:color="auto"/>
            </w:tcBorders>
            <w:gridSpan w:val="7"/>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4"/>
                <w:szCs w:val="14"/>
                <w:color w:val="auto"/>
              </w:rPr>
            </w:pPr>
          </w:p>
        </w:tc>
        <w:tc>
          <w:tcPr>
            <w:tcW w:w="206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40" w:type="dxa"/>
            <w:vAlign w:val="bottom"/>
          </w:tcPr>
          <w:p>
            <w:pPr>
              <w:spacing w:after="0"/>
              <w:rPr>
                <w:sz w:val="14"/>
                <w:szCs w:val="14"/>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to June 30,</w:t>
            </w:r>
          </w:p>
        </w:tc>
      </w:tr>
      <w:tr>
        <w:trPr>
          <w:trHeight w:val="142"/>
        </w:trPr>
        <w:tc>
          <w:tcPr>
            <w:tcW w:w="54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3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Pr>
          <w:p>
            <w:pPr>
              <w:spacing w:after="0"/>
              <w:rPr>
                <w:sz w:val="12"/>
                <w:szCs w:val="12"/>
                <w:color w:val="auto"/>
              </w:rPr>
            </w:pPr>
          </w:p>
        </w:tc>
        <w:tc>
          <w:tcPr>
            <w:tcW w:w="64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2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 in thousands)</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3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 -in thousands)</w:t>
            </w:r>
          </w:p>
        </w:tc>
        <w:tc>
          <w:tcPr>
            <w:tcW w:w="2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During the three and six months ended June 30, 2010, our cost of revenue was $34,000 and $67,000, which represents an increase of $34,000 and $67,000 from our cost of revenue for the three and six months ended June 30, 2009. For the second quarter of 2010 our cost of revenue was stable in comparison to the first quarter of 2010. Cost of revenue is comprised of services related to the provision of content to end-users and hosted servers needed to support the service in markets where we have launched our services. As our service grows and we launch in other territories, we expect that cost of revenue will increase as we provide more content and other services to the users of our service. As some of these costs are fixed irrespective of our revenues, we expect our gross margin to increase over time. We believe that we currently have enough server capacity to service up to two million global users before we need to expand our server capacity. From inception through June 30, 2010, our total cost of revenue was $98,000. We did not record any cost of revenues for the three and six months ended June 30, 2009, as we were mainly focused on our research and development activities during that period and we did not begin to record revenue until the third quarter of 2009.</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Cumulative</w:t>
            </w:r>
          </w:p>
        </w:tc>
      </w:tr>
      <w:tr>
        <w:trPr>
          <w:trHeight w:val="149"/>
        </w:trPr>
        <w:tc>
          <w:tcPr>
            <w:tcW w:w="6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from inception</w:t>
            </w:r>
          </w:p>
        </w:tc>
      </w:tr>
      <w:tr>
        <w:trPr>
          <w:trHeight w:val="165"/>
        </w:trPr>
        <w:tc>
          <w:tcPr>
            <w:tcW w:w="6320" w:type="dxa"/>
            <w:vAlign w:val="bottom"/>
          </w:tcPr>
          <w:p>
            <w:pPr>
              <w:spacing w:after="0"/>
              <w:rPr>
                <w:sz w:val="14"/>
                <w:szCs w:val="14"/>
                <w:color w:val="auto"/>
              </w:rPr>
            </w:pPr>
          </w:p>
        </w:tc>
        <w:tc>
          <w:tcPr>
            <w:tcW w:w="21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Six months Ended June 30</w:t>
            </w:r>
          </w:p>
        </w:tc>
        <w:tc>
          <w:tcPr>
            <w:tcW w:w="200" w:type="dxa"/>
            <w:vAlign w:val="bottom"/>
          </w:tcPr>
          <w:p>
            <w:pPr>
              <w:spacing w:after="0"/>
              <w:rPr>
                <w:sz w:val="14"/>
                <w:szCs w:val="14"/>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to June 30,</w:t>
            </w:r>
          </w:p>
        </w:tc>
      </w:tr>
      <w:tr>
        <w:trPr>
          <w:trHeight w:val="142"/>
        </w:trPr>
        <w:tc>
          <w:tcPr>
            <w:tcW w:w="63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7"/>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2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2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 -</w:t>
            </w:r>
          </w:p>
        </w:tc>
        <w:tc>
          <w:tcPr>
            <w:tcW w:w="1160" w:type="dxa"/>
            <w:vAlign w:val="bottom"/>
            <w:gridSpan w:val="3"/>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20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 -in thousands)</w:t>
            </w:r>
          </w:p>
        </w:tc>
        <w:tc>
          <w:tcPr>
            <w:tcW w:w="2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6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2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2010, research and development expenses increased $0.1 million, or 21.2%, to $0.6 million, from $0.5 million in the three months ended June 30, 2009. During the six months ended June 30, 2010, research and development expenses increased $0.1 million or 6.6% to $1.1 million from $1.0 million in the six months ended June 30, 2009. From inception through June 30, 2010, research and development expenses amounted to $9.5 million. Of this amount, approximately $6.9 million was attributed to salaries and related expenses, $1.4 million was attributed to sub-contracting and consulting services and $0.4 million was attributed to patent expenses.</w:t>
      </w:r>
    </w:p>
    <w:p>
      <w:pPr>
        <w:spacing w:after="0" w:line="13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Our research and development expenses remained relatively stable for the three and six months ended June 30, 2010 as compared with the three and six months ended June 30, 2009. While we continue to develop and expand our product line, we have not increased our research and development costs over the last 12 months. As our business matures and our revenues increase, we expect that our research and development expenses will grow at a slower rate than our corresponding revenues and marketing expenses. We also expect that our compensation costs will continue to increase significantly due to the recording of the expense related to the options granted to management and employees in connection with the IPO. In the three months ended June 30, 2010, we recorded $0.1 million of these compensation expenses.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Marketing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Cumulative</w:t>
            </w:r>
          </w:p>
        </w:tc>
      </w:tr>
      <w:tr>
        <w:trPr>
          <w:trHeight w:val="149"/>
        </w:trPr>
        <w:tc>
          <w:tcPr>
            <w:tcW w:w="6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from inception</w:t>
            </w:r>
          </w:p>
        </w:tc>
      </w:tr>
      <w:tr>
        <w:trPr>
          <w:trHeight w:val="165"/>
        </w:trPr>
        <w:tc>
          <w:tcPr>
            <w:tcW w:w="6300" w:type="dxa"/>
            <w:vAlign w:val="bottom"/>
          </w:tcPr>
          <w:p>
            <w:pPr>
              <w:spacing w:after="0"/>
              <w:rPr>
                <w:sz w:val="14"/>
                <w:szCs w:val="14"/>
                <w:color w:val="auto"/>
              </w:rPr>
            </w:pPr>
          </w:p>
        </w:tc>
        <w:tc>
          <w:tcPr>
            <w:tcW w:w="1920" w:type="dxa"/>
            <w:vAlign w:val="bottom"/>
            <w:tcBorders>
              <w:bottom w:val="single" w:sz="8" w:color="auto"/>
            </w:tcBorders>
            <w:gridSpan w:val="5"/>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4"/>
                <w:szCs w:val="14"/>
                <w:color w:val="auto"/>
              </w:rPr>
            </w:pPr>
          </w:p>
        </w:tc>
        <w:tc>
          <w:tcPr>
            <w:tcW w:w="1780" w:type="dxa"/>
            <w:vAlign w:val="bottom"/>
            <w:tcBorders>
              <w:bottom w:val="single" w:sz="8" w:color="auto"/>
            </w:tcBorders>
            <w:gridSpan w:val="6"/>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to June 30,</w:t>
            </w:r>
          </w:p>
        </w:tc>
      </w:tr>
      <w:tr>
        <w:trPr>
          <w:trHeight w:val="142"/>
        </w:trPr>
        <w:tc>
          <w:tcPr>
            <w:tcW w:w="63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Pr>
          <w:p>
            <w:pPr>
              <w:spacing w:after="0"/>
              <w:rPr>
                <w:sz w:val="12"/>
                <w:szCs w:val="12"/>
                <w:color w:val="auto"/>
              </w:rPr>
            </w:pPr>
          </w:p>
        </w:tc>
        <w:tc>
          <w:tcPr>
            <w:tcW w:w="420" w:type="dxa"/>
            <w:vAlign w:val="bottom"/>
            <w:tcBorders>
              <w:bottom w:val="single" w:sz="8" w:color="auto"/>
            </w:tcBorders>
          </w:tcPr>
          <w:p>
            <w:pPr>
              <w:jc w:val="right"/>
              <w:ind w:right="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20" w:type="dxa"/>
            <w:vAlign w:val="bottom"/>
          </w:tcPr>
          <w:p>
            <w:pPr>
              <w:spacing w:after="0"/>
              <w:rPr>
                <w:sz w:val="12"/>
                <w:szCs w:val="12"/>
                <w:color w:val="auto"/>
              </w:rPr>
            </w:pPr>
          </w:p>
        </w:tc>
      </w:tr>
      <w:tr>
        <w:trPr>
          <w:trHeight w:val="142"/>
        </w:trPr>
        <w:tc>
          <w:tcPr>
            <w:tcW w:w="6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3"/>
          </w:tcPr>
          <w:p>
            <w:pPr>
              <w:jc w:val="right"/>
              <w:ind w:right="382"/>
              <w:spacing w:after="0" w:line="142" w:lineRule="exact"/>
              <w:rPr>
                <w:sz w:val="20"/>
                <w:szCs w:val="20"/>
                <w:color w:val="auto"/>
              </w:rPr>
            </w:pPr>
            <w:r>
              <w:rPr>
                <w:rFonts w:ascii="Times New Roman" w:cs="Times New Roman" w:eastAsia="Times New Roman" w:hAnsi="Times New Roman"/>
                <w:sz w:val="14"/>
                <w:szCs w:val="14"/>
                <w:b w:val="1"/>
                <w:bCs w:val="1"/>
                <w:color w:val="auto"/>
                <w:w w:val="94"/>
              </w:rPr>
              <w:t>- in thousands)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3"/>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2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 - in thousands)</w:t>
            </w:r>
          </w:p>
        </w:tc>
        <w:tc>
          <w:tcPr>
            <w:tcW w:w="2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896</w:t>
            </w:r>
          </w:p>
        </w:tc>
        <w:tc>
          <w:tcPr>
            <w:tcW w:w="8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1,040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2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2010, marketing expenses increased $0.2 million, or 48.5%, to $0.6 million, from $0.4 million in the three months ended June 30, 2009. During the six months ended June 30, 2010, marketing expenses increased $0.1 million, or 16.1%, to $1.0 million, from $0.9 million in the six months ended June 30, 2009. From inception through June 30, 2010, marketing expenses totaled $7.6 million. Of this amount, approximately $3.7 million was attributed to salaries and related expenses, $1.1 million was attributed to sub-contracting and consulting services, $0.6 million was attributed to public relations services and customer acquisition expenses, and $1.5 million was attributed to travel and tradeshows.</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growth in our marketing expenses for the three months ended June 30, 2010 was in part due to the re-hiring, in April, of a President in the US thereby increasing salary and compensation costs. This did not have a material effect on the six months to June 2010 compared with the six months to June 2009 as he was previously employed by us in January and February 2009 before leaving the company and we therefore recorded almost one quarter of salary and compensation costs then. In addition, there was an increase in share compensation and vacation expenses in this three month period. A significant portion of our marketing activity also relates to the launching of services with our global partners and building a pipeline for further agreements. In addition, we conducted direct-to-consumer marketing activities in the countries where we have launched our services to build on the efforts of our partners. While we do not expect to invest heavily in direct-to-consumer marketing activities in the future, we do expect an increase in marketing expenses as we continue launching our service in different global markets. In certain markets, our marketing efforts may include hiring local personnel to introduce us to the market and purchasing rights to certain local content. As our market reach grows, we expect our marketing expenses to continue to increase our visibility to potential partners. Marketing expenses also increased due to a significant increase in our compensation costs as a result of the recording of $0.2 million of compensation expenses related to the management options.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Cumulative</w:t>
            </w:r>
          </w:p>
        </w:tc>
      </w:tr>
      <w:tr>
        <w:trPr>
          <w:trHeight w:val="149"/>
        </w:trPr>
        <w:tc>
          <w:tcPr>
            <w:tcW w:w="5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from inception</w:t>
            </w:r>
          </w:p>
        </w:tc>
      </w:tr>
      <w:tr>
        <w:trPr>
          <w:trHeight w:val="165"/>
        </w:trPr>
        <w:tc>
          <w:tcPr>
            <w:tcW w:w="5740" w:type="dxa"/>
            <w:vAlign w:val="bottom"/>
          </w:tcPr>
          <w:p>
            <w:pPr>
              <w:spacing w:after="0"/>
              <w:rPr>
                <w:sz w:val="14"/>
                <w:szCs w:val="14"/>
                <w:color w:val="auto"/>
              </w:rPr>
            </w:pPr>
          </w:p>
        </w:tc>
        <w:tc>
          <w:tcPr>
            <w:tcW w:w="242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4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to June 30,</w:t>
            </w:r>
          </w:p>
        </w:tc>
      </w:tr>
      <w:tr>
        <w:trPr>
          <w:trHeight w:val="142"/>
        </w:trPr>
        <w:tc>
          <w:tcPr>
            <w:tcW w:w="57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2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58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 - in thousands)</w:t>
            </w:r>
          </w:p>
        </w:tc>
        <w:tc>
          <w:tcPr>
            <w:tcW w:w="2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2010, general and administrative expenses increased $0.3 or 107.6%, to $0.6 million, from $0.3 million in the three months ended June 30, 2009. During the six months ended June 30, 2010, general and administrative expenses increased $0.3 million, or 49.0%, to $0.9 million, from $0.6 million in the six months ended June 30, 2009. From inception through June 30, 2010, general and administrative expenses totaled $5.3 million. Of this amount, approximately $1.8 million was attributed to salaries and related expenses, $0.5 million was attributed to rent, $1.1 million was attributed to professional fees (including $0.2 million and $60,000 for placement agent fees and the fair value (as restated) of the placement agent warrant, respectively) and $0.35 million was attributed to depreciation.</w:t>
      </w:r>
    </w:p>
    <w:p>
      <w:pPr>
        <w:spacing w:after="0" w:line="13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June 30, 2010, were higher than the general and administrative expenses for the three months ended June 30, 2009 due to the increase in professional fees that were recorded in this period as we were previously not required to file quarterly reports which we are now required to do, as well as recording other professional fees that were not directly related to our IPO (and therefore not recorded as issuance costs). We also recorded $0.2 million of additional compensation expenses in this period due to the recording of the expense related to the management options. In addition, we recorded a monthly increase from the month of June of approximately $11,000 in additional insurance costs for our Directors’ and Officers’ liability insurance. Most of the professional fees relating to the offering have been capitalized and have not affected the operational expenses. The rise in our general and administrative expenses in 2010 have been partially offset by the reduction of our rental costs for our headquarters in New York, which decreased significantly due to our relocation upon the termination of our lease in September 2009. We expect that our general and administrative expenses will increase due to the costs of being a public company. These costs will be reflected in increased accounting, legal and insurance costs as well as increased costs to hire additional personnel to meet our obligations under the Sarbanes-Oxley Act. We also expect that our compensation costs will continue to increase significantly due to the recording of the expense related to the management options.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Non-operating Expense (Income), Net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Cumulative</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214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80" w:type="dxa"/>
            <w:vAlign w:val="bottom"/>
            <w:gridSpan w:val="5"/>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from inception</w:t>
            </w:r>
          </w:p>
        </w:tc>
        <w:tc>
          <w:tcPr>
            <w:tcW w:w="0" w:type="dxa"/>
            <w:vAlign w:val="bottom"/>
          </w:tcPr>
          <w:p>
            <w:pPr>
              <w:spacing w:after="0"/>
              <w:rPr>
                <w:sz w:val="1"/>
                <w:szCs w:val="1"/>
                <w:color w:val="auto"/>
              </w:rPr>
            </w:pPr>
          </w:p>
        </w:tc>
      </w:tr>
      <w:tr>
        <w:trPr>
          <w:trHeight w:val="152"/>
        </w:trPr>
        <w:tc>
          <w:tcPr>
            <w:tcW w:w="6320" w:type="dxa"/>
            <w:vAlign w:val="bottom"/>
          </w:tcPr>
          <w:p>
            <w:pPr>
              <w:spacing w:after="0"/>
              <w:rPr>
                <w:sz w:val="13"/>
                <w:szCs w:val="13"/>
                <w:color w:val="auto"/>
              </w:rPr>
            </w:pPr>
          </w:p>
        </w:tc>
        <w:tc>
          <w:tcPr>
            <w:tcW w:w="2140" w:type="dxa"/>
            <w:vAlign w:val="bottom"/>
            <w:gridSpan w:val="6"/>
            <w:vMerge w:val="continue"/>
          </w:tcPr>
          <w:p>
            <w:pPr>
              <w:spacing w:after="0"/>
              <w:rPr>
                <w:sz w:val="13"/>
                <w:szCs w:val="13"/>
                <w:color w:val="auto"/>
              </w:rPr>
            </w:pPr>
          </w:p>
        </w:tc>
        <w:tc>
          <w:tcPr>
            <w:tcW w:w="178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to June 30,</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3"/>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20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 (income), net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3"/>
              </w:rPr>
              <w:t>2,865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3,577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During the three months ended June 30, 2010, non-operating expense, net, increased $2.7 million, or 1,849.0%, to $2.9 million, from $0.1 million in the three months ended June 30, 2009. During the six months ended June 30, 2010, non-operating expense, net, increased $3.3 million, or 1,072.8%, to $3.6 million, from $0.3 million in the six months ended June 30, 2009. The change in non-operating expense, net was due primarily to the recording of the Bridge Notes at their residual value at the closing of the Bridge Financing, pursuant to which we recorded additional interest costs for the Bridge Notes of $0.6 million for the three months ended June 30, 2010 and $1.1 million for the six months ended June 30, 2010. In addition, as a result of the conversion of the Bridge Notes we recorded an additional interest expense of approximately $1.1 million on account of the beneficial conversion feature from the loan and an additional $0.1 million on account of the additional 69,132 Special Bridge Warrants that were issued to investors in the Bridge Financing, in addition to the original 795,200 such warrants issued upon the closing of the Bridge Financing. Additional interest expense on account of the loan amortization of $0.1 million in addition to the interest expense recorded for the venture loan was also recorded in this period. In connection with the granting of the lead investor warrants we recorded additional interest expense of $1.3 million. We also recorded approximately $0.1 million of interest expense for the Bridge Notes and approximately $0.2 million of interest expense for the venture loan. The rise in these expenses was partially offset by the recording of non-operating income of approximately $0.2 million from the adjustment of the fair value of the Special Bridge Warrants as of June 30 and a further $0.2 million adjustment of the fair value of the Conversion Warrants.</w:t>
      </w:r>
    </w:p>
    <w:p>
      <w:pPr>
        <w:spacing w:after="0" w:line="146"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From inception through June 30, 2010, non-operating expenses totaled $4.2 million. Of this amount, we recorded income from interest on deposits of $0.4 million and interest expense on the SVB/Gold Hill loan of $0.8 million. In addition, we recorded $0.14 million of debt extinguishment expense related to the Series B Convertible Preferred Stock, $0.2 million of debt extinguishment expenses as a result of the loan modification agreement with SVB/Gold Hill, $1.1 million of additional interest expense as a result of the conversion of the Bridge Notes at preferential terms, $0.3 million of warrant amortization and $1.1 million of additional interest expense from the Bridge Notes as well as $0.1 million of interest expenses on the Bridge Notes. We have also recorded an expense of $1.3 million as additional interest expense for the warrants granted to the lead investors of the Bridge Financing. We also recorded non-operating income of $0.5 million for the adjustment of the fair value of the Special Bridge Warrants and the Conversion Warrants. We expect that our non-operating expenses moving forward will be affected by the adjustments to fair value of the derivative instruments (Special Bridge Warrants and the Conversion Warrants) and by additional interest payments for our continuing Venture Loan.</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Cumulative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660" w:type="dxa"/>
            <w:vAlign w:val="bottom"/>
            <w:gridSpan w:val="7"/>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500" w:type="dxa"/>
            <w:vAlign w:val="bottom"/>
            <w:gridSpan w:val="6"/>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from inception</w:t>
            </w: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2660" w:type="dxa"/>
            <w:vAlign w:val="bottom"/>
            <w:gridSpan w:val="7"/>
            <w:vMerge w:val="continue"/>
          </w:tcPr>
          <w:p>
            <w:pPr>
              <w:spacing w:after="0"/>
              <w:rPr>
                <w:sz w:val="13"/>
                <w:szCs w:val="13"/>
                <w:color w:val="auto"/>
              </w:rPr>
            </w:pPr>
          </w:p>
        </w:tc>
        <w:tc>
          <w:tcPr>
            <w:tcW w:w="2500" w:type="dxa"/>
            <w:vAlign w:val="bottom"/>
            <w:gridSpan w:val="6"/>
            <w:vMerge w:val="continue"/>
          </w:tcPr>
          <w:p>
            <w:pPr>
              <w:spacing w:after="0"/>
              <w:rPr>
                <w:sz w:val="13"/>
                <w:szCs w:val="13"/>
                <w:color w:val="auto"/>
              </w:rPr>
            </w:pPr>
          </w:p>
        </w:tc>
        <w:tc>
          <w:tcPr>
            <w:tcW w:w="1000" w:type="dxa"/>
            <w:vAlign w:val="bottom"/>
            <w:gridSpan w:val="2"/>
          </w:tcPr>
          <w:p>
            <w:pPr>
              <w:jc w:val="center"/>
              <w:ind w:right="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to June 30,</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46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 in thousands)</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78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color w:val="auto"/>
        </w:rPr>
        <w:t>During the three months ended June 30, 2010, taxes on income decreased $3,000, or 14.3%, to $18,000, from $21,000 in the three months ended June 30, 2009. During the six months ended June 30, 2010, taxes on income decreased $2,000, or 5.0%, to $38,000 from $40,000 in the six months ended June 30, 2009. The change in taxes on income was due to profits generated by our subsidiary as a result of the intercompany cost plus agreement between us and the subsidiary, whereby the subsidiary performs development services for us and is reimbursed for its expenses plus 8%. For financial statements purposes, these profits are eliminated upon consolidation. The profits of the subsidiary benefitted from a tax holiday in the 2007-2008 tax years but are taxable thereafter. In prior periods, the changes in taxes on income resulted from the change in the deferred tax asset, as those periods were covered by the tax holiday as described above. From</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inception through June 30, 2010, taxes on income totaled $32,000. We expect this trend will continue as our subsidiary will continue to profit from the cost plus agreement. In the future, the subsidiary may apply for an extension to its “Beneficiary Enterprise” status under the Israeli Law for the Encouragement of Capital Investments, 1959, whereby part of its profits may be tax-exempt.</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94"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As of June 30, 2010, we had a cash position of $9.7 million and net working capital of $7.5 million. The increase in cash of $9 million for the six months ended June 30, 2010 compared to the year ended December 31, 2009 was due to the receipt of proceeds from the IPO. We believe that cash and cash equivalents and expected cash flow from operations will be sufficient to meet our planned cash requirements for working capital and other obligations for at least the next twelve months. In the six months ended June 30, 2010, we received the remaining $2.6 million proceeds from the Bridge Financing, of which $0.2 million was paid to the placement agent for the Bridge Financing and we also received net proceeds of $9.3 million from our Initial Public Offering. The increase in net cash outflow from operations for the six months ended June 30, 2010 compared to the year ended December 31, 2009 reflects payments related to our IPO. As of June 30, 2010, our stockholders’ equity was $2.6 million due in part to the classification of the Special Bridge Warrants and the Conversion Warrants as derivative liabilities rather than equity securities. Accordingly, our stockholders’ equity as of June 30, 2010 was less than the $4.0 million stockholders’ equity continuing listing standard of the NYSE Amex.</w:t>
      </w:r>
    </w:p>
    <w:p>
      <w:pPr>
        <w:spacing w:after="0" w:line="143"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We have historically funded our operations primarily through the sale of our securities, including sales of common stock, convertible notes, preferred stock and warrants.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In July 2007, we raised $12.1 million (including the $2.1 million above) through the issuance of 4,592,794 shares of Series B Convertible Preferred Stock and the issuance of 200,694 shares of common stock. In addition, in September 2008, we closed a $5.0 million loan from SVB/Gold Hill Capital. In December 2009, we completed the Bridge Financing of $3.0 million of convertible notes. In June 2010, we completed our IPO raising gross proceeds of approximately $11 million through the sale of 2,392,000 units consisting of one share of common stock and two warrants. We anticipate that we will continue to issue equity and/or debt securities as the primary source of liquidity, when needed, until we generate positive cash flow to support our operations. We cannot give any assurance that the necessary capital will be raised or that, if funds are raised, it will be on favorable terms. Any future sales of securities to finance our company will dilute existing stockholders’ ownership. We cannot guarantee when or if we will ever generate positive cash flow.</w:t>
      </w:r>
    </w:p>
    <w:p>
      <w:pPr>
        <w:spacing w:after="0" w:line="33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As of June 30, 2010, we had 33 full time employees and four part-time employees. We do not expect to significantly increase our workforce in the next 12 months.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60"/>
          </w:cols>
          <w:pgMar w:left="240" w:top="455" w:right="2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Cash flows for the six months ended June 30, 2010 and 2009</w:t>
      </w:r>
    </w:p>
    <w:p>
      <w:pPr>
        <w:spacing w:after="0" w:line="211"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2540</wp:posOffset>
            </wp:positionV>
            <wp:extent cx="13290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ind w:left="8400"/>
        <w:spacing w:after="0"/>
        <w:tabs>
          <w:tab w:leader="none" w:pos="9220" w:val="left"/>
          <w:tab w:leader="none" w:pos="9940" w:val="left"/>
        </w:tabs>
        <w:rPr>
          <w:sz w:val="20"/>
          <w:szCs w:val="20"/>
          <w:color w:val="auto"/>
        </w:rPr>
      </w:pPr>
      <w:r>
        <w:rPr>
          <w:rFonts w:ascii="Times New Roman" w:cs="Times New Roman" w:eastAsia="Times New Roman" w:hAnsi="Times New Roman"/>
          <w:sz w:val="14"/>
          <w:szCs w:val="14"/>
          <w:b w:val="1"/>
          <w:bCs w:val="1"/>
          <w:color w:val="auto"/>
        </w:rPr>
        <w:t>2010</w:t>
      </w:r>
      <w:r>
        <w:rPr>
          <w:sz w:val="20"/>
          <w:szCs w:val="20"/>
          <w:color w:val="auto"/>
        </w:rPr>
        <w:tab/>
      </w:r>
      <w:r>
        <w:rPr>
          <w:rFonts w:ascii="Times New Roman" w:cs="Times New Roman" w:eastAsia="Times New Roman" w:hAnsi="Times New Roman"/>
          <w:sz w:val="14"/>
          <w:szCs w:val="14"/>
          <w:b w:val="1"/>
          <w:bCs w:val="1"/>
          <w:color w:val="auto"/>
        </w:rPr>
        <w:t>2009</w:t>
      </w:r>
      <w:r>
        <w:rPr>
          <w:sz w:val="20"/>
          <w:szCs w:val="20"/>
          <w:color w:val="auto"/>
        </w:rPr>
        <w:tab/>
      </w:r>
      <w:r>
        <w:rPr>
          <w:rFonts w:ascii="Times New Roman" w:cs="Times New Roman" w:eastAsia="Times New Roman" w:hAnsi="Times New Roman"/>
          <w:sz w:val="12"/>
          <w:szCs w:val="12"/>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-6985</wp:posOffset>
            </wp:positionV>
            <wp:extent cx="2914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-6985</wp:posOffset>
            </wp:positionV>
            <wp:extent cx="2914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ind w:left="8860"/>
        <w:spacing w:after="0" w:line="223" w:lineRule="auto"/>
        <w:rPr>
          <w:sz w:val="20"/>
          <w:szCs w:val="20"/>
          <w:color w:val="auto"/>
        </w:rPr>
      </w:pPr>
      <w:r>
        <w:rPr>
          <w:rFonts w:ascii="Times New Roman" w:cs="Times New Roman" w:eastAsia="Times New Roman" w:hAnsi="Times New Roman"/>
          <w:sz w:val="14"/>
          <w:szCs w:val="14"/>
          <w:b w:val="1"/>
          <w:bCs w:val="1"/>
          <w:color w:val="auto"/>
        </w:rPr>
        <w:t>($ - in thousands)</w:t>
      </w:r>
    </w:p>
    <w:p>
      <w:pPr>
        <w:spacing w:after="0" w:line="10"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(2,787)</w:t>
            </w: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(2,611)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2,548</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2,570</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9,186</w:t>
            </w: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(259)</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9,445</w:t>
            </w:r>
          </w:p>
        </w:tc>
      </w:tr>
    </w:tbl>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92" w:lineRule="exact"/>
        <w:rPr>
          <w:sz w:val="20"/>
          <w:szCs w:val="20"/>
          <w:color w:val="auto"/>
        </w:rPr>
      </w:pPr>
    </w:p>
    <w:p>
      <w:pPr>
        <w:jc w:val="both"/>
        <w:ind w:right="40" w:firstLine="456"/>
        <w:spacing w:after="0" w:line="285" w:lineRule="auto"/>
        <w:rPr>
          <w:sz w:val="20"/>
          <w:szCs w:val="20"/>
          <w:color w:val="auto"/>
        </w:rPr>
      </w:pPr>
      <w:r>
        <w:rPr>
          <w:rFonts w:ascii="Times New Roman" w:cs="Times New Roman" w:eastAsia="Times New Roman" w:hAnsi="Times New Roman"/>
          <w:sz w:val="16"/>
          <w:szCs w:val="16"/>
          <w:color w:val="auto"/>
        </w:rPr>
        <w:t>During the six months ended June 30, 2010, net cash used in operating activities totaled $2.8 million. During the six months ended June 30, 2009, net cash used in operating activities totaled $2.6 million. This increase of $0.2 million was due to payments to service providers in connection with the Bridge Financing and the IPO, including the placement agent, auditors and legal counsel. We expect our net cash used in operating activities to increase in the next twelve months due to costs related to being a public company. As we move towards greater revenue generation, we expect some of these amounts will be offset by revenue.</w:t>
      </w:r>
    </w:p>
    <w:p>
      <w:pPr>
        <w:spacing w:after="0" w:line="3"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Since we receive most of our revenues directly from carriers whose payment schedules are generally at net 60 days or net 90 days (and sometimes even longer than that), and our suppliers’ payment schedules are generally net 30 days, we do not expect the increase in revenue will initially increase our net cash from operating activities.</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During the six months ended June 30, 2010, net cash provided by investing activities totaled $2.5 million. During the six months ended June 30, 2009, net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used in investing activities totaled $22,000. This increase of $2.6 million in investing activities is primarily due to the release of proceeds from the Bridge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from escrow, which was slightly offset by the purchase of fixed assets. Fixed asset purchases in the six months ended June 30, 2010 amounted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$34,000 compared to $22,000 for the six months ended June 30, 2009. The increase in fixed asset purchases was due to the need to replace certain fixed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 had fully depreciated and to improve the servers in the research and development facility of our Israeli subsidiary. We expect that net cash used in investing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will increase in the twelve months following the offering as we intend to use a portion of the investment proceeds from the offering on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expenditures for computers, software and office furniture. Moreover, as our service continues to grow, we will need to increase our server capacity to meet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needs of our customers.</w:t>
      </w:r>
    </w:p>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2010, net cash provided by financing activities totaled $9.2 million, which relates to the net proceeds received as a result of our Initial Public Offering, partially offset by the one payment of principal on the Venture Loan (prior to the moratorium on principal payments). Following the successful completion of the Initial Public Offering we expect to continue to see a net cash outflow from financing activities as a result of the repayment of the Venture Loan and, dependent on our share price and other market conditions, possible inflows from the exercise of warrants and other instruments.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Bridge Financing</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December 29, 2009, we consummated a private placement of our 5% subordinated convertible promissory notes in the aggregate amount of $3.0 million (the “Bridge Notes”) and warrants to purchase 864,332 shares of common stock for an aggregate purchase price of $3.0 million (the “Bridge Financing”). Upon the closing of our Initial Public Offering, on June 21, 2010, these Bridge Notes converted into an aggregate of 864,332 shares of common stock and warrants to purchase 1,728,664 shares of common stock. In connection with the Bridge Financing, we issued additional warrants to purchase shares of common stock to the lead investors (482,346 shares), our senior lenders (250,000 shares) and our placement agent (55,664 shares).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455" w:right="2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June 21, 2010, we consummated an initial public offering in the aggregate amount of $11.0 million (the “IPO”) whereby we sold 2,392,000 units consisting of one share of common stock and two warrants. Each unit was sold at $4.60, with the warrants exercisable for five years following the IPO at an exercise price $5.06. Net proceeds from this offering were approximately $9.3 after taking into account the underwriters discounts and other related expenses. Upon the consummation of the IPO the Bridge Notes were converted into an aggregate of 864,332 units (see above). As a result of this offering the shares of Series A and Series B Convertible Preferred Stock were awarded a stock dividend, were subject to a 1 to 6 reverse split and converted in common stock according to a 1 to 1 ratio.</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Future operations</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As a result of our Initial Public Offering, we believe we have sufficient cash to meet our planned operating needs for at least the next 12 months, based on our current cash levels, including the cash raised from the offering. Following that date, we believe that we could need additional financing, through the exercise of the warrants that were registered in this offering or otherwise through an additional offering, in order to meet our longer-term cash flow needs. In estimating our expected cash flow, we have considered the current economic climate and our revenue estimations as discussed above.</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will also assess acquisition opportunities as they arise. We may require additional financing if we decide to make acquisitions. We are not considering any specific acquisition opportunities at this time and there can be no assurance, however, that any such opportunities may arise, or that any such acquisitions may be consummated. Additional financing may not be available on satisfactory terms when required. To the extent that we raise additional funds by issuing equity securities, our stockholders may experience significant dilution.</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Venture loan</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have drawn down on a loan facility for $5.0 million. The loan facility bears interest at a rate of 9.5% per annum and an effective interest rate of 18%. The contractual repayment schedule requires a 36-month repayment schedule beginning on March 31, 2009 following a six-month interest only period. Pursuant to the Bridge Financing, we entered into a loan modification agreement with our lenders whereby principal payments on the facility were deferred until the earlier of six months from the Bridge Financing or the consummation of the initial public offering. Following the recommencement of principal payments, on July 1, 2010, the remaining portion of the loan will be repaid through March 1, 2013. Future loan payments on the facility, including principal and interest will amount to approximately $142,000 per month.</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94" w:lineRule="exact"/>
        <w:rPr>
          <w:sz w:val="20"/>
          <w:szCs w:val="20"/>
          <w:color w:val="auto"/>
        </w:rPr>
      </w:pPr>
    </w:p>
    <w:p>
      <w:pPr>
        <w:jc w:val="both"/>
        <w:ind w:right="220" w:firstLine="456"/>
        <w:spacing w:after="0" w:line="339" w:lineRule="auto"/>
        <w:rPr>
          <w:sz w:val="20"/>
          <w:szCs w:val="20"/>
          <w:color w:val="auto"/>
        </w:rPr>
      </w:pPr>
      <w:r>
        <w:rPr>
          <w:rFonts w:ascii="Times New Roman" w:cs="Times New Roman" w:eastAsia="Times New Roman" w:hAnsi="Times New Roman"/>
          <w:sz w:val="16"/>
          <w:szCs w:val="16"/>
          <w:color w:val="auto"/>
        </w:rPr>
        <w:t>We have a non-cancellable operating lease for our subsidiary’s offices in Israel for which we pay approximately $5,000 monthly. This commitment is for the period ending May 31, 2012. We pay $3,900 monthly for our U.S. lease. Our U.S. lease is cancellable upon 45 days notice and expires on August 31, 2010.</w:t>
      </w:r>
    </w:p>
    <w:p>
      <w:pPr>
        <w:spacing w:after="0" w:line="7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subsidiary leases four motor vehicles for certain employees with variable commencement and expiration dates. All leases are for a total of 36 months whereby the final three months of the contract have been prepaid. Total monthly expenses for these leases amount to $3,000. Expiration dates for the leases are on various dates from December 2010 through August 2011.</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94" w:lineRule="exact"/>
        <w:rPr>
          <w:sz w:val="20"/>
          <w:szCs w:val="20"/>
          <w:color w:val="auto"/>
        </w:rPr>
      </w:pPr>
    </w:p>
    <w:p>
      <w:pPr>
        <w:ind w:right="320" w:firstLine="456"/>
        <w:spacing w:after="0" w:line="310" w:lineRule="auto"/>
        <w:rPr>
          <w:sz w:val="20"/>
          <w:szCs w:val="20"/>
          <w:color w:val="auto"/>
        </w:rPr>
      </w:pPr>
      <w:r>
        <w:rPr>
          <w:rFonts w:ascii="Times New Roman" w:cs="Times New Roman" w:eastAsia="Times New Roman" w:hAnsi="Times New Roman"/>
          <w:sz w:val="16"/>
          <w:szCs w:val="16"/>
          <w:color w:val="auto"/>
        </w:rPr>
        <w:t>While our significant accounting policies are more fully described in the notes to our audited consolidated financial statements for the years ended December 31, 2009 and 2008 and our unaudited consolidated financial statements for the three and six months ended June 30, 2010, we believe the following accounting policies to be the most critical in understanding the judgments and estimates we use in preparing our consolidated financial statements.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92"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We account for stock-based awards under ASC 718, “Compensation—Stock Compensation”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“Equity-Based Payments to Non Employees”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13"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determine the fair value of stock options granted to employees and directors using the Black-Scholes-Merton valuation model, which requires significant assumptions regarding the expected stock price volatility, the risk-free interest rate and the dividend yield, and the estimated period of time option grants will be outstanding before they are ultimately exercised. We estimate our expected stock volatility based on historical stock volatility from comparable companies. Our common stock valuation for June 25, 2009 (the date we granted stock options in 2009) valued our common stock at $0.35 before giving effect to the reverse split. The valuation was calculated using the option-pricing method, which treats common stock and preferred stock as call options on the enterprise’s value, with the exercise price based on the liquidation preference of the preferred stock. Under this method, the common stock has value only if the funds available for distribution to stockholders exceed the value of the liquidation preference at the time of a liquidity event (e.g., a merger or sale), assuming the enterprise has funds available to make a liquidation preference meaningful and collectible by stockholders. In the option-pricing model, the valuation of the common stock is modeled as a call option that gives its owner the right, but not the obligation, to buy the underlying enterprise value at a predetermined exercise price. The option-pricing method commonly uses the Black-Scholes-Merton model to price the call option. Under this method, the fair value of the common stock was estimated as the net value of a series of call options, representing the present value of the expected future returns to common stockholders. To apply this method, the following factors were taken into consideration: rights of shares, liquidation preference amount and share count. The Black-Scholes-Merton model used an expected life of three years, a risk-fee interest rate of 1.64% and 75% volatility.</w:t>
      </w:r>
    </w:p>
    <w:p>
      <w:pPr>
        <w:spacing w:after="0" w:line="146" w:lineRule="exact"/>
        <w:rPr>
          <w:sz w:val="20"/>
          <w:szCs w:val="20"/>
          <w:color w:val="auto"/>
        </w:rPr>
      </w:pPr>
    </w:p>
    <w:p>
      <w:pPr>
        <w:ind w:right="40" w:firstLine="456"/>
        <w:spacing w:after="0" w:line="288" w:lineRule="auto"/>
        <w:rPr>
          <w:sz w:val="20"/>
          <w:szCs w:val="20"/>
          <w:color w:val="auto"/>
        </w:rPr>
      </w:pPr>
      <w:r>
        <w:rPr>
          <w:rFonts w:ascii="Times New Roman" w:cs="Times New Roman" w:eastAsia="Times New Roman" w:hAnsi="Times New Roman"/>
          <w:sz w:val="16"/>
          <w:szCs w:val="16"/>
          <w:color w:val="auto"/>
        </w:rPr>
        <w:t>The effect on our consolidated statement of operations of the 1,392,000 Management Options granted at $0.01 and of the 1,420,000 management options granted at $5.50 upon consummation of the offering was based on the valuation of the common stock as discussed below. These options, although granted during the first quarter, only reached their recognition date with the consummation of the offering, and expenses were recorded in the consolidated financial statements as of June 30, 2010 for the period from the grant date until June 30, 2010. To calculate the effect of these options on our consolidated statement of operations, we considered the valuation of the common stock as at March 31, 2010 (as discussed below) and calculated the value of these management options using the Lattice model, with a volatility of 64.3% and a risk-free interest rate of 2.83% . The volatility and risk-free interest rate were calculated using the contractual life of these options (6 years), whilst the value was calculated using the estimated life of 2.35 years for the $0.01 options and 5.33 years for the $5.50 options. The fair value of the common stock as of March 31, 2010 was determined to be $2.62, which represents the $2.80 ascribed value of the common stock portion of the unit, discounted to reflect other exit scenarios. Options granted to consultants are revalued at every reporting period. These options were valued using the Black-Scholes-Merton model. As of June 30, 2010, the fair value of the common stock was determined to be $2.57, based on an expected volatility of 53%—54%, risk-free interest rate of 1.4%—1.8% and a market fair value of the IPO unit of $4.10 (the unit value at June 30, 2010).</w:t>
      </w:r>
    </w:p>
    <w:p>
      <w:pPr>
        <w:spacing w:after="0" w:line="33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effect on our consolidated statement of operations of the 482,346 options granted at $0.01 to the lead investors were valued on June 21, 2010 using the Black-Scholes-Merton model. The fair value of these options were determined using a fair value of the common stock of $2.79, an expected volatility of 52.6%, risk-free interest rate of 1.7% and an expected life of 4 years.</w:t>
      </w:r>
    </w:p>
    <w:p>
      <w:pPr>
        <w:spacing w:after="0" w:line="132" w:lineRule="exact"/>
        <w:rPr>
          <w:sz w:val="20"/>
          <w:szCs w:val="20"/>
          <w:color w:val="auto"/>
        </w:rPr>
      </w:pPr>
    </w:p>
    <w:p>
      <w:pPr>
        <w:jc w:val="both"/>
        <w:ind w:right="360" w:firstLine="456"/>
        <w:spacing w:after="0" w:line="262" w:lineRule="auto"/>
        <w:rPr>
          <w:sz w:val="20"/>
          <w:szCs w:val="20"/>
          <w:color w:val="auto"/>
        </w:rPr>
      </w:pPr>
      <w:r>
        <w:rPr>
          <w:rFonts w:ascii="Times New Roman" w:cs="Times New Roman" w:eastAsia="Times New Roman" w:hAnsi="Times New Roman"/>
          <w:sz w:val="18"/>
          <w:szCs w:val="18"/>
          <w:color w:val="auto"/>
        </w:rPr>
        <w:t>The charitable warrant granted in October 2006 that reached its recognition date at the consummation of the IPO was valued using the Black-Scholes-Merton model, with a volatility of 56.1%, expected life of 6.33 years and a risk-free interest rate of 2.70%. The fair value of the common stock was valued at $2.79.</w:t>
      </w:r>
    </w:p>
    <w:p>
      <w:pPr>
        <w:spacing w:after="0" w:line="13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To the extent we made different assumptions regarding the fair value of the common stock, the stock price volatility or the estimated time that option and warrant grants will be outstanding before they are ultimately exercised, the related stock based compensation expense, and our net loss and net loss per share, could have been significantly different.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92"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June 30, 2010,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12"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ASC 740, “Income Taxes” (formerly FASB Interpretation No. 48, “Accounting for Uncertainty in Income Taxes—an Interpretation of FASB Statement 109”),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Valuation of Common Stock</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units that were issued as part of the IPO consist of one share of common stock and two warrants (each exercisable at $5.06). We used the Black-Scholes-Merton model to determine the value of the warrants. The warrants in the unit were valued at June 30, 2010 based on an exercise price of $5.06, expected term of five years, volatility of 54% and a risk-free interest rate of 1.82%. These parameters valued the two warrants at $1.53 and the common stock at $2.57. The warrants in the unit were valued at December 31, 2009 using the following parameters—an exercise price of $5.50 (the expected exercise price at the time of the valuation), expected term of five years, volatility of 60.63% and a risk-free interest rate of 2.87%. These parameters valued the two warrants at $2.14 and the common stock at $2.86. This common stock valuation was used to determine the value of the Special Bridge Warrants as well as the value of the warrants attached to the modified venture loan and was also used to value the common stock options as stated above.</w:t>
      </w:r>
    </w:p>
    <w:p>
      <w:pPr>
        <w:spacing w:after="0" w:line="14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common stock valuation for December 31, 2009 valued our common stock at $0.43 before giving effect to the reverse split, or $2.58 on a post reverse-split basis. The valuation assumed the consummation of this offering based upon an assumed offering price of $5.00. The difference between the value of $2.86 for the common stock compared to the unit price of $5.00 is the value of the two warrants. This value of $2.58 represents the $2.86 ascribed value of the common share portion of the unit, discounted to reflect other exit scenarios.</w:t>
      </w:r>
    </w:p>
    <w:p>
      <w:pPr>
        <w:spacing w:after="0" w:line="136"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To the extent we made different assumptions regarding the fair value of the common stock, the stock price volatility or the estimated time that warrant grants will be outstanding before they are ultimately exercised, the related value of the Special Bridge Warrants, the conversion warrants, the venture loan, and additional paid in capital, as well as our net loss and net loss per share, could have been significantly different.</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Valuation of Instruments in Temporary Equity</w:t>
      </w:r>
    </w:p>
    <w:p>
      <w:pPr>
        <w:spacing w:after="0" w:line="92"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Proceeds from our Series B financing were classified as Temporary Equity. The proceeds were allocated using the relative fair value method. We determined that there are no embedded features that would require bifurcation as derivative instruments. Had management used other assumptions or valuation models, there might have been a material difference in the fair value allocations and the conclusions regarding the accounting treatment for the Series B share issuance.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60" w:firstLine="456"/>
        <w:spacing w:after="0" w:line="301" w:lineRule="auto"/>
        <w:rPr>
          <w:sz w:val="20"/>
          <w:szCs w:val="20"/>
          <w:color w:val="auto"/>
        </w:rPr>
      </w:pPr>
      <w:r>
        <w:rPr>
          <w:rFonts w:ascii="Times New Roman" w:cs="Times New Roman" w:eastAsia="Times New Roman" w:hAnsi="Times New Roman"/>
          <w:sz w:val="16"/>
          <w:szCs w:val="16"/>
          <w:color w:val="auto"/>
        </w:rPr>
        <w:t>These shares are redeemable for cash in July 2013. The redemption price is the greater of the original issue price plus declared but unpaid dividends or the fair market value of the Series B preferred shares on the day of the redemption election. In management’s opinion, the fair market value of the Series B preferred shares did not rise above the original price from inception and therefore no accretion has been recorded. Had management concluded that the fair market value of the Series B shares had risen above the original issue price, there might have been a material change in our financial statements and results of operations.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Following our IPO, the Series B preferred shares were exchanged into common stock, after receiving a stock dividend of 33% and the 1 to 6 reverse split.</w:t>
      </w:r>
    </w:p>
    <w:p>
      <w:pPr>
        <w:spacing w:after="0" w:line="2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Valuation of Instruments in Bridge Financing</w:t>
      </w:r>
    </w:p>
    <w:p>
      <w:pPr>
        <w:spacing w:after="0" w:line="9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Proceeds from the Bridge Financing were first allocated to the Special Bridge Warrants, which were classified as a derivative liability and recorded at fair value, with the residual amount being allocated to the Bridge Notes, in accordance with the guidance in ASC 815 (formerly Statement 133) and ASC 815-40 (formerly EITF Issue No. 07-5). The Special Bridge Warrants and Bridge Notes were classified as liabilities on the balance sheet. The Special Bridge Warrants have down-round protection clauses and their fair value is calculated using the Black-Scholes-Merton model at every reporting period. The assumptions used in this calculation were 53% expected volatility, a risk-free interest rate of 1.6%, estimated life of 4.5 years and no dividend yield. The fair value of the common stock was estimated at $2.57. Upon the consummation of the IPO, we issued a further 69,132 Special Bridge Warrants to the holders of the Bridge Notes to reflect the final offering price of the IPO units. These warrants were valued on the date of the IPO by using the Black-Scholes-Merton model. The assumptions used in this calculation were 53% expected volatility, a risk-free interest rate of 1.9%, estimated life of 4.5 years and no dividend yield. The fair value of the common stock was estimated at $2.79. The additional warrants were then adjusted according to the fair value above at the end of the reporting period.</w:t>
      </w:r>
    </w:p>
    <w:p>
      <w:pPr>
        <w:spacing w:after="0" w:line="113"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The warrants granted to the Bridge Note holders (the “Conversion Warrants”), were classified as a derivative liability and recorded at fair value at the time of the IPO in accordance with the guidance in ASC 815 (formerly Statement 133) and ASC 815-40 (formerly EITF Issue No. 07-5).The Conversion Warrants were classified as long-term liabilities on the balance sheet. The Conversion Warrants have down-round protection clauses and their fair value is calculated using the Black-Scholes-Merton model at every reporting period. The assumptions used in this calculation for the date of the IPO were 54% expected volatility, a risk-free interest rate of 2.1%, estimated life of 5 years and no dividend yield. The fair value of the common stock was estimated at $2.79. These warrants were valued again on June 30, 2010, with the reduction in fair value being recorded as non-operating income. The assumptions used in this calculation were 54% expected volatility, a risk-free interest rate of 1.8%, estimated life of 5 years and no dividend yield. The fair value of the common stock was estimated at $2.57.</w:t>
      </w:r>
    </w:p>
    <w:p>
      <w:pPr>
        <w:spacing w:after="0" w:line="11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Both the Special Bridge Warrants and the Conversion Warrants will be adjusted according to their fair value at the end of each reporting period. The fair value is determined based on certain assumptions of volatility and risk-free interest rate, as well as the closing price of our common stock at the end of the reporting period. As a result, there is considerable uncertainty as to the impact on our consolidated statement of operations at each period-end as our stock price in each period can either increase or decrease which will cause either an increase or decrease of the fair value of these instruments.</w:t>
      </w:r>
    </w:p>
    <w:p>
      <w:pPr>
        <w:spacing w:after="0" w:line="13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warrants granted to the placement agent in the Bridge Financing have been recorded as an expense at fair market value and calculated using the Black-Scholes-Merton model. Their fair value was calculated using the Black-Scholes-Merton model. The assumptions used in this calculation were 60.6% expected volatility, risk-free interest rate of 2.87%, estimated life of 5 years and no dividend yield. The fair value of the common stock was estimated at $0.43 per share, before giving effect to the reverse split, or $2.58 on a post reverse-split basis.</w:t>
      </w:r>
    </w:p>
    <w:p>
      <w:pPr>
        <w:spacing w:after="0" w:line="136" w:lineRule="exact"/>
        <w:rPr>
          <w:sz w:val="20"/>
          <w:szCs w:val="20"/>
          <w:color w:val="auto"/>
        </w:rPr>
      </w:pPr>
    </w:p>
    <w:p>
      <w:pPr>
        <w:ind w:right="280" w:firstLine="456"/>
        <w:spacing w:after="0" w:line="289" w:lineRule="auto"/>
        <w:rPr>
          <w:sz w:val="20"/>
          <w:szCs w:val="20"/>
          <w:color w:val="auto"/>
        </w:rPr>
      </w:pPr>
      <w:r>
        <w:rPr>
          <w:rFonts w:ascii="Times New Roman" w:cs="Times New Roman" w:eastAsia="Times New Roman" w:hAnsi="Times New Roman"/>
          <w:sz w:val="16"/>
          <w:szCs w:val="16"/>
          <w:color w:val="auto"/>
        </w:rPr>
        <w:t>The warrants granted to the lead investors in the Bridge Financing have been recorded as a non-operating expense at fair market value at the time of the IPO and calculated using the Black-Scholes-Merton model. The assumptions used in this calculation were 52.6% expected volatility, risk-free interest rate of</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1.68%, estimated life of 4 years and no dividend yield. The fair value of the common stock was estimated at $2.79. The total expense recorded was $1.3 million.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a result of the loan modification agreement, the venture loan was recorded at fair market value. The fair value of the modified loan was calculated by discounting the debt and interest at the appropriate discount rate, which was 18%. As a result of an error in our valuation of the venture loan, we have restated the balance of the venture loan as of December 31, 2009.</w:t>
      </w:r>
    </w:p>
    <w:p>
      <w:pPr>
        <w:spacing w:after="0" w:line="132"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Had we made different assumptions about the fair value of these instruments, stock price volatility or the estimated time that the warrants will be outstanding before they are ultimately exercised, the related interest expense, and our net loss and net loss per share amounts could have been significantly different.</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October 2009, FASB issued amended revenue recognition guidance for arrangements with multiple deliverables. The new guidance eliminates the residual method of revenue recognition and allows the use of management’s best estimate of selling price for individual elements of an arrangement when vendor specific objective evidence or third-party evidence is unavailable. This guidance is effective for us for all new or materially modified arrangements entered into on or after January 1, 2011 with earlier application permitted as of the beginning of a fiscal year. Full retrospective application of the new guidance is optional. We adopted the pronouncement during 2009 and applied the effect retrospectively from the beginning of 2009, which did not have an effect on the revenues that we recorded in this period.</w:t>
      </w:r>
    </w:p>
    <w:p>
      <w:pPr>
        <w:spacing w:after="0" w:line="25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 smaller reporting company and therefore, we are not required to provide information required by this Item of Form 10-Q.</w:t>
      </w: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4T.</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9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our Vice President Finance (principal financial officer), evaluated the effectiveness of our disclosure controls and procedures as of June 30, 2010.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2010, our Chief Executive Officer and Vice President Finance concluded that, as of such date, our disclosure controls and procedures were not effective for the reasons set forth below.</w:t>
      </w:r>
    </w:p>
    <w:p>
      <w:pPr>
        <w:spacing w:after="0" w:line="139"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Our management has identified a material weakness in our disclosure control and procedures relating to our ineffective policies and procedures regarding the calculation of the fair value per share of common stock in accordance with generally accepted accounting principles. Specifically, we do not have sufficient qualified staff to provide for effective testing and verification of the criteria used in such calculation. We are in the process of remediating this material weakness by hiring additional qualified personnel to assist in the preparation of these calculations as well as other aspects of our financial statements.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11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240" w:top="455" w:right="6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a party to any material legal proceedings.</w:t>
      </w: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 smaller reporting company and therefore, we are not required to provide information required by this Item of Form 10-Q.</w:t>
      </w: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June 25, 2010, concurrent with the closing of our initial public offering, we issued the following securities to certain of our investors:</w:t>
      </w:r>
    </w:p>
    <w:p>
      <w:pPr>
        <w:spacing w:after="0" w:line="90" w:lineRule="exact"/>
        <w:rPr>
          <w:sz w:val="20"/>
          <w:szCs w:val="20"/>
          <w:color w:val="auto"/>
        </w:rPr>
      </w:pPr>
    </w:p>
    <w:p>
      <w:pPr>
        <w:ind w:left="900" w:right="52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1,469,174 shares of common stock to the holders of our issued and outstanding shares of preferred stock in exchange for all of the issued and outstanding shares of preferred stock;</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864,332 shares of common stock to investors in the Bridge Financing in connection with the automatic conversion of the Bridge Notes;</w:t>
      </w:r>
    </w:p>
    <w:p>
      <w:pPr>
        <w:spacing w:after="0" w:line="90" w:lineRule="exact"/>
        <w:rPr>
          <w:rFonts w:ascii="Times New Roman" w:cs="Times New Roman" w:eastAsia="Times New Roman" w:hAnsi="Times New Roman"/>
          <w:sz w:val="18"/>
          <w:szCs w:val="18"/>
          <w:color w:val="auto"/>
        </w:rPr>
      </w:pPr>
    </w:p>
    <w:p>
      <w:pPr>
        <w:ind w:left="900" w:right="54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 aggregate of 1,728,664 shares of our common stock at an exercise price of $5.06 per share to investors in the Bridge Financing in connection with the automatic conversion of the Bridge Notes;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to purchase an additional 69,132 shares of our common stock at an exercise price of $2.75 per share to investors in the Bridge Financing.</w:t>
      </w:r>
    </w:p>
    <w:p>
      <w:pPr>
        <w:spacing w:after="0" w:line="194" w:lineRule="exact"/>
        <w:rPr>
          <w:sz w:val="20"/>
          <w:szCs w:val="20"/>
          <w:color w:val="auto"/>
        </w:rPr>
      </w:pPr>
    </w:p>
    <w:p>
      <w:pPr>
        <w:jc w:val="both"/>
        <w:ind w:right="660" w:firstLine="456"/>
        <w:spacing w:after="0" w:line="339" w:lineRule="auto"/>
        <w:rPr>
          <w:sz w:val="20"/>
          <w:szCs w:val="20"/>
          <w:color w:val="auto"/>
        </w:rPr>
      </w:pPr>
      <w:r>
        <w:rPr>
          <w:rFonts w:ascii="Times New Roman" w:cs="Times New Roman" w:eastAsia="Times New Roman" w:hAnsi="Times New Roman"/>
          <w:sz w:val="16"/>
          <w:szCs w:val="16"/>
          <w:color w:val="auto"/>
        </w:rPr>
        <w:t>We did not receive any cash consideration upon the issuance of these securities. The issuance of these securities was exempt from the registration requirements of the Securities Act of 1933, as amended, in reliance on Section 4(2) thereof, as transactions by an issuer not involving a public offering.</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9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June 21, 2010, our registration statement on Form S-1 (File No. 333-164575) relating to the initial public offering of $13.8 million of our units (including units subject to the underwriters’ over-allotment option to purchase additional units) was declared effective. Each unit consisted of one share of common stock and two warrants. On June 25, 2010, we completed the sale of 2,392,000 units at a public offering price of $4.60 per unit. Maxim Group LLC acted as the sole book-running manager for the offering and sole representative of the underwriters. Chardan Capital Markets, LLC and Ladenburg Thalmann &amp; Co. Inc. acted as co-managers for the offering. Maxim Group LLC, the representative of the underwriters, did not exercise its over-allotment option to purchase an additional 358,800 units.</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a result of the offering, the Company received net proceeds of approximately $9.3 million, after deducting underwriting discounts and commissions (excluding a corporate finance fee) of $880,000 and additional offering-related expenses reasonably estimated at approximately $820,000, for total expenses reasonably estimated at approximately $1.7 million. As of June 30, 2010, we have used approximately $140,000 of the net proceeds for working capital. None of such payments were direct or indirect payments to any of the Company’s directors or officers or their associates or to persons owning 10 percent or more of the Company’s common stock or direct or indirect payments to others. The remaining net proceeds have been invested in highly-liquid money market funds. There has been no material change in the expected use of the net proceeds from the offering as described in the final prospectus filed with the Securities and Exchange Commission pursuant to Rule 424(b) on June 22, 2010.</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receive any proceeds from the sale by selling stockholders of shares of common stock registered on the Form S-1.</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240" w:top="455" w:right="31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r>
      <w:tr>
        <w:trPr>
          <w:trHeight w:val="297"/>
        </w:trPr>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6"/>
              </w:rPr>
              <w:t>None.</w:t>
            </w:r>
          </w:p>
        </w:tc>
        <w:tc>
          <w:tcPr>
            <w:tcW w:w="4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50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297"/>
        </w:trPr>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6"/>
              </w:rPr>
              <w:t>None.</w:t>
            </w:r>
          </w:p>
        </w:tc>
        <w:tc>
          <w:tcPr>
            <w:tcW w:w="4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50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3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72"/>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4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4780" w:type="dxa"/>
            <w:vAlign w:val="bottom"/>
          </w:tcPr>
          <w:p>
            <w:pPr>
              <w:spacing w:after="0"/>
              <w:rPr>
                <w:sz w:val="14"/>
                <w:szCs w:val="14"/>
                <w:color w:val="auto"/>
              </w:rPr>
            </w:pPr>
          </w:p>
        </w:tc>
      </w:tr>
      <w:tr>
        <w:trPr>
          <w:trHeight w:val="310"/>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440" w:type="dxa"/>
            <w:vAlign w:val="bottom"/>
          </w:tcPr>
          <w:p>
            <w:pPr>
              <w:spacing w:after="0"/>
              <w:rPr>
                <w:sz w:val="24"/>
                <w:szCs w:val="24"/>
                <w:color w:val="auto"/>
              </w:rPr>
            </w:pPr>
          </w:p>
        </w:tc>
        <w:tc>
          <w:tcPr>
            <w:tcW w:w="10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13-14(a) of the Securities Exchange Act of 1934, pursuant to Section 302 of the</w:t>
            </w:r>
          </w:p>
        </w:tc>
      </w:tr>
      <w:tr>
        <w:trPr>
          <w:trHeight w:val="228"/>
        </w:trPr>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312"/>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tcPr>
          <w:p>
            <w:pPr>
              <w:spacing w:after="0"/>
              <w:rPr>
                <w:sz w:val="24"/>
                <w:szCs w:val="24"/>
                <w:color w:val="auto"/>
              </w:rPr>
            </w:pPr>
          </w:p>
        </w:tc>
        <w:tc>
          <w:tcPr>
            <w:tcW w:w="10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7"/>
              </w:rPr>
              <w:t>Certification of Vice President Finance Pursuant to Rule 13-14(a) of the Securities Exchange Act of 1934, pursuant to Section 302 of the Sarbanes-</w:t>
            </w:r>
          </w:p>
        </w:tc>
      </w:tr>
      <w:tr>
        <w:trPr>
          <w:trHeight w:val="228"/>
        </w:trPr>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24"/>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tcPr>
          <w:p>
            <w:pPr>
              <w:spacing w:after="0"/>
              <w:rPr>
                <w:sz w:val="24"/>
                <w:szCs w:val="24"/>
                <w:color w:val="auto"/>
              </w:rPr>
            </w:pPr>
          </w:p>
        </w:tc>
        <w:tc>
          <w:tcPr>
            <w:tcW w:w="10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pursuant to Section 906 of the Sarbanes-Oxley Act of 2002.</w:t>
            </w:r>
          </w:p>
        </w:tc>
      </w:tr>
      <w:tr>
        <w:trPr>
          <w:trHeight w:val="324"/>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440" w:type="dxa"/>
            <w:vAlign w:val="bottom"/>
          </w:tcPr>
          <w:p>
            <w:pPr>
              <w:spacing w:after="0"/>
              <w:rPr>
                <w:sz w:val="24"/>
                <w:szCs w:val="24"/>
                <w:color w:val="auto"/>
              </w:rPr>
            </w:pPr>
          </w:p>
        </w:tc>
        <w:tc>
          <w:tcPr>
            <w:tcW w:w="10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Certification of Vice President Finance Pursuant to 18 U.S.C. Section 1350, pursuant to Section 906 of the Sarbanes-Oxley Act of 2002.</w:t>
            </w:r>
          </w:p>
        </w:tc>
      </w:tr>
      <w:tr>
        <w:trPr>
          <w:trHeight w:val="365"/>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35</w:t>
            </w:r>
          </w:p>
        </w:tc>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360"/>
          </w:cols>
          <w:pgMar w:left="240" w:top="455" w:right="2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16th day of August, 2010.</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27" w:lineRule="exact"/>
        <w:rPr>
          <w:sz w:val="20"/>
          <w:szCs w:val="20"/>
          <w:color w:val="auto"/>
        </w:rPr>
      </w:pPr>
    </w:p>
    <w:p>
      <w:pPr>
        <w:ind w:left="6860"/>
        <w:spacing w:after="0"/>
        <w:tabs>
          <w:tab w:leader="none" w:pos="8480" w:val="left"/>
          <w:tab w:leader="none" w:pos="8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ORRE</w:t>
      </w:r>
    </w:p>
    <w:p>
      <w:pPr>
        <w:spacing w:after="0" w:line="2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David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-100330</wp:posOffset>
            </wp:positionV>
            <wp:extent cx="2718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line="227" w:lineRule="auto"/>
        <w:rPr>
          <w:sz w:val="20"/>
          <w:szCs w:val="20"/>
          <w:color w:val="auto"/>
        </w:rPr>
      </w:pPr>
      <w:r>
        <w:rPr>
          <w:rFonts w:ascii="Times New Roman" w:cs="Times New Roman" w:eastAsia="Times New Roman" w:hAnsi="Times New Roman"/>
          <w:sz w:val="14"/>
          <w:szCs w:val="14"/>
          <w:b w:val="1"/>
          <w:bCs w:val="1"/>
          <w:color w:val="auto"/>
        </w:rPr>
        <w:t>Vice President Finance</w:t>
      </w: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Medved, certify that:</w:t>
      </w:r>
    </w:p>
    <w:p>
      <w:pPr>
        <w:spacing w:after="0" w:line="171" w:lineRule="exact"/>
        <w:rPr>
          <w:sz w:val="20"/>
          <w:szCs w:val="20"/>
          <w:color w:val="auto"/>
        </w:rPr>
      </w:pPr>
    </w:p>
    <w:p>
      <w:pPr>
        <w:ind w:left="640" w:hanging="17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Vringo, Inc.;</w:t>
      </w:r>
    </w:p>
    <w:p>
      <w:pPr>
        <w:spacing w:after="0" w:line="171" w:lineRule="exact"/>
        <w:rPr>
          <w:rFonts w:ascii="Times New Roman" w:cs="Times New Roman" w:eastAsia="Times New Roman" w:hAnsi="Times New Roman"/>
          <w:sz w:val="18"/>
          <w:szCs w:val="18"/>
          <w:color w:val="auto"/>
        </w:rPr>
      </w:pPr>
    </w:p>
    <w:p>
      <w:pPr>
        <w:ind w:right="140" w:firstLine="464"/>
        <w:spacing w:after="0" w:line="262" w:lineRule="auto"/>
        <w:tabs>
          <w:tab w:leader="none" w:pos="6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2" w:lineRule="exact"/>
        <w:rPr>
          <w:rFonts w:ascii="Times New Roman" w:cs="Times New Roman" w:eastAsia="Times New Roman" w:hAnsi="Times New Roman"/>
          <w:sz w:val="18"/>
          <w:szCs w:val="18"/>
          <w:color w:val="auto"/>
        </w:rPr>
      </w:pPr>
    </w:p>
    <w:p>
      <w:pPr>
        <w:ind w:right="120" w:firstLine="464"/>
        <w:spacing w:after="0" w:line="275" w:lineRule="auto"/>
        <w:tabs>
          <w:tab w:leader="none" w:pos="6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9" w:lineRule="exact"/>
        <w:rPr>
          <w:rFonts w:ascii="Times New Roman" w:cs="Times New Roman" w:eastAsia="Times New Roman" w:hAnsi="Times New Roman"/>
          <w:sz w:val="18"/>
          <w:szCs w:val="18"/>
          <w:color w:val="auto"/>
        </w:rPr>
      </w:pPr>
    </w:p>
    <w:p>
      <w:pPr>
        <w:jc w:val="both"/>
        <w:ind w:firstLine="464"/>
        <w:spacing w:after="0" w:line="262" w:lineRule="auto"/>
        <w:tabs>
          <w:tab w:leader="none" w:pos="6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32" w:lineRule="exact"/>
        <w:rPr>
          <w:rFonts w:ascii="Times New Roman" w:cs="Times New Roman" w:eastAsia="Times New Roman" w:hAnsi="Times New Roman"/>
          <w:sz w:val="18"/>
          <w:szCs w:val="18"/>
          <w:color w:val="auto"/>
        </w:rPr>
      </w:pPr>
    </w:p>
    <w:p>
      <w:pPr>
        <w:ind w:right="80" w:firstLine="921"/>
        <w:spacing w:after="0" w:line="262" w:lineRule="auto"/>
        <w:tabs>
          <w:tab w:leader="none" w:pos="109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32" w:lineRule="exact"/>
        <w:rPr>
          <w:rFonts w:ascii="Times New Roman" w:cs="Times New Roman" w:eastAsia="Times New Roman" w:hAnsi="Times New Roman"/>
          <w:sz w:val="18"/>
          <w:szCs w:val="18"/>
          <w:color w:val="auto"/>
        </w:rPr>
      </w:pPr>
    </w:p>
    <w:p>
      <w:pPr>
        <w:ind w:right="160" w:firstLine="921"/>
        <w:spacing w:after="0" w:line="275" w:lineRule="auto"/>
        <w:tabs>
          <w:tab w:leader="none" w:pos="110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19" w:lineRule="exact"/>
        <w:rPr>
          <w:rFonts w:ascii="Times New Roman" w:cs="Times New Roman" w:eastAsia="Times New Roman" w:hAnsi="Times New Roman"/>
          <w:sz w:val="18"/>
          <w:szCs w:val="18"/>
          <w:color w:val="auto"/>
        </w:rPr>
      </w:pPr>
    </w:p>
    <w:p>
      <w:pPr>
        <w:ind w:right="140" w:firstLine="921"/>
        <w:spacing w:after="0" w:line="262" w:lineRule="auto"/>
        <w:tabs>
          <w:tab w:leader="none" w:pos="109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460" w:firstLine="464"/>
        <w:spacing w:after="0" w:line="275" w:lineRule="auto"/>
        <w:tabs>
          <w:tab w:leader="none" w:pos="6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right="260" w:firstLine="921"/>
        <w:spacing w:after="0" w:line="275" w:lineRule="auto"/>
        <w:tabs>
          <w:tab w:leader="none" w:pos="10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8"/>
          <w:szCs w:val="18"/>
          <w:color w:val="auto"/>
        </w:rPr>
      </w:pPr>
    </w:p>
    <w:p>
      <w:pPr>
        <w:ind w:right="220" w:firstLine="921"/>
        <w:spacing w:after="0" w:line="275" w:lineRule="auto"/>
        <w:tabs>
          <w:tab w:leader="none" w:pos="109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August 16, 2010</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123"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VICE PRESIDENT FINANCE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Corre, certify that:</w:t>
      </w:r>
    </w:p>
    <w:p>
      <w:pPr>
        <w:spacing w:after="0" w:line="171" w:lineRule="exact"/>
        <w:rPr>
          <w:sz w:val="20"/>
          <w:szCs w:val="20"/>
          <w:color w:val="auto"/>
        </w:rPr>
      </w:pPr>
    </w:p>
    <w:p>
      <w:pPr>
        <w:ind w:left="640" w:hanging="17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Vringo, Inc.;</w:t>
      </w:r>
    </w:p>
    <w:p>
      <w:pPr>
        <w:spacing w:after="0" w:line="171" w:lineRule="exact"/>
        <w:rPr>
          <w:rFonts w:ascii="Times New Roman" w:cs="Times New Roman" w:eastAsia="Times New Roman" w:hAnsi="Times New Roman"/>
          <w:sz w:val="18"/>
          <w:szCs w:val="18"/>
          <w:color w:val="auto"/>
        </w:rPr>
      </w:pPr>
    </w:p>
    <w:p>
      <w:pPr>
        <w:ind w:right="140" w:firstLine="464"/>
        <w:spacing w:after="0" w:line="262" w:lineRule="auto"/>
        <w:tabs>
          <w:tab w:leader="none" w:pos="6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2" w:lineRule="exact"/>
        <w:rPr>
          <w:rFonts w:ascii="Times New Roman" w:cs="Times New Roman" w:eastAsia="Times New Roman" w:hAnsi="Times New Roman"/>
          <w:sz w:val="18"/>
          <w:szCs w:val="18"/>
          <w:color w:val="auto"/>
        </w:rPr>
      </w:pPr>
    </w:p>
    <w:p>
      <w:pPr>
        <w:ind w:right="120" w:firstLine="464"/>
        <w:spacing w:after="0" w:line="275" w:lineRule="auto"/>
        <w:tabs>
          <w:tab w:leader="none" w:pos="6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9" w:lineRule="exact"/>
        <w:rPr>
          <w:rFonts w:ascii="Times New Roman" w:cs="Times New Roman" w:eastAsia="Times New Roman" w:hAnsi="Times New Roman"/>
          <w:sz w:val="18"/>
          <w:szCs w:val="18"/>
          <w:color w:val="auto"/>
        </w:rPr>
      </w:pPr>
    </w:p>
    <w:p>
      <w:pPr>
        <w:jc w:val="both"/>
        <w:ind w:firstLine="464"/>
        <w:spacing w:after="0" w:line="262" w:lineRule="auto"/>
        <w:tabs>
          <w:tab w:leader="none" w:pos="62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32" w:lineRule="exact"/>
        <w:rPr>
          <w:rFonts w:ascii="Times New Roman" w:cs="Times New Roman" w:eastAsia="Times New Roman" w:hAnsi="Times New Roman"/>
          <w:sz w:val="18"/>
          <w:szCs w:val="18"/>
          <w:color w:val="auto"/>
        </w:rPr>
      </w:pPr>
    </w:p>
    <w:p>
      <w:pPr>
        <w:ind w:right="80" w:firstLine="921"/>
        <w:spacing w:after="0" w:line="262" w:lineRule="auto"/>
        <w:tabs>
          <w:tab w:leader="none" w:pos="10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32" w:lineRule="exact"/>
        <w:rPr>
          <w:rFonts w:ascii="Times New Roman" w:cs="Times New Roman" w:eastAsia="Times New Roman" w:hAnsi="Times New Roman"/>
          <w:sz w:val="18"/>
          <w:szCs w:val="18"/>
          <w:color w:val="auto"/>
        </w:rPr>
      </w:pPr>
    </w:p>
    <w:p>
      <w:pPr>
        <w:ind w:right="160" w:firstLine="921"/>
        <w:spacing w:after="0" w:line="275" w:lineRule="auto"/>
        <w:tabs>
          <w:tab w:leader="none" w:pos="110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19" w:lineRule="exact"/>
        <w:rPr>
          <w:rFonts w:ascii="Times New Roman" w:cs="Times New Roman" w:eastAsia="Times New Roman" w:hAnsi="Times New Roman"/>
          <w:sz w:val="18"/>
          <w:szCs w:val="18"/>
          <w:color w:val="auto"/>
        </w:rPr>
      </w:pPr>
    </w:p>
    <w:p>
      <w:pPr>
        <w:ind w:right="140" w:firstLine="921"/>
        <w:spacing w:after="0" w:line="262" w:lineRule="auto"/>
        <w:tabs>
          <w:tab w:leader="none" w:pos="10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460" w:firstLine="464"/>
        <w:spacing w:after="0" w:line="275" w:lineRule="auto"/>
        <w:tabs>
          <w:tab w:leader="none" w:pos="62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right="260" w:firstLine="921"/>
        <w:spacing w:after="0" w:line="275" w:lineRule="auto"/>
        <w:tabs>
          <w:tab w:leader="none" w:pos="10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8"/>
          <w:szCs w:val="18"/>
          <w:color w:val="auto"/>
        </w:rPr>
      </w:pPr>
    </w:p>
    <w:p>
      <w:pPr>
        <w:ind w:right="220" w:firstLine="921"/>
        <w:spacing w:after="0" w:line="275" w:lineRule="auto"/>
        <w:tabs>
          <w:tab w:leader="none" w:pos="10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August 16, 2010</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Vice President Finance</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123"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9"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Vringo, Inc. (the “Company”) for the quarter ended June 30, 2010 as filed with the Securities and Exchange Commission on the date hereof (the “Report”) I, Jonathan Medved, Chief Executive Officer of the Company, certify, pursuant to § 906 of the Sarbanes-Oxley Act of 2002,18 U.S.C. § 1350, that to my knowledge:</w:t>
      </w:r>
    </w:p>
    <w:p>
      <w:pPr>
        <w:spacing w:after="0" w:line="132"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 (d) of the Securities Exchange Act of 1934 (15 U.S.C. 78m);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August 16, 2010</w:t>
      </w:r>
      <w:r>
        <w:rPr>
          <w:sz w:val="20"/>
          <w:szCs w:val="20"/>
          <w:color w:val="auto"/>
        </w:rPr>
        <w:tab/>
      </w:r>
      <w:r>
        <w:rPr>
          <w:rFonts w:ascii="Times New Roman" w:cs="Times New Roman" w:eastAsia="Times New Roman" w:hAnsi="Times New Roman"/>
          <w:sz w:val="16"/>
          <w:szCs w:val="16"/>
          <w:color w:val="auto"/>
        </w:rPr>
        <w:t>/s/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Jonathan Medved</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123"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9"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Vringo, Inc. (the “Company”) for the quarter ended June 30, 2010 as filed with the Securities and Exchange Commission on the date hereof (the “Report”) I, David Corre, Vice President Finance of the Company, certify, pursuant to § 906 of the Sarbanes-Oxley Act of 2002,18 U.S.C. § 1350, that to my knowledge:</w:t>
      </w:r>
    </w:p>
    <w:p>
      <w:pPr>
        <w:spacing w:after="0" w:line="132"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(15 U.S.C. 78m);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August 16, 2010</w:t>
      </w:r>
      <w:r>
        <w:rPr>
          <w:sz w:val="20"/>
          <w:szCs w:val="20"/>
          <w:color w:val="auto"/>
        </w:rPr>
        <w:tab/>
      </w:r>
      <w:r>
        <w:rPr>
          <w:rFonts w:ascii="Times New Roman" w:cs="Times New Roman" w:eastAsia="Times New Roman" w:hAnsi="Times New Roman"/>
          <w:sz w:val="16"/>
          <w:szCs w:val="16"/>
          <w:color w:val="auto"/>
        </w:rPr>
        <w:t>/s/ David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Corre</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Vice President Finance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2019-12-15T16:39:11Z</dcterms:created>
  <dcterms:modified xsi:type="dcterms:W3CDTF">2019-12-15T16:39:11Z</dcterms:modified>
</cp:coreProperties>
</file>