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left="60" w:right="79"/>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9"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800" w:type="dxa"/>
            <w:vAlign w:val="bottom"/>
          </w:tcPr>
          <w:p>
            <w:pPr>
              <w:ind w:left="14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800" w:type="dxa"/>
            <w:vAlign w:val="bottom"/>
          </w:tcPr>
          <w:p>
            <w:pPr>
              <w:ind w:left="14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0" w:type="dxa"/>
            <w:vAlign w:val="bottom"/>
          </w:tcPr>
          <w:p>
            <w:pPr>
              <w:ind w:left="14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ind w:left="60" w:right="2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May 13, 2022, 95,360,271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40" w:type="dxa"/>
            <w:vAlign w:val="bottom"/>
            <w:gridSpan w:val="14"/>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4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2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PART II. OTHER INFORMATION</w:t>
              </w:r>
            </w:hyperlink>
          </w:p>
        </w:tc>
        <w:tc>
          <w:tcPr>
            <w:tcW w:w="5780" w:type="dxa"/>
            <w:vAlign w:val="bottom"/>
            <w:gridSpan w:val="7"/>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7480" w:type="dxa"/>
            <w:vAlign w:val="bottom"/>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6560" w:type="dxa"/>
            <w:vAlign w:val="bottom"/>
            <w:gridSpan w:val="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60" w:type="dxa"/>
            <w:vAlign w:val="bottom"/>
            <w:gridSpan w:val="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7480" w:type="dxa"/>
            <w:vAlign w:val="bottom"/>
            <w:gridSpan w:val="1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82,990</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88,463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108,979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8,273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5,205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82"/>
        </w:trPr>
        <w:tc>
          <w:tcPr>
            <w:tcW w:w="6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113,738</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127,266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5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12,918</w:t>
            </w:r>
          </w:p>
        </w:tc>
        <w:tc>
          <w:tcPr>
            <w:tcW w:w="4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Current portion of promissory note, unsecured</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18,648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7,301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25,949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A Convertible Preferred Stock, $0.01 par value per share; 6,968 shares authorized; none issued and</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rPr>
              <w:t>Series C Junior Preferred Stock, $0.01 par value per share; 300,000 shares authorized; none issued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Series D Convertible Preferred Stock, $0.01 par value per share; 500,000 shares authorized; none issued and</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Series E Convertible Preferred Stock, $0.01 par value per share, 2,397,060 shares authorized; none issued and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Series F Convertible Preferred Stock, $0.01 par value per share, 9,000 shares authorized; none issued and</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Common Stock, $0.01 par value per share, 150,000,000 shares authorized; 95,071,210 and 101,269,349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issued and outstanding as of March 31, 2022 and December 31, 2021, respectively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478,649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487,306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(399,558)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(395,275)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attributable to XpresSpa Group, Inc.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79,689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92,732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87,789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113,738</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net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Managed services fees</w:t>
            </w:r>
          </w:p>
        </w:tc>
        <w:tc>
          <w:tcPr>
            <w:tcW w:w="7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Patient services revenue</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24,048</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Labor</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5,462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Products and other operating costs</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8,517</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Impairment/disposal of assets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26,499</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net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non-operating (expense) income, net</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attributable to noncontrolling interests</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XpresSpa Group, Inc.</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comprehensive loss from operations</w:t>
            </w:r>
          </w:p>
        </w:tc>
        <w:tc>
          <w:tcPr>
            <w:tcW w:w="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per share</w:t>
            </w: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7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w w:val="95"/>
              </w:rPr>
              <w:t>Weighted-average number of shares outstanding during</w:t>
            </w: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6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the period</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101,601,913</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101,058,500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10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101,601,913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101,058,500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35"/>
        </w:trPr>
        <w:tc>
          <w:tcPr>
            <w:tcW w:w="2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9"/>
          </w:tcPr>
          <w:p>
            <w:pPr>
              <w:jc w:val="right"/>
              <w:ind w:right="28"/>
              <w:spacing w:after="0" w:line="135" w:lineRule="exact"/>
              <w:rPr>
                <w:sz w:val="20"/>
                <w:szCs w:val="20"/>
                <w:color w:val="auto"/>
              </w:rPr>
            </w:pPr>
            <w:r>
              <w:rPr>
                <w:rFonts w:ascii="Arial" w:cs="Arial" w:eastAsia="Arial" w:hAnsi="Arial"/>
                <w:sz w:val="13"/>
                <w:szCs w:val="13"/>
                <w:b w:val="1"/>
                <w:bCs w:val="1"/>
                <w:color w:val="auto"/>
                <w:w w:val="96"/>
              </w:rPr>
              <w:t>(In thousands, except share and per share data)</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8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paid-</w:t>
            </w:r>
          </w:p>
        </w:tc>
        <w:tc>
          <w:tcPr>
            <w:tcW w:w="1000" w:type="dxa"/>
            <w:vAlign w:val="bottom"/>
            <w:gridSpan w:val="3"/>
            <w:vMerge w:val="continue"/>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in capital</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2"/>
                <w:szCs w:val="12"/>
                <w:color w:val="auto"/>
              </w:rPr>
            </w:pPr>
          </w:p>
        </w:tc>
        <w:tc>
          <w:tcPr>
            <w:tcW w:w="8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2"/>
                <w:szCs w:val="12"/>
                <w:color w:val="auto"/>
              </w:rPr>
            </w:pPr>
          </w:p>
        </w:tc>
        <w:tc>
          <w:tcPr>
            <w:tcW w:w="6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101,269,349</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487,306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(395,275)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92,732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7,203</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99,935</w:t>
            </w: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20"/>
                <w:szCs w:val="20"/>
                <w:color w:val="auto"/>
              </w:rPr>
            </w:pPr>
            <w:r>
              <w:rPr>
                <w:rFonts w:ascii="Arial" w:cs="Arial" w:eastAsia="Arial" w:hAnsi="Arial"/>
                <w:sz w:val="14"/>
                <w:szCs w:val="14"/>
                <w:color w:val="auto"/>
              </w:rPr>
              <w:t>acquisition</w:t>
            </w:r>
          </w:p>
        </w:tc>
        <w:tc>
          <w:tcPr>
            <w:tcW w:w="780" w:type="dxa"/>
            <w:vAlign w:val="bottom"/>
          </w:tcPr>
          <w:p>
            <w:pPr>
              <w:jc w:val="right"/>
              <w:spacing w:after="0"/>
              <w:rPr>
                <w:sz w:val="20"/>
                <w:szCs w:val="20"/>
                <w:color w:val="auto"/>
              </w:rPr>
            </w:pPr>
            <w:r>
              <w:rPr>
                <w:rFonts w:ascii="Arial" w:cs="Arial" w:eastAsia="Arial" w:hAnsi="Arial"/>
                <w:sz w:val="14"/>
                <w:szCs w:val="14"/>
                <w:color w:val="auto"/>
              </w:rPr>
              <w:t>552,487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391,820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Value of Shares Withheld to fund</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20"/>
                <w:szCs w:val="20"/>
                <w:color w:val="auto"/>
              </w:rPr>
            </w:pPr>
            <w:r>
              <w:rPr>
                <w:rFonts w:ascii="Arial" w:cs="Arial" w:eastAsia="Arial" w:hAnsi="Arial"/>
                <w:sz w:val="14"/>
                <w:szCs w:val="14"/>
                <w:color w:val="auto"/>
              </w:rPr>
              <w:t>payroll taxes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8"/>
        </w:trPr>
        <w:tc>
          <w:tcPr>
            <w:tcW w:w="2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(4,283)</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(4,283)</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30"/>
        </w:trPr>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 retirement of</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(7,142,446)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(11,024)</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(11,095)</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 noncontrolling</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30"/>
        </w:trPr>
        <w:tc>
          <w:tcPr>
            <w:tcW w:w="2140" w:type="dxa"/>
            <w:vAlign w:val="bottom"/>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20"/>
                <w:szCs w:val="20"/>
                <w:color w:val="auto"/>
              </w:rPr>
            </w:pPr>
            <w:r>
              <w:rPr>
                <w:rFonts w:ascii="Arial" w:cs="Arial" w:eastAsia="Arial" w:hAnsi="Arial"/>
                <w:sz w:val="14"/>
                <w:szCs w:val="14"/>
                <w:color w:val="auto"/>
              </w:rPr>
              <w:t>interests</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2"/>
        </w:trPr>
        <w:tc>
          <w:tcPr>
            <w:tcW w:w="2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95,071,210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478,649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(399,558)</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79,689</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8,100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87,789</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00"/>
          </w:cols>
          <w:pgMar w:left="1180" w:top="517" w:right="1219"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35"/>
        </w:trPr>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7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53"/>
        </w:trPr>
        <w:tc>
          <w:tcPr>
            <w:tcW w:w="2220" w:type="dxa"/>
            <w:vAlign w:val="bottom"/>
          </w:tcPr>
          <w:p>
            <w:pPr>
              <w:spacing w:after="0"/>
              <w:rPr>
                <w:sz w:val="13"/>
                <w:szCs w:val="13"/>
                <w:color w:val="auto"/>
              </w:rPr>
            </w:pPr>
          </w:p>
        </w:tc>
        <w:tc>
          <w:tcPr>
            <w:tcW w:w="182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paid-</w:t>
            </w: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Company</w:t>
            </w: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3"/>
                <w:szCs w:val="13"/>
                <w:color w:val="auto"/>
              </w:rPr>
            </w:pPr>
          </w:p>
        </w:tc>
        <w:tc>
          <w:tcPr>
            <w:tcW w:w="600" w:type="dxa"/>
            <w:vAlign w:val="bottom"/>
          </w:tcPr>
          <w:p>
            <w:pPr>
              <w:jc w:val="right"/>
              <w:ind w:right="170"/>
              <w:spacing w:after="0"/>
              <w:rPr>
                <w:sz w:val="20"/>
                <w:szCs w:val="20"/>
                <w:color w:val="auto"/>
              </w:rPr>
            </w:pPr>
            <w:r>
              <w:rPr>
                <w:rFonts w:ascii="Arial" w:cs="Arial" w:eastAsia="Arial" w:hAnsi="Arial"/>
                <w:sz w:val="13"/>
                <w:szCs w:val="13"/>
                <w:b w:val="1"/>
                <w:bCs w:val="1"/>
                <w:color w:val="auto"/>
              </w:rPr>
              <w:t>Total</w:t>
            </w:r>
          </w:p>
        </w:tc>
      </w:tr>
      <w:tr>
        <w:trPr>
          <w:trHeight w:val="129"/>
        </w:trPr>
        <w:tc>
          <w:tcPr>
            <w:tcW w:w="2220" w:type="dxa"/>
            <w:vAlign w:val="bottom"/>
          </w:tcPr>
          <w:p>
            <w:pPr>
              <w:spacing w:after="0"/>
              <w:rPr>
                <w:sz w:val="11"/>
                <w:szCs w:val="11"/>
                <w:color w:val="auto"/>
              </w:rPr>
            </w:pPr>
          </w:p>
        </w:tc>
        <w:tc>
          <w:tcPr>
            <w:tcW w:w="960" w:type="dxa"/>
            <w:vAlign w:val="bottom"/>
            <w:tcBorders>
              <w:top w:val="single" w:sz="8" w:color="auto"/>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9"/>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8"/>
              </w:rPr>
              <w:t>in capital</w:t>
            </w:r>
          </w:p>
        </w:tc>
        <w:tc>
          <w:tcPr>
            <w:tcW w:w="140" w:type="dxa"/>
            <w:vAlign w:val="bottom"/>
          </w:tcPr>
          <w:p>
            <w:pPr>
              <w:spacing w:after="0"/>
              <w:rPr>
                <w:sz w:val="11"/>
                <w:szCs w:val="11"/>
                <w:color w:val="auto"/>
              </w:rPr>
            </w:pPr>
          </w:p>
        </w:tc>
        <w:tc>
          <w:tcPr>
            <w:tcW w:w="840" w:type="dxa"/>
            <w:vAlign w:val="bottom"/>
            <w:gridSpan w:val="2"/>
          </w:tcPr>
          <w:p>
            <w:pPr>
              <w:jc w:val="center"/>
              <w:ind w:right="340"/>
              <w:spacing w:after="0" w:line="129" w:lineRule="exact"/>
              <w:rPr>
                <w:sz w:val="20"/>
                <w:szCs w:val="20"/>
                <w:color w:val="auto"/>
              </w:rPr>
            </w:pPr>
            <w:r>
              <w:rPr>
                <w:rFonts w:ascii="Arial" w:cs="Arial" w:eastAsia="Arial" w:hAnsi="Arial"/>
                <w:sz w:val="13"/>
                <w:szCs w:val="13"/>
                <w:b w:val="1"/>
                <w:bCs w:val="1"/>
                <w:color w:val="auto"/>
                <w:w w:val="88"/>
              </w:rPr>
              <w:t>deficit</w:t>
            </w:r>
          </w:p>
        </w:tc>
        <w:tc>
          <w:tcPr>
            <w:tcW w:w="160" w:type="dxa"/>
            <w:vAlign w:val="bottom"/>
          </w:tcPr>
          <w:p>
            <w:pPr>
              <w:spacing w:after="0"/>
              <w:rPr>
                <w:sz w:val="11"/>
                <w:szCs w:val="11"/>
                <w:color w:val="auto"/>
              </w:rPr>
            </w:pPr>
          </w:p>
        </w:tc>
        <w:tc>
          <w:tcPr>
            <w:tcW w:w="820" w:type="dxa"/>
            <w:vAlign w:val="bottom"/>
            <w:gridSpan w:val="2"/>
          </w:tcPr>
          <w:p>
            <w:pPr>
              <w:jc w:val="right"/>
              <w:ind w:right="480"/>
              <w:spacing w:after="0" w:line="129" w:lineRule="exact"/>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8"/>
              </w:rPr>
              <w:t>equity</w:t>
            </w:r>
          </w:p>
        </w:tc>
        <w:tc>
          <w:tcPr>
            <w:tcW w:w="10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81"/>
              </w:rPr>
              <w:t>interests</w:t>
            </w:r>
          </w:p>
        </w:tc>
        <w:tc>
          <w:tcPr>
            <w:tcW w:w="140" w:type="dxa"/>
            <w:vAlign w:val="bottom"/>
          </w:tcPr>
          <w:p>
            <w:pPr>
              <w:spacing w:after="0"/>
              <w:rPr>
                <w:sz w:val="11"/>
                <w:szCs w:val="11"/>
                <w:color w:val="auto"/>
              </w:rPr>
            </w:pPr>
          </w:p>
        </w:tc>
        <w:tc>
          <w:tcPr>
            <w:tcW w:w="60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w w:val="99"/>
              </w:rPr>
              <w:t>equity</w:t>
            </w:r>
          </w:p>
        </w:tc>
      </w:tr>
      <w:tr>
        <w:trPr>
          <w:trHeight w:val="142"/>
        </w:trPr>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94,058,853</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475,709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(398,624)</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77,806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80,371</w:t>
            </w: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4"/>
                <w:szCs w:val="14"/>
                <w:color w:val="auto"/>
              </w:rPr>
              <w:t>Warrant exercises, net of costs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11,223,529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16,895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17,007</w:t>
            </w:r>
          </w:p>
        </w:tc>
      </w:tr>
      <w:tr>
        <w:trPr>
          <w:trHeight w:val="148"/>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w:t>
            </w:r>
          </w:p>
        </w:tc>
      </w:tr>
      <w:tr>
        <w:trPr>
          <w:trHeight w:val="148"/>
        </w:trPr>
        <w:tc>
          <w:tcPr>
            <w:tcW w:w="222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(1,056)</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(1,056)</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Contributions from noncontrolling</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7"/>
        </w:trPr>
        <w:tc>
          <w:tcPr>
            <w:tcW w:w="2220" w:type="dxa"/>
            <w:vAlign w:val="bottom"/>
          </w:tcPr>
          <w:p>
            <w:pPr>
              <w:spacing w:after="0"/>
              <w:rPr>
                <w:sz w:val="20"/>
                <w:szCs w:val="20"/>
                <w:color w:val="auto"/>
              </w:rPr>
            </w:pPr>
            <w:r>
              <w:rPr>
                <w:rFonts w:ascii="Arial" w:cs="Arial" w:eastAsia="Arial" w:hAnsi="Arial"/>
                <w:sz w:val="14"/>
                <w:szCs w:val="14"/>
                <w:color w:val="auto"/>
              </w:rPr>
              <w:t>interests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142"/>
        </w:trPr>
        <w:tc>
          <w:tcPr>
            <w:tcW w:w="22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105,282,382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492,868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(399,680)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94,005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3,887</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97,892</w:t>
            </w: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20"/>
          </w:cols>
          <w:pgMar w:left="1180" w:top="517" w:right="119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2"/>
                <w:szCs w:val="12"/>
                <w:color w:val="auto"/>
              </w:rPr>
            </w:pP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(2,762)</w:t>
            </w: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r>
      <w:tr>
        <w:trPr>
          <w:trHeight w:val="148"/>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Impairment/disposal of assets</w:t>
            </w:r>
          </w:p>
        </w:tc>
        <w:tc>
          <w:tcPr>
            <w:tcW w:w="8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1,543</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1,005</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(gain) on equity investment</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r>
      <w:tr>
        <w:trPr>
          <w:trHeight w:val="148"/>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inventory</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(759)</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Increase in accounts receivable</w:t>
            </w:r>
          </w:p>
        </w:tc>
        <w:tc>
          <w:tcPr>
            <w:tcW w:w="8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(906)</w:t>
            </w: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(3,019)</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deferred revenue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Other assets, current and non-current</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liabilities, current and non-current</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(1,612)</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w:t>
            </w:r>
          </w:p>
        </w:tc>
      </w:tr>
      <w:tr>
        <w:trPr>
          <w:trHeight w:val="148"/>
        </w:trPr>
        <w:tc>
          <w:tcPr>
            <w:tcW w:w="59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Decrease in accounts payable</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513</w:t>
            </w:r>
          </w:p>
        </w:tc>
        <w:tc>
          <w:tcPr>
            <w:tcW w:w="2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(325)</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(1,774)</w:t>
            </w:r>
          </w:p>
        </w:tc>
        <w:tc>
          <w:tcPr>
            <w:tcW w:w="2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(3,498)</w:t>
            </w:r>
          </w:p>
        </w:tc>
      </w:tr>
      <w:tr>
        <w:trPr>
          <w:trHeight w:val="142"/>
        </w:trPr>
        <w:tc>
          <w:tcPr>
            <w:tcW w:w="59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(1,659)</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HyperPointe net of cash assumed</w:t>
            </w:r>
          </w:p>
        </w:tc>
        <w:tc>
          <w:tcPr>
            <w:tcW w:w="8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(4,853)</w:t>
            </w: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software</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(267)</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8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(6,779)</w:t>
            </w:r>
          </w:p>
        </w:tc>
        <w:tc>
          <w:tcPr>
            <w:tcW w:w="2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(986)</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Warrant exercises, net of costs</w:t>
            </w:r>
          </w:p>
        </w:tc>
        <w:tc>
          <w:tcPr>
            <w:tcW w:w="8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17,007</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Stocks</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5"/>
              </w:rPr>
              <w:t>(11,095)</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shares withheld on vesting</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Repayment of Paycheck Protection Program</w:t>
            </w:r>
          </w:p>
        </w:tc>
        <w:tc>
          <w:tcPr>
            <w:tcW w:w="8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(2,151)</w:t>
            </w:r>
          </w:p>
        </w:tc>
        <w:tc>
          <w:tcPr>
            <w:tcW w:w="8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(824)</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8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(13,943)</w:t>
            </w:r>
          </w:p>
        </w:tc>
        <w:tc>
          <w:tcPr>
            <w:tcW w:w="2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17,340</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r>
      <w:tr>
        <w:trPr>
          <w:trHeight w:val="142"/>
        </w:trPr>
        <w:tc>
          <w:tcPr>
            <w:tcW w:w="5900" w:type="dxa"/>
            <w:vAlign w:val="bottom"/>
          </w:tcPr>
          <w:p>
            <w:pPr>
              <w:ind w:left="20"/>
              <w:spacing w:after="0" w:line="142" w:lineRule="exact"/>
              <w:rPr>
                <w:sz w:val="20"/>
                <w:szCs w:val="20"/>
                <w:color w:val="auto"/>
              </w:rPr>
            </w:pPr>
            <w:r>
              <w:rPr>
                <w:rFonts w:ascii="Arial" w:cs="Arial" w:eastAsia="Arial" w:hAnsi="Arial"/>
                <w:sz w:val="14"/>
                <w:szCs w:val="14"/>
                <w:color w:val="auto"/>
              </w:rPr>
              <w:t>(Decrease)/ Increase in cash, cash equivalents and restricted cash</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5"/>
              </w:rPr>
              <w:t>(22,516)</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12,848</w:t>
            </w:r>
          </w:p>
        </w:tc>
      </w:tr>
      <w:tr>
        <w:trPr>
          <w:trHeight w:val="149"/>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106,257</w:t>
            </w:r>
          </w:p>
        </w:tc>
        <w:tc>
          <w:tcPr>
            <w:tcW w:w="26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90,502</w:t>
            </w:r>
          </w:p>
        </w:tc>
      </w:tr>
      <w:tr>
        <w:trPr>
          <w:trHeight w:val="18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84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83,741</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766"/>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103,350</w:t>
            </w:r>
          </w:p>
        </w:tc>
      </w:tr>
      <w:tr>
        <w:trPr>
          <w:trHeight w:val="129"/>
        </w:trPr>
        <w:tc>
          <w:tcPr>
            <w:tcW w:w="59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for</w:t>
            </w: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840" w:type="dxa"/>
            <w:vAlign w:val="bottom"/>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8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6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 included in Accounts payable, accrued expenses and other</w:t>
            </w:r>
          </w:p>
        </w:tc>
        <w:tc>
          <w:tcPr>
            <w:tcW w:w="84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5900" w:type="dxa"/>
            <w:vAlign w:val="bottom"/>
          </w:tcPr>
          <w:p>
            <w:pPr>
              <w:ind w:left="120"/>
              <w:spacing w:after="0"/>
              <w:rPr>
                <w:sz w:val="20"/>
                <w:szCs w:val="20"/>
                <w:color w:val="auto"/>
              </w:rPr>
            </w:pPr>
            <w:r>
              <w:rPr>
                <w:rFonts w:ascii="Arial" w:cs="Arial" w:eastAsia="Arial" w:hAnsi="Arial"/>
                <w:sz w:val="14"/>
                <w:szCs w:val="14"/>
                <w:color w:val="auto"/>
              </w:rPr>
              <w:t>Issuance of Common Stock on acquistion of gcg Connect, LLC, d/b/a HyperPointe</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906</w:t>
            </w:r>
          </w:p>
        </w:tc>
        <w:tc>
          <w:tcPr>
            <w:tcW w:w="260" w:type="dxa"/>
            <w:vAlign w:val="bottom"/>
          </w:tcPr>
          <w:p>
            <w:pPr>
              <w:spacing w:after="0"/>
              <w:rPr>
                <w:sz w:val="15"/>
                <w:szCs w:val="15"/>
                <w:color w:val="auto"/>
              </w:rPr>
            </w:pPr>
          </w:p>
        </w:tc>
        <w:tc>
          <w:tcPr>
            <w:tcW w:w="880" w:type="dxa"/>
            <w:vAlign w:val="bottom"/>
          </w:tcPr>
          <w:p>
            <w:pPr>
              <w:jc w:val="right"/>
              <w:ind w:right="76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215" w:lineRule="auto"/>
        <w:rPr>
          <w:sz w:val="20"/>
          <w:szCs w:val="20"/>
          <w:color w:val="auto"/>
        </w:rPr>
      </w:pPr>
      <w:r>
        <w:rPr>
          <w:rFonts w:ascii="Arial" w:cs="Arial" w:eastAsia="Arial" w:hAnsi="Arial"/>
          <w:sz w:val="18"/>
          <w:szCs w:val="18"/>
          <w:color w:val="auto"/>
        </w:rPr>
        <w:t>XpresSpa Group, Inc. (“XpresSpa Group” or the “Company”) is a leading global travel health and wellness services holding company. XpresSpa Group currently has four reportable operating segments: XpresSpa</w:t>
      </w:r>
      <w:r>
        <w:rPr>
          <w:rFonts w:ascii="Arial" w:cs="Arial" w:eastAsia="Arial" w:hAnsi="Arial"/>
          <w:sz w:val="20"/>
          <w:szCs w:val="20"/>
          <w:color w:val="auto"/>
          <w:vertAlign w:val="superscript"/>
        </w:rPr>
        <w:t>®</w:t>
      </w:r>
      <w:r>
        <w:rPr>
          <w:rFonts w:ascii="Arial" w:cs="Arial" w:eastAsia="Arial" w:hAnsi="Arial"/>
          <w:sz w:val="18"/>
          <w:szCs w:val="18"/>
          <w:color w:val="auto"/>
        </w:rPr>
        <w:t>, XpresTest</w:t>
      </w:r>
      <w:r>
        <w:rPr>
          <w:rFonts w:ascii="Arial" w:cs="Arial" w:eastAsia="Arial" w:hAnsi="Arial"/>
          <w:sz w:val="20"/>
          <w:szCs w:val="20"/>
          <w:color w:val="auto"/>
          <w:vertAlign w:val="superscript"/>
        </w:rPr>
        <w:t>®</w:t>
      </w:r>
      <w:r>
        <w:rPr>
          <w:rFonts w:ascii="Arial" w:cs="Arial" w:eastAsia="Arial" w:hAnsi="Arial"/>
          <w:sz w:val="18"/>
          <w:szCs w:val="18"/>
          <w:color w:val="auto"/>
        </w:rPr>
        <w:t>, Treat</w:t>
      </w:r>
      <w:r>
        <w:rPr>
          <w:rFonts w:ascii="Arial" w:cs="Arial" w:eastAsia="Arial" w:hAnsi="Arial"/>
          <w:sz w:val="26"/>
          <w:szCs w:val="26"/>
          <w:color w:val="auto"/>
          <w:vertAlign w:val="superscript"/>
        </w:rPr>
        <w:t>™</w:t>
      </w:r>
      <w:r>
        <w:rPr>
          <w:rFonts w:ascii="Arial" w:cs="Arial" w:eastAsia="Arial" w:hAnsi="Arial"/>
          <w:sz w:val="18"/>
          <w:szCs w:val="18"/>
          <w:color w:val="auto"/>
        </w:rPr>
        <w:t>, and HyperPointe which was acquired in January 2022.</w:t>
      </w:r>
    </w:p>
    <w:p>
      <w:pPr>
        <w:spacing w:after="0" w:line="20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 (“XpresSpa”).</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Through XpresSpa Group’s XpresTest, Inc. subsidiary (“XpresTest”), the company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the MSAs, XpresTest provides office space, equipment, supplies, non-licensed staff, and management services in return for a management fee. Effective July 1, 2021, the Company determined that the PLLCs are VIEs due to their equity holders having sufficient capital at risk, and the Company having a variable interest and a primary beneficiary in the PLLCs.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third segment is Treat, which is operating through XpresSpa Group’s subsidiary Treat, Inc. (“Treat”). Treat is a travel health and wellness brand that provides access to health and wellness services for travelers at on-site centers (currently located in JFK International Airport and Phoenix Sky Harbor International Airport and opening later this year in Salt Lake City International Airport).</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HyperPointe segment, which the Company acquired in January 2022 (</w:t>
      </w:r>
      <w:r>
        <w:rPr>
          <w:rFonts w:ascii="Arial" w:cs="Arial" w:eastAsia="Arial" w:hAnsi="Arial"/>
          <w:sz w:val="18"/>
          <w:szCs w:val="18"/>
          <w:i w:val="1"/>
          <w:iCs w:val="1"/>
          <w:color w:val="auto"/>
        </w:rPr>
        <w:t>see Note 7. Acquisition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HyperPointe</w:t>
      </w:r>
      <w:r>
        <w:rPr>
          <w:rFonts w:ascii="Arial" w:cs="Arial" w:eastAsia="Arial" w:hAnsi="Arial"/>
          <w:sz w:val="18"/>
          <w:szCs w:val="18"/>
          <w:color w:val="auto"/>
        </w:rPr>
        <w:t>), provides a broad range of service and support options for our customers, including technical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advanced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2021, as amended. The condensed consolidated balance sheet as of December 31, 2021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in which we are the primary beneficiaries. All adjustments that, in the opinion of management, are necessary for a fair presentation for the periods presented have been reflected by the Company. Such adjustments are of a normal, recurring nature. The results of operations for the three months ended March 31, 2022 are not necessarily indicative of the results that may be expected for the entire fiscal year or for any other interim period. All significant intercompany balances and transactions have been eliminated in consolidation.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XpresCheck’s business has MSAs with state licensed physicians and nurse practitioners, under which we administer COVID-19 testing options, including a Polymerase Chain Reaction (PCR) test and a rapid PCR test. As of the date of this report, there are 15 operating XpresCheck locations operating in 12 airports, including following locations opened since December 31, 2021:</w:t>
      </w:r>
    </w:p>
    <w:p>
      <w:pPr>
        <w:spacing w:after="0" w:line="187" w:lineRule="exact"/>
        <w:rPr>
          <w:sz w:val="20"/>
          <w:szCs w:val="20"/>
          <w:color w:val="auto"/>
        </w:rPr>
      </w:pPr>
    </w:p>
    <w:p>
      <w:pPr>
        <w:ind w:left="720" w:right="139" w:hanging="319"/>
        <w:spacing w:after="0" w:line="308" w:lineRule="auto"/>
        <w:tabs>
          <w:tab w:leader="none" w:pos="76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February 2022, a second XpresCheck Wellness Center opened at Denver International Airport, pre-security in the Great Hall. It contains six separate testing rooms to provide diagnostic COVID-19 testing.</w:t>
      </w:r>
    </w:p>
    <w:p>
      <w:pPr>
        <w:spacing w:after="0" w:line="146" w:lineRule="exact"/>
        <w:rPr>
          <w:rFonts w:ascii="Arial" w:cs="Arial" w:eastAsia="Arial" w:hAnsi="Arial"/>
          <w:sz w:val="17"/>
          <w:szCs w:val="17"/>
          <w:color w:val="auto"/>
        </w:rPr>
      </w:pPr>
    </w:p>
    <w:p>
      <w:pPr>
        <w:ind w:left="720" w:right="19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2022, we opened an XpresCheck Wellness Center in Orlando International Airport, pre-security, in the South Walk area of the Main Terminal. It contains five separate testing rooms to provide diagnostic COVID-19 testing.</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the Company announced the extension of the program, bringing the total contract to $5,534. Approximately $1,396 and $1,368 of the full $5,534 amount was recognized during the first quarter of 2022 and the fourth quarter of 2021, respectively. The Company anticipates that the remaining $2,770 of the full $5,534 amount will be realized in the second and third quarters of 2022.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are currently nineteen operating XpresSpa domestic locations (including two franchise location in Austin-Bergstrom International Airport) and the Company expects to re-open four additional domestic locations in the near-term. A significant number of the domestic XpresSpa locations are operating approximately eight hours per day during the busiest hours (compared to up to sixteen hours per day pre-pandemic) improving labor productivity. Additionally, XpresSpa implemented a price increase in mid-October 2021 in its efforts to return to profitability. As passenger airport volumes improve, the Company will continue to review operating hours to optimize revenue opportunity.</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the Company began testing several new services to take advantage of a growing interest in non-traditional spa services and expansion of our retail offering to align more closely with the services the Company provides. The company is evaluating the success of these new initiatives at each airport on an on-going basis and will incorporate changes to our approach as more of the portfolio is reactivated.</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also has six international locations operating, including three XpresSpa locations in Dubai International Airport in the United Arab Emirates and three XpresSpa locations in Schiphol Amsterdam Airport in the Netherlands. The Company also signed for an additional five locations at Istanbul Airport and expects to open the first store during the summer of 2022.</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Treat is the Company’s new travel, health and wellness brand transforming the way we access care through a suite of health and wellness services supported by an integrated digital platform and a relevant retail offering to the traveling public.</w:t>
      </w:r>
    </w:p>
    <w:p>
      <w:pPr>
        <w:spacing w:after="0" w:line="12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Treat’s on-site centers (currently located in JFK International Airport and in Phoenix Sky Harbor International Airport and opening later this year in Salt Lake City International Airport) provide access to health and wellness services for travelers. The Treat teams provide travel-related diagnostic testing for virus, cold, flu and other illnesses as well as hydration therapy, IV drips, and vitamin injections. Travelers can purchase time blocks to use the Company’s wellness rooms to engage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interactive services like self-guided yoga, meditation and low impact weight exercises or to relax and unplug from the hectic pace of the airport and renew themselves before or after their trip.</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the Company’s on-site locations. The information on the Treat website is not incorporated by reference into this Quarterly Report on Form 10-Q and does not constitute a part of this Form 10-Q.</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January 2022, the Company announced and closed on the acquisition of gcg Connect, LLC d/b/a HyperPointe.</w:t>
      </w:r>
    </w:p>
    <w:p>
      <w:pPr>
        <w:spacing w:after="0" w:line="23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 As of the acquisition date, and as of March 31, 2022, the Company believes that the fair value of the potential earnout payment is $0.</w:t>
      </w:r>
    </w:p>
    <w:p>
      <w:pPr>
        <w:spacing w:after="0" w:line="1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 xml:space="preserve">HyperPointe currently operates as a new operating segment within the XpresSpa Group. The chief executive officer of HyperPointe before the Company’s acquisition, continues to serve as the chief executive officer of HyperPointe, as well as serving as the chief executive officer of XpresCheck. See </w:t>
      </w:r>
      <w:r>
        <w:rPr>
          <w:rFonts w:ascii="Arial" w:cs="Arial" w:eastAsia="Arial" w:hAnsi="Arial"/>
          <w:sz w:val="16"/>
          <w:szCs w:val="16"/>
          <w:i w:val="1"/>
          <w:iCs w:val="1"/>
          <w:color w:val="auto"/>
        </w:rPr>
        <w:t>Note 7. Acquisition of HyperPointe</w:t>
      </w:r>
      <w:r>
        <w:rPr>
          <w:rFonts w:ascii="Arial" w:cs="Arial" w:eastAsia="Arial" w:hAnsi="Arial"/>
          <w:sz w:val="16"/>
          <w:szCs w:val="16"/>
          <w:color w:val="auto"/>
        </w:rPr>
        <w:t xml:space="preserve"> for related discussion.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March 31, 2022, the Company had cash and cash equivalents, excluding restricted cash, of $82,990, total current assets of $88,463, total current liabilities of $18,648 and positive working capital of $69,815, compared to a positive working capital of $89,152 as of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has a franchise agreement with an unaffiliated franchisee to operate two XpresSpa locations.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and recognizes revenue on a straight-line basis over the life of the franchise agreement.</w:t>
      </w:r>
    </w:p>
    <w:p>
      <w:pPr>
        <w:spacing w:after="0" w:line="157"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its XpresSpa.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XpresCheck</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Through its XpresCheck Wellness Centers and under the terms of the Managed Services Agreement (“MSA”) with Professional Limited Liability Companies (“PLLCs”) that in turn contract with physicians and Nurse Practitioners, the Company offers testing services to airline employees, contractors, concessionaire employees, TSA officers and U.S. Customs and Border Protection agents, as well as the traveling public. The Company has entered into MSAs with PLLCs that provide healthcare services to patients. Under the terms of the MSAs which may be modified for commercial reasonableness and fair market value, XpresTest provides office space, equipment, supplies, non-licensed staff, and management services to be used for the purpose of COVID-19 and other medical diagnostic testing in return for a management fee which was deemed a performance obligation for recognizing revenue prior to July 1, 2021.</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Effective, July 1, 2021 (</w:t>
      </w:r>
      <w:r>
        <w:rPr>
          <w:rFonts w:ascii="Arial" w:cs="Arial" w:eastAsia="Arial" w:hAnsi="Arial"/>
          <w:sz w:val="17"/>
          <w:szCs w:val="17"/>
          <w:i w:val="1"/>
          <w:iCs w:val="1"/>
          <w:color w:val="auto"/>
        </w:rPr>
        <w:t>see Note 8. Variable Interest Entities</w:t>
      </w:r>
      <w:r>
        <w:rPr>
          <w:rFonts w:ascii="Arial" w:cs="Arial" w:eastAsia="Arial" w:hAnsi="Arial"/>
          <w:sz w:val="17"/>
          <w:szCs w:val="17"/>
          <w:color w:val="auto"/>
        </w:rPr>
        <w:t>), the Company determined that the PLLCs are variable interest entities due to its equity holder having insufficient capital at risk, and the Company having a variable interest in the PLLCs. In pursuance, the total revenue of the PLLCs are designated as revenue for the company. The performance obligation for this revenue was the PLLCs administering COVID-19 tests to airline employees, contractors, concessionaire employees, TSA officers and U.S. Customs and Border Protection agents, as well as the traveling public, with revenue being recognized at the point in time at which the service is performed.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recognizes revenue from the sale of Treat products and services when the services are rendered at Treat Centers and from the sale of products at the time products are purchased at the Treat Centers or online usually by credit card, net of discounts and applicable sales taxes. Accordingly, the Company recognizes revenue for the Company’s single performance obligation related to both in-centers and online sales at the point at which the service has been performed or the control of the merchandise has passed to the customer. Revenues from the Treat retail and e-commerce businesses are recorded at the time goods are shipped.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HyperPointe segment which we acquired in January 2022 (</w:t>
      </w:r>
      <w:r>
        <w:rPr>
          <w:rFonts w:ascii="Arial" w:cs="Arial" w:eastAsia="Arial" w:hAnsi="Arial"/>
          <w:sz w:val="18"/>
          <w:szCs w:val="18"/>
          <w:i w:val="1"/>
          <w:iCs w:val="1"/>
          <w:color w:val="auto"/>
        </w:rPr>
        <w:t>see Note 7 Acquisition of HyperPointe)</w:t>
      </w:r>
      <w:r>
        <w:rPr>
          <w:rFonts w:ascii="Arial" w:cs="Arial" w:eastAsia="Arial" w:hAnsi="Arial"/>
          <w:sz w:val="18"/>
          <w:szCs w:val="18"/>
          <w:color w:val="auto"/>
        </w:rPr>
        <w:t xml:space="preserve"> provides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are treated as deferred revenue which was $544 as of March 31, 2022. HyperPointe had unbilled receivables of $136 included in Accounts Receivable.</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Company excludes all sales taxes assessed to our customers from revenue. Sales taxes assessed on revenues are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on the Company’s condensed consolidated balance sheets until remitted to state agencies.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 Variable Interest Entities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applies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Goodwill</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The Company accounts for goodwill under ASC 350-30,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2020-06—Debt--Debt with Conversion and Other Options (Subtopic 470-20) and Derivatives and Hedging—Contracts in Entity’s Own Equity (Subtopic 815-40)</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 The new standard is effective for fiscal years beginning after December 15, 2021, and interim periods within those fiscal years. The Company adopted ASU 2020-06 as of the reporting period beginning January 1, 2022. The adoption of this update did not have a material impact on the Company’s condensed consolidated financial statements.</w:t>
      </w:r>
    </w:p>
    <w:p>
      <w:pPr>
        <w:spacing w:after="0" w:line="3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ASU 2021-04: Issuer's Accounting for Certain Modifications or Exchanges of Freestanding Equity Classified Written Call Options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2021 for all entities. The Company adopted ASU 2021-04 as of the reporting period beginning January 1, 2022. The adoption of this update did not have a material impact on the Company’s condensed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Note 3. Potentially Dilutive Securities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5"/>
          </w:tcPr>
          <w:p>
            <w:pPr>
              <w:spacing w:after="0"/>
              <w:rPr>
                <w:sz w:val="20"/>
                <w:szCs w:val="20"/>
                <w:color w:val="auto"/>
              </w:rPr>
            </w:pPr>
            <w:r>
              <w:rPr>
                <w:rFonts w:ascii="Arial" w:cs="Arial" w:eastAsia="Arial" w:hAnsi="Arial"/>
                <w:sz w:val="18"/>
                <w:szCs w:val="18"/>
                <w:color w:val="auto"/>
                <w:w w:val="94"/>
              </w:rPr>
              <w:t>The table below presents the computation of basic and diluted net loss per share of Common Stock:</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numerator: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denominator:</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dliuted weighted average shares outstanding</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101,601,913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101,058,500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loss per share</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income (loss) per share data presented above excludes from the calculation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of diluted net income (loss), the following potentially dilutive securities, having</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 anti-dilutive impact, in case of net loss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Arial" w:cs="Arial" w:eastAsia="Arial" w:hAnsi="Arial"/>
                <w:sz w:val="18"/>
                <w:szCs w:val="18"/>
                <w:color w:val="auto"/>
                <w:w w:val="90"/>
              </w:rPr>
              <w:t>Both vested and unvested options to purchase an equal number of shares of Common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4,062,699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to issue an equal number of shares of Common Stock</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an equal number of shares of Common Stock</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29,460,560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37,988,940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Total number of potentially dilutive securities excluded from the calculation of</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33,890,448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41,116,250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earnings/(loss) per share attributable to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reconciliation of the Company’s cash and cash equivalents in the Condensed Consolidated Balance Sheets to cash, cash equivalents and restricted cash in the Condensed Consolidated Statements of Cash Flows as of March 31, 2022 and December 31, 2021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5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2022</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2021</w:t>
            </w:r>
          </w:p>
        </w:tc>
      </w:tr>
      <w:tr>
        <w:trPr>
          <w:trHeight w:val="210"/>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80,096</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and debit card receivables</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1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83,741</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106,257</w:t>
            </w:r>
          </w:p>
        </w:tc>
      </w:tr>
      <w:tr>
        <w:trPr>
          <w:trHeight w:val="20"/>
        </w:trPr>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At March 31, 2022 and December 31, 2021, deposits in excess of FDIC limits were $78,917 and $103,339, respectively. As of March 31, 2022 and December 31, 2021, the Company held cash balances in overseas accounts, totaling $2,624 and $2,113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Intangible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March 31, 2022</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2021</w:t>
            </w:r>
          </w:p>
        </w:tc>
        <w:tc>
          <w:tcPr>
            <w:tcW w:w="580" w:type="dxa"/>
            <w:vAlign w:val="bottom"/>
            <w:tcBorders>
              <w:bottom w:val="single" w:sz="8" w:color="auto"/>
            </w:tcBorders>
          </w:tcPr>
          <w:p>
            <w:pPr>
              <w:spacing w:after="0"/>
              <w:rPr>
                <w:sz w:val="20"/>
                <w:szCs w:val="20"/>
                <w:color w:val="auto"/>
              </w:rPr>
            </w:pPr>
          </w:p>
        </w:tc>
      </w:tr>
      <w:tr>
        <w:trPr>
          <w:trHeight w:val="191"/>
        </w:trPr>
        <w:tc>
          <w:tcPr>
            <w:tcW w:w="2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60" w:type="dxa"/>
            <w:vAlign w:val="bottom"/>
          </w:tcPr>
          <w:p>
            <w:pPr>
              <w:spacing w:after="0"/>
              <w:rPr>
                <w:sz w:val="18"/>
                <w:szCs w:val="18"/>
                <w:color w:val="auto"/>
              </w:rPr>
            </w:pPr>
          </w:p>
        </w:tc>
        <w:tc>
          <w:tcPr>
            <w:tcW w:w="6540" w:type="dxa"/>
            <w:vAlign w:val="bottom"/>
            <w:gridSpan w:val="20"/>
          </w:tcPr>
          <w:p>
            <w:pPr>
              <w:ind w:left="64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4"/>
          </w:tcPr>
          <w:p>
            <w:pPr>
              <w:ind w:left="180"/>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16"/>
        </w:trPr>
        <w:tc>
          <w:tcPr>
            <w:tcW w:w="2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Licenses</w:t>
            </w:r>
          </w:p>
        </w:tc>
        <w:tc>
          <w:tcPr>
            <w:tcW w:w="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10"/>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r>
      <w:tr>
        <w:trPr>
          <w:trHeight w:val="20"/>
        </w:trPr>
        <w:tc>
          <w:tcPr>
            <w:tcW w:w="2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trade name relates to the value of the XpresSpa and HyperPointe trade names, software relates to certain capitalized third-party costs related to a website and a point-of-sale system as well as software assumed on our acquisition of HyperPointe; and licenses relates to certain capitalized costs of foreign acquisitions. Customer relationships were assumed on our acquisition of HyperPointe.</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Company’s intangible assets are amortized over their expected useful lives. The Company recorded amortization expense of $393 and $99 during the three months ended March 31, 2022 and 2021.</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Based on the intangible assets balance as of March 31, 2022,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Leases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Company leases its retail and diagnostic testing locations at various domestic and international airports. Additionally, the Company leases its corporate office in New York City. Certain leases entered into by the Company fall under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thirty one months and began in March 2020. The Company received minimum guaranteed payment concession of approximately $321 in the three months ended March 31, 2022 and $472 in the three months ended March 31, 2021. The Company expects to realize additional rent concessions while some of its spas remain closed.</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Supplemental cash flow information related to leases for the three months ended March 31, 2022 and 2021 were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0"/>
              </w:rPr>
              <w:t>Three months ended March 31,</w:t>
            </w:r>
          </w:p>
        </w:tc>
      </w:tr>
      <w:tr>
        <w:trPr>
          <w:trHeight w:val="210"/>
        </w:trPr>
        <w:tc>
          <w:tcPr>
            <w:tcW w:w="6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(1,010)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Leased assets obtained in exchange for new and modified 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w w:val="93"/>
              </w:rPr>
              <w:t>Leased assets surrendered in exchange for termination of 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2022, operating leases contain the following future minimum commitments: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1,572</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r>
      <w:tr>
        <w:trPr>
          <w:trHeight w:val="210"/>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4.05 years</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w w:val="92"/>
              </w:rPr>
              <w:t>Weighted average discount rate used to determine present value of operating lease</w:t>
            </w:r>
          </w:p>
        </w:tc>
        <w:tc>
          <w:tcPr>
            <w:tcW w:w="104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liability:</w:t>
            </w:r>
          </w:p>
        </w:tc>
        <w:tc>
          <w:tcPr>
            <w:tcW w:w="1040" w:type="dxa"/>
            <w:vAlign w:val="bottom"/>
          </w:tcPr>
          <w:p>
            <w:pPr>
              <w:ind w:left="240"/>
              <w:spacing w:after="0"/>
              <w:rPr>
                <w:sz w:val="20"/>
                <w:szCs w:val="20"/>
                <w:color w:val="auto"/>
              </w:rPr>
            </w:pPr>
            <w:r>
              <w:rPr>
                <w:rFonts w:ascii="Arial" w:cs="Arial" w:eastAsia="Arial" w:hAnsi="Arial"/>
                <w:sz w:val="18"/>
                <w:szCs w:val="18"/>
                <w:color w:val="auto"/>
              </w:rPr>
              <w:t>10.0 %</w:t>
            </w:r>
          </w:p>
        </w:tc>
      </w:tr>
    </w:tbl>
    <w:p>
      <w:pPr>
        <w:spacing w:after="0" w:line="20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Cash paid for minimum annual rental obligations was $271 and $150 for the three months ended March 31, 2022 and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Variable lease payments calculated monthly as a percentage of product and services revenue were $364 and $97 for the three months ended March 31,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Acquisition of HyperPointe</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January 14, 2022, the Company acquired all of the equity interests in gcg Connect, LLC, d/b/a HyperPointe, a New Jersey limited liability company (“HyperPointe”), for an aggregate initial purchase price of approximately $7,257, which consisted of (i) $7,121 in cash offset by settlement of intercompany payable of $770, and (ii) the issuance of 552,487 shares of common stock of the Company to the equity owners of HyperPointe, plus additional consideration in the form of a potential earnout of up to $7,500 (the “Acquisition”). The portion of the initial consideration for the Acquisition comprising the 552,487 shares of Company common stock was valued at $906 based upon a closing reference price of $1.64 as contemplated by the acquisition agreement.</w:t>
      </w:r>
    </w:p>
    <w:p>
      <w:pPr>
        <w:spacing w:after="0" w:line="19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XpresSpa Group also agreed pursuant to an earnout provision to issue up to an additional $7,500 in cash or stock if certain earnout performance targets are met during an earnout period ending on the third anniversary of the date of the acquisition agreement. For purposes of the earnout, the Common Stock will also be valued on a per share basis. The earnout payments may be satisfied in (i) cash, (ii) shares of Common Stock (priced at $1.81), or (iii) any combination thereof, at the election of the equity owners of HyperPointe, provided that in the event (and to the extent) XpresSpa Group does not have sufficient authorized shares of Common Stock that are unissued and not duly reserved for issuance upon options, warrants or other convertible securities, then XpresSpa Group shall be permitted to settle any earnout payments in cash. As a result, XpresSpa Group may issue up to an additional 4,143,647 shares of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6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Group granted an equity award to the previous Chief Executive Officer of HyperPointe and who was offered employment with the Company in connection with XpresSpa’s acquisition of the equity interests of HyperPointe, as an inducement material to such new employee entering into employment with the Company. The equity award was approved on January 7, 2022, in accordance with Nasdaq Listing Rule 5635(c)(4).</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employee received stock options to purchase 1,000,000 shares of XpresSpa common stock. The stock options were issued upon the closing of the acquisition of HyperPointe and employee’s hire date in connection therewith (the "Grant Date"), and all stock options included within the equity inducement award have an exercise price of $1.64 per share, resulting in the fair value of $1,457 which would be charged to expense per the option terms. One-third of the options will vest on each of the first three anniversaries of the Grant Date, subject to the employee's continued employment with XpresSpa or its subsidiaries on such vesting dates. The stock options have a ten-year term.</w:t>
      </w:r>
    </w:p>
    <w:p>
      <w:pPr>
        <w:spacing w:after="0" w:line="17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 has recognized the assets and liabilities based on the acquisition date fair values. The acquisition did not result in the creation of any contingent consideration as of the Acquisition date and as of March 31, 2022.</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Determination of the fair values of the acquired assets and assumed liabilities (and the related determination of estimated lives of depreciable tangible and identifiable intangible assets) requires significant judgment.</w:t>
      </w:r>
    </w:p>
    <w:p>
      <w:pPr>
        <w:spacing w:after="0" w:line="170"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fair value of intangible assets other than Goodwill was determined primarily using income approaches. This included estimated multi-period excess earnings valuation method for Customer relationships and the relief-from-royalty valuation.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adjustments set forth in the following condensed unaudited consolidated Balance Sheet reflect the effect of the consummation of the acquisition:</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 paid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assets acquired and liabilities assumed</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Receivables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Variable Interest Entities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Through its XpresCheck Wellness Centers the Company provides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 “Nominee Shareholder”). Upon formation of the PLLCs, and initial issuance of equity interests, the Nominee Shareholder contributes a nominal amount of capital in exchange for their interest in the PLLC. The Company then executes with each PLLC a MSA, which provide for various administrative services, management services and day-to-day activities of the practice to be rendered by the Company through its XpresCheck Wellness Centers.</w:t>
      </w:r>
    </w:p>
    <w:p>
      <w:pPr>
        <w:spacing w:after="0" w:line="17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also has exclusive responsibility for the provision of all nonmedical services including contracting with customers who access the PLLCs for a medical visit, handling all financial transactions and day-to-day operations of each PLLC, overseeing the establishment of COVID-19 and other medical diagnostic testing services policies, and making recommendations to the PLLC in establishing the guidelines for the employment and compensation of the physicians and other employees of the PLLCs. Until June 30, 2021, MSA Fees were commensurate with the expected level of activity required to be billed by XpresCheck Wellness Centers. Therefore, these PLLCs were assessed not to be variable interest entities prior to July 1, 2021.</w:t>
      </w:r>
    </w:p>
    <w:p>
      <w:pPr>
        <w:spacing w:after="0" w:line="19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Effective, July 1, 2021, contractual arrangements between the company, the company’s affiliated medical group and nominated shareholder were modified in a manner that changes the characteristics or adequacy of the nominee shareholders equity investment at risk and residual returns. Therefore, due to reassessment triggered by the development on July 1, 2021, the Company determined that the PLLCs are now variable interest entities. Notwithstanding their legal 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VIE model since the Company has the power to direct activities that most significantly impact the PLLCs economic performance and the right to receive benefits or the obligation to absorb losses that could potentially be significant to the PLLCs.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The aggregate carrying value of total assets and total liabilities included on the consolidated balance sheets for the PLLCs after elimination of intercompany transactions were $973, included in Cash and Cash Equivalents, and $394,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respectively, as of March 31, 2022. The total revenue included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and comprehensive income (loss) for the PLLCs after elimination of intercompany transactions was $19,389 for the three months ended March 31,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March 31, 2022 and December 31, 2021 is comprised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December 31, 2021</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 unsecured (Current)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bears interest at a rate of 1% per annum. No payments were due on the PPP Loan during a six-month deferral period commencing on May 2, 2020. Commencing one month after the expiration of the deferral period and continuing on the same day of each month thereafter until the maturity date of the PPP Loan, the Company is obligated to make monthly payments of principal and interest, each in such equal amount required to fully amortize the principal amount outstanding on the PPP Loan by the maturity date. The PPP loan was paid off on the maturity date of May 2, 2022. The principal amount of the PPP Loan was subject to forgiveness under the PPP upon the Company’s request to the extent that the PPP Loan proceeds are used to pay expenses permitted by the PPP. Bank of America may have forgiven interest accrued on any principal forgiven if the SBA pays the interest. Currently, the Company is paying its monthly principal and interest related to the PPP Loan when due. The PPP Loan contains customary borrower default provisions and lender remedies, including the right of Bank of America to require immediate repayment in full the outstanding principal balance of the PPP Loan with accrued interest. As of both March 31, 2022 and December 31, 2021, $4 has been accrued and is included in Accounts payable, accrued expenses and other in the condensed consolidated balance sheet.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During the three months ended March 31, 2022, the Company continuing to execute on its share repurchase program, repurchased 7,142,446 shares at average cost of $1.55 per share, for a total of $11,095.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represents the activity related to the Company’s warrants during the three months ended March 31, 2022.</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63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No. of Warrants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 range</w:t>
            </w: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37,817,694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0.525 - 6.566</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r>
      <w:tr>
        <w:trPr>
          <w:trHeight w:val="223"/>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(8,357,134)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5.25-6.566</w:t>
            </w:r>
          </w:p>
        </w:tc>
      </w:tr>
      <w:tr>
        <w:trPr>
          <w:trHeight w:val="21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29,460,560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1.7 - 3.9375</w:t>
            </w:r>
          </w:p>
        </w:tc>
      </w:tr>
      <w:tr>
        <w:trPr>
          <w:trHeight w:val="20"/>
        </w:trPr>
        <w:tc>
          <w:tcPr>
            <w:tcW w:w="63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 approval which was subsequently obtained on October 28, 2020. The 2012 Plan was terminated upon receipt of shareholder approval of the 2020 Plan.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September 2020, the Company’s XpresTest subsidiary created a stock-based compensation plan available to grant stock options, restricted stock and RSU’s to the subsidiary’s directors, employees and consultants. Under the XpresTest 2020 Equity Incentive Plan (the “XpresTest Plan”), a maximum of 200 shares of XpresTest Common Stock may be awarded, which would represent 20% of the total number of shares of common stock of XpresTest as of March 31, 2022. Certain named executive officers, consultants, and directors of the Company are eligible to participate in the XpresTest Plan. The XpresTest Plan RSAs vest upon satisfaction of certain service and performance-based conditions.</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1"/>
              </w:rPr>
              <w:t>- 1.64</w:t>
            </w:r>
          </w:p>
        </w:tc>
        <w:tc>
          <w:tcPr>
            <w:tcW w:w="20" w:type="dxa"/>
            <w:vAlign w:val="bottom"/>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w w:val="91"/>
              </w:rPr>
              <w:t>- 1.64</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123.45 %</w:t>
            </w:r>
          </w:p>
        </w:tc>
        <w:tc>
          <w:tcPr>
            <w:tcW w:w="20" w:type="dxa"/>
            <w:vAlign w:val="bottom"/>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- 1.71 %</w:t>
            </w:r>
          </w:p>
        </w:tc>
        <w:tc>
          <w:tcPr>
            <w:tcW w:w="20" w:type="dxa"/>
            <w:vAlign w:val="bottom"/>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 years</w:t>
            </w:r>
          </w:p>
        </w:tc>
        <w:tc>
          <w:tcPr>
            <w:tcW w:w="20" w:type="dxa"/>
            <w:vAlign w:val="bottom"/>
          </w:tcPr>
          <w:p>
            <w:pPr>
              <w:spacing w:after="0"/>
              <w:rPr>
                <w:sz w:val="20"/>
                <w:szCs w:val="20"/>
                <w:color w:val="auto"/>
              </w:rPr>
            </w:pPr>
          </w:p>
        </w:tc>
      </w:tr>
      <w:tr>
        <w:trPr>
          <w:trHeight w:val="850"/>
        </w:trPr>
        <w:tc>
          <w:tcPr>
            <w:tcW w:w="5900" w:type="dxa"/>
            <w:vAlign w:val="bottom"/>
          </w:tcPr>
          <w:p>
            <w:pPr>
              <w:ind w:left="4380"/>
              <w:spacing w:after="0"/>
              <w:rPr>
                <w:sz w:val="20"/>
                <w:szCs w:val="20"/>
                <w:color w:val="auto"/>
              </w:rPr>
            </w:pPr>
            <w:r>
              <w:rPr>
                <w:rFonts w:ascii="Arial" w:cs="Arial" w:eastAsia="Arial" w:hAnsi="Arial"/>
                <w:sz w:val="18"/>
                <w:szCs w:val="18"/>
                <w:color w:val="auto"/>
              </w:rPr>
              <w:t>20</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5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Total following table sets forth the Company’s Equity Incentive activities for the three months ended March 31, 2022:</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RSUs</w:t>
            </w:r>
          </w:p>
        </w:tc>
        <w:tc>
          <w:tcPr>
            <w:tcW w:w="7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 options</w:t>
            </w:r>
          </w:p>
        </w:tc>
        <w:tc>
          <w:tcPr>
            <w:tcW w:w="1360" w:type="dxa"/>
            <w:vAlign w:val="bottom"/>
            <w:tcBorders>
              <w:bottom w:val="single" w:sz="8" w:color="auto"/>
            </w:tcBorders>
          </w:tcPr>
          <w:p>
            <w:pPr>
              <w:spacing w:after="0"/>
              <w:rPr>
                <w:sz w:val="20"/>
                <w:szCs w:val="20"/>
                <w:color w:val="auto"/>
              </w:rPr>
            </w:pPr>
          </w:p>
        </w:tc>
      </w:tr>
      <w:tr>
        <w:trPr>
          <w:trHeight w:val="191"/>
        </w:trPr>
        <w:tc>
          <w:tcPr>
            <w:tcW w:w="3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3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r>
      <w:tr>
        <w:trPr>
          <w:trHeight w:val="216"/>
        </w:trPr>
        <w:tc>
          <w:tcPr>
            <w:tcW w:w="3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No. of</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No. of</w:t>
            </w: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exercise</w:t>
            </w:r>
          </w:p>
        </w:tc>
        <w:tc>
          <w:tcPr>
            <w:tcW w:w="300" w:type="dxa"/>
            <w:vAlign w:val="bottom"/>
          </w:tcPr>
          <w:p>
            <w:pPr>
              <w:spacing w:after="0"/>
              <w:rPr>
                <w:sz w:val="18"/>
                <w:szCs w:val="18"/>
                <w:color w:val="auto"/>
              </w:rPr>
            </w:pPr>
          </w:p>
        </w:tc>
        <w:tc>
          <w:tcPr>
            <w:tcW w:w="13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price</w:t>
            </w:r>
          </w:p>
        </w:tc>
      </w:tr>
      <w:tr>
        <w:trPr>
          <w:trHeight w:val="234"/>
        </w:trPr>
        <w:tc>
          <w:tcPr>
            <w:tcW w:w="310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b w:val="1"/>
                <w:bCs w:val="1"/>
                <w:color w:val="auto"/>
              </w:rPr>
              <w:t>RSUs</w:t>
            </w: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fair value</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price</w:t>
            </w:r>
          </w:p>
        </w:tc>
        <w:tc>
          <w:tcPr>
            <w:tcW w:w="30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range</w:t>
            </w:r>
          </w:p>
        </w:tc>
      </w:tr>
      <w:tr>
        <w:trPr>
          <w:trHeight w:val="209"/>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2,826,871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1.19 - 2,460.0</w:t>
            </w: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156,250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940" w:type="dxa"/>
            <w:vAlign w:val="bottom"/>
          </w:tcPr>
          <w:p>
            <w:pPr>
              <w:jc w:val="right"/>
              <w:spacing w:after="0"/>
              <w:rPr>
                <w:sz w:val="20"/>
                <w:szCs w:val="20"/>
                <w:color w:val="auto"/>
              </w:rPr>
            </w:pPr>
            <w:r>
              <w:rPr>
                <w:rFonts w:ascii="Arial" w:cs="Arial" w:eastAsia="Arial" w:hAnsi="Arial"/>
                <w:sz w:val="18"/>
                <w:szCs w:val="18"/>
                <w:color w:val="auto"/>
              </w:rPr>
              <w:t>1,294,375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color w:val="auto"/>
                <w:w w:val="90"/>
              </w:rPr>
              <w:t>1.28 - 1.64</w:t>
            </w: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Exercised/Vested</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(389,061)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(56,880)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9"/>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as of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367,189</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4,062,699</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tcPr>
          <w:p>
            <w:pPr>
              <w:jc w:val="center"/>
              <w:ind w:right="90"/>
              <w:spacing w:after="0"/>
              <w:rPr>
                <w:sz w:val="20"/>
                <w:szCs w:val="20"/>
                <w:color w:val="auto"/>
              </w:rPr>
            </w:pPr>
            <w:r>
              <w:rPr>
                <w:rFonts w:ascii="Arial" w:cs="Arial" w:eastAsia="Arial" w:hAnsi="Arial"/>
                <w:sz w:val="18"/>
                <w:szCs w:val="18"/>
                <w:color w:val="auto"/>
                <w:w w:val="91"/>
              </w:rPr>
              <w:t>1.19 - 2,460.0</w:t>
            </w:r>
          </w:p>
        </w:tc>
      </w:tr>
      <w:tr>
        <w:trPr>
          <w:trHeight w:val="197"/>
        </w:trPr>
        <w:tc>
          <w:tcPr>
            <w:tcW w:w="3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as of March 31, 2022</w:t>
            </w:r>
          </w:p>
        </w:tc>
        <w:tc>
          <w:tcPr>
            <w:tcW w:w="8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1,829,142</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w:t>
            </w: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1"/>
              </w:rPr>
              <w:t>1.19 - 2,460.0</w:t>
            </w:r>
          </w:p>
        </w:tc>
      </w:tr>
      <w:tr>
        <w:trPr>
          <w:trHeight w:val="20"/>
        </w:trPr>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Total stock-based compensation for the three-month periods ended March 31, 2022 and 2021 is $1,543 and $1,005,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3).The following table presents the placement in the fair value hierarchy measured at fair value on a recurring basis as of March 31, 2022 and December 31, 2021:</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w w:val="97"/>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active markets</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Significant other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for identical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observable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assets (Level 1)</w:t>
            </w:r>
          </w:p>
        </w:tc>
        <w:tc>
          <w:tcPr>
            <w:tcW w:w="2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inputs (Level 2)</w:t>
            </w:r>
          </w:p>
        </w:tc>
        <w:tc>
          <w:tcPr>
            <w:tcW w:w="20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2022:</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Route1, Inc.</w:t>
            </w:r>
          </w:p>
        </w:tc>
        <w:tc>
          <w:tcPr>
            <w:tcW w:w="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36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8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As of December 31, 2021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Equity securities: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Route1</w:t>
            </w:r>
          </w:p>
        </w:tc>
        <w:tc>
          <w:tcPr>
            <w:tcW w:w="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securities</w:t>
            </w:r>
          </w:p>
        </w:tc>
        <w:tc>
          <w:tcPr>
            <w:tcW w:w="4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recurring fair value measurements</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Equity securities pertain to common shares in Route1, Inc. obtained in the 2018 sale of Group Mobile to Route 1, Inc. As of March 31, 2022 the Company owns 3,855,443 common shares of Route 1. For the three months ended March 31, 2022 and 2021, we recorded an unrealized (loss) gain of of $(273) and $99, respectively, in connection with the remeasurement of the common shares of Route 1,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In addition to the above, the Company’s financial instruments as of March 31, 2022 and December 31, 2021 consisted of cash and cash equivalents, receivables, accounts payable and debt. The carrying amounts of all the aforementioned financial instruments approximate fair value because of the short-term maturities of these instruments.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The income tax provision for the three-month period ended March 31, 2022 reflects a de minimis estimated global annual effective tax rate.</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March 31, 2022, deferred tax assets generated from the Company’s activities in the United States were offset by a valuation allowance because realization depends on generating future taxable income, which, in the Company’s estimation, is not more likely than not to be generated before such net operating loss carryforwards expire. Net operating losses generated for tax years beginning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had de minimis income tax expense for the three-month period ended March 31, 2022. This was attributable primarily to operating results in conjunction with a full valuation allowance. The final annual tax rate cannot be determined until the end of the fiscal year; therefore, the actual tax rate could differ from current estimates. The Company does not expect to record any additional material provisions for unrecognized tax benefits in the next year.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$845 both as of March 31, 2022 and December 31, 2021, which is included in </w:t>
      </w:r>
      <w:r>
        <w:rPr>
          <w:rFonts w:ascii="Arial" w:cs="Arial" w:eastAsia="Arial" w:hAnsi="Arial"/>
          <w:sz w:val="16"/>
          <w:szCs w:val="16"/>
          <w:i w:val="1"/>
          <w:iCs w:val="1"/>
          <w:color w:val="auto"/>
        </w:rPr>
        <w:t xml:space="preserve">Accounts payable, accrued expenses and other current liabilities </w:t>
      </w:r>
      <w:r>
        <w:rPr>
          <w:rFonts w:ascii="Arial" w:cs="Arial" w:eastAsia="Arial" w:hAnsi="Arial"/>
          <w:sz w:val="16"/>
          <w:szCs w:val="16"/>
          <w:color w:val="auto"/>
        </w:rPr>
        <w:t>in the condensed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59" w:hanging="10"/>
        <w:spacing w:after="0" w:line="271"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A revised motion for preliminary approval of the settlement was filed with the Court in February 2022 and this motion is pending.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OTG Management PHL B v. XpresSpa Philadelphia Terminal B et al.</w:t>
      </w:r>
    </w:p>
    <w:p>
      <w:pPr>
        <w:spacing w:after="0" w:line="225"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On May 9, 2022, a lawsuit was filed in the Philadelphia Court of Common Pleas by OTG Management at Philadelphia International Airport, claiming that XpresSpa improperly backed out of its sublease for space at Terminal B and now owes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between $864 and $2,250 in accelerated rent for the 12-year contract. They claim that by refusing to complete the project, failing to commence and maintain operations, refusing to pay rent and improperly purporting to terminate the lease (among other acts and omissions), XpresSpa breached the lease. The Company has not been formally served with this complaint.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Information</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a result of the Company’s transition to a pure-play health and wellness services company, the Company currently has four reportable operating segments: XpresSpa, XpresTest, Treat and HyperPointe segment which we acquired in January 2022. The Company analyzes the results of the Company’s business through the four reportable segments.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 HyperPointe, which we acquired in January 2022, currently operates as a new operating segment within the XpresSpa Group. HyperPointe provides a broad range of service and support options for our customers, including technical support services and advanced services.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three months ended March 31, 2021, Customers A, B, C, D and E comprised approximately 15%, 30%, 12%, 21% and 15%, respectively, of the Company’s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r>
      <w:tr>
        <w:trPr>
          <w:trHeight w:val="209"/>
        </w:trPr>
        <w:tc>
          <w:tcPr>
            <w:tcW w:w="6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2021</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2,643</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6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Operating loss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6,205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HyperPointe</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4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loss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197"/>
        </w:trPr>
        <w:tc>
          <w:tcPr>
            <w:tcW w:w="6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&amp; Amortization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4,608</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&amp;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8"/>
        </w:trPr>
        <w:tc>
          <w:tcPr>
            <w:tcW w:w="6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2021</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5,966</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r>
      <w:tr>
        <w:trPr>
          <w:trHeight w:val="20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HyperPointe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66,809</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103,690</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113,738</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119,820</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2021 filed on March 31, 2022, as subsequently amended on April 30, 2022 (the “2022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XpresSpa Group, Inc. is one of the leading global travel health and wellness services holding companies. XpresSpa Group currently has four reportable operating segments: XpresSpa, XpresTest, Treat and HyperPointe.</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XpresSpa Group’s subsidiary, XpresSpa Holdings, LLC (“XpresSpa”) has been a global airport retailer of spa services through its XpresSpa spa locations, offering travelers premium spa services, including massage, nail and skin care, as well as spa and travel products (“XpresSpa”).</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 March 2020, we temporarily closed all global XpresSpa locations due to the categorization by local jurisdictions of the spa locations as “non-essential services.” A significant number of our XpresSpa locations remain closed, although several have reopened as described under "Recent Developments -XpresSpa Premium Spa Services" below. We intend to assess the reopening of remaining XpresSpa®™ spa locations on a location-by-location basis.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Since the beginning of the temporary closure of our XpresSpa locations, we successfully launched our XpresCheck Wellness Centers through XpresSpa Group’s subsidiary XpresTest, we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MSAs with professional medical services companies or professional limited liability companies (“PLLC”) that provide health care services to patients. The PLLCs pay XpresTest a monthly fee to operate in the XpresCheck Wellness Centers. Under the terms of MSAs, we provide office space, equipment, supplies, non-licensed staff, and management services in return for a management fee. Effective July 1, 2021, we determined that the PLLCs are VIEs due to their equity holders having insufficient capital at risk, and the Company having a variable interest and a primary beneficiary in these PLLCs.</w:t>
      </w:r>
    </w:p>
    <w:p>
      <w:pPr>
        <w:spacing w:after="0" w:line="18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Furthermore, XpresSpa Group continues to develop Treat, a travel health and wellness brand that is positioned for a post-pandemic world. Treat’s on-site centers (currently located in JFK International Airport, Phoenix Sky Harbor International Airport and opening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hectic pace of the airport and renew themselves before or after their trip. The integration and expansion of services and products, both domestically and internationally, is part of our objective to grow airport business.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 The information on the Treat website is not incorporated by reference into this Quarterly Report on Form 10-Q and does not constitute a part of this Form 10-Q.</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HyperPointe segment, which we acquired in January 2022 provides a broad range of service and support options for our customers, including technical support services and advanced services.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we recognize four segments of business, our strategy for the future, is to create and leverage a fully integrated set of products and services that are both profitable and scalable across our portfolio of brands. Additionally, we will expand our retail strategy, not only adding more products for sale but aligning those products more efficiently to our service offerings. For example, adding fortified water and hydration packets to the delivery of an onsite hydration IV or adding muscle relaxation patches to a neck or back massage to continue treatment after the delivery of the service. The integration and expansion of services and products, both domestically and internationally, is part of our objective to grow airport business.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plan to build our capability for delivering health and wellness services outside the airport. We believe operating outside of the airport complements our offering and allows us to scale growth faster.</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management has used all currently available information in assessing our business prospects, the ultimate impact of the COVID-19 pandemic on our XpresCheck Wellness Centers and on our results of operations, financial condition and cash flows remains uncertain and could have a material effect on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XpresCheck’s business has management services agreements with state licensed physicians and nurse practitioners, under which we administer COVID-19 testing options, including a Polymerase Chain Reaction (PCR) test and a rapid PCR test. As of the date of this report, there are 15 operating XpresCheck locations in 12 airports, including the following locations opened since December 31, 2021:</w:t>
      </w:r>
    </w:p>
    <w:p>
      <w:pPr>
        <w:spacing w:after="0" w:line="187" w:lineRule="exact"/>
        <w:rPr>
          <w:sz w:val="20"/>
          <w:szCs w:val="20"/>
          <w:color w:val="auto"/>
        </w:rPr>
      </w:pPr>
    </w:p>
    <w:p>
      <w:pPr>
        <w:ind w:left="720" w:right="7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February 2022, a second XpresCheck opened at Denver International Airport, pre-security in the Great Hall. It contains six separate testing rooms to provide diagnostic COVID-19 testing.</w:t>
      </w:r>
    </w:p>
    <w:p>
      <w:pPr>
        <w:spacing w:after="0" w:line="170"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March 2022, we opened an XpresCheck in Orlando International Airport, pre-security, in the South Walk area of the Main Terminal. It contains five separate testing rooms to provide diagnostic COVID-19 testing.</w:t>
      </w:r>
    </w:p>
    <w:p>
      <w:pPr>
        <w:spacing w:after="0" w:line="14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2021, XpresCheck initiated a $2,001, eight-week pilot program with the Centers for Disease Control and Prevention (CDC) in collaboration with Concentric by Ginkgo. Under this program, XpresCheck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we announced the extension of the program, bringing the total contract to $5,534. Approximately $1,396 and $1,368 of the full $5,534 amount was recognized during the first quarter of</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2022 and the fourth quarter of 2021, respectively. The Company anticipates that the remaining $2,770 of the full $5,534 amount will be realized in the second and third quarters of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There are currently nineteen operating XpresSpa domestic locations (including two franchise location in Austin-Bergstrom International Airport) and we expect to re-open three additional domestic locations in 2022. A majority of the domestic XpresSpa locations are operating approximately eight hours per day during the busiest hours (compared to up to sixteen hours per day pre-pandemic) improving labor productivity. Additionally, XpresSpa implemented a price increase in mid-October 2021 in its efforts to return to profitability. And as airport volumes improve, we will continue to review our operating hours to optimize revenue opportunity.</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we began testing several new services to take advantage of a growing interest in non-traditional spa services and expansion of our retail offering to align more closely with the services we provide. We are evaluating the success of these new initiatives at each airport on an on-going basis and will incorporate changes to our approach as more of the portfolio is reactivated.</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There are also six international locations operating, including three XpresSpa locations in Dubai International Airport in the United Arab Emirates and three XpresSpa locations in Schiphol Amsterdam Airport in the Netherlands. We have also signed for five locations at Istanbul Airport and expect to open the first store this summer.</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thirty one months and began in March 2020. The Company received minimum guaranteed payment concession of approximately $321 in the three months ended March 31, 2022 and $472 in the three months ended March 31, 2021. We expect to realize additional rent concessions while some of of our spas remain closed.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Treat is our new travel, health and wellness brand transforming the way we access care through a suite of health and wellness services supported by an integrated digital platform and a relevant retail offering to the traveling public.</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Treat’s on-site centers (currently located in JFK International Airport and Phoenix Sky Harbor International Airport and opening later this year in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January 2022, we announced and closed on the acquisition of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XpresCheck business HyperPointe’s experience in this space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continues to serve the XpresCheck business and will play a critical role in the expansion of on-going biosurveillance efforts.</w:t>
      </w:r>
    </w:p>
    <w:p>
      <w:pPr>
        <w:spacing w:after="0" w:line="170"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HyperPointe currently operates as a new segement within Xpre,Spa Group. Ezra Ernst, who was the chief executive officer of HyperPointe before our acquisition, continues to serve as the chief executive officer of HyperPointe, as well as the chief executive officer of XpresCheck, reporting to Scott Milford, XpresSpa Group CEO.</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but it is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 reconciliation of operating income (loss) from operations presented in accordance with GAAP for the three-month periods ended March 31, 2022 and 2021 to Adjusted EBITDA (loss) is presented in the table below.</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Q1 2022 Results of Operations and Adjusted EBITDA (loss)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8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4"/>
                <w:szCs w:val="24"/>
                <w:color w:val="auto"/>
              </w:rPr>
            </w:pPr>
          </w:p>
        </w:tc>
        <w:tc>
          <w:tcPr>
            <w:tcW w:w="30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Managed services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Patient service revenue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19,389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24,048</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Labor</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and other operating costs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15,047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Impairment/disposal of assets</w:t>
            </w:r>
          </w:p>
        </w:tc>
        <w:tc>
          <w:tcPr>
            <w:tcW w:w="2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26,499</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(expense)/income, net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(1,521)</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(2,451)</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 back:</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Impairment/disposal of assets</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 A significant number of our spa locations remain closed and therefore generate little revenue.</w:t>
      </w:r>
    </w:p>
    <w:p>
      <w:pPr>
        <w:spacing w:after="0" w:line="16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have entered into managed services agreements with professional medical services companies that provide healthcare services to patients in our XpresCheck Wellness Centers. The medical services companies will pay XpresTest a monthly management fee to operate in the XpresCheck Wellness Centers. As a result of uncertainties around the cash flows of the XpresCheck Wellness Centers during 2020, the Company concluded that the collectability criteria to qualify as a contract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under ASC 606 was not met, and no revenue associated with the monthly management fee was recognized for the year ending December 31, 2020 from the managed services agreements. Based on the reassessment performed for the three months ending March 31, 2021, the Company recognized $8,178 of revenue, including revenue of $3,186 related to 2020, for new and existing managed services agreements which met the collectability criteria.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segment include costs related to the XpresCheck business, and consists of expenses directly attributable to the clinic operations under the terms of the MSAs, primarily payroll and related benefit costs for personnel, occupancy costs and cost of supplies used to administer the diagnostic COVID-19 tests.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Three-month period ended March 31, 2022 compared to the three-month period ended March 31, 2021</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24,048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15,536</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increase in revenue of $15,536 or 183%, was primarily due to patient service revenue triggered by the rapid growth of the XpresTest segment with the addition of more locations after Q1 2021 and consolidations of PLLCs as VIEs in the first quarter of 2022, resulting in the assumption of their revenue as our revenue/ The Company saw an increase in revenue associated with the XpresSpa locations that opened during the second half of 2021.</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ind w:left="2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15,047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10,888</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increase in cost of sales of $10,888 or 262%, was due to the increase in revenues resulting in increased costs to operate the increased XpresCheck locations; inclusive of PLLCs costs due to consolidating them in the first quarter of 2022, and the reopening of certain XpresSpa locations that were temporarily closed during Q1 2021. We had 22 open Spa locations as of March 31, 2022, and 2 open Spa locations as of March 31, 2021.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in depreciation and amortization of approximately 70% was primarily due to depreciation and amortization related to the recently opened XpresCheck and Treat Wellness Centers.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10,188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of approximately 126% was primarily due to functional costs associated with the operations of XpresCheck and Treat wellness centers, XpresSpa locations, and the newly acquired HyperPointe segment .</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income,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8"/>
          </w:tcPr>
          <w:p>
            <w:pPr>
              <w:ind w:left="80"/>
              <w:spacing w:after="0"/>
              <w:rPr>
                <w:sz w:val="20"/>
                <w:szCs w:val="20"/>
                <w:color w:val="auto"/>
              </w:rPr>
            </w:pPr>
            <w:r>
              <w:rPr>
                <w:rFonts w:ascii="Arial" w:cs="Arial" w:eastAsia="Arial" w:hAnsi="Arial"/>
                <w:sz w:val="18"/>
                <w:szCs w:val="18"/>
                <w:b w:val="1"/>
                <w:bCs w:val="1"/>
                <w:color w:val="auto"/>
              </w:rPr>
              <w:t>Three months ended March 31,</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(expense) income, net for the three months ended March 31, 2022 and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20" w:type="dxa"/>
            <w:vAlign w:val="bottom"/>
            <w:gridSpan w:val="10"/>
          </w:tcPr>
          <w:p>
            <w:pPr>
              <w:jc w:val="center"/>
              <w:ind w:right="60"/>
              <w:spacing w:after="0"/>
              <w:rPr>
                <w:sz w:val="20"/>
                <w:szCs w:val="20"/>
                <w:color w:val="auto"/>
              </w:rPr>
            </w:pPr>
            <w:r>
              <w:rPr>
                <w:rFonts w:ascii="Arial" w:cs="Arial" w:eastAsia="Arial" w:hAnsi="Arial"/>
                <w:sz w:val="18"/>
                <w:szCs w:val="18"/>
                <w:b w:val="1"/>
                <w:bCs w:val="1"/>
                <w:color w:val="auto"/>
                <w:w w:val="91"/>
              </w:rPr>
              <w:t>Three months ended March 31,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33"/>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equity investments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(318)</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2940" w:type="dxa"/>
            <w:vAlign w:val="bottom"/>
            <w:gridSpan w:val="11"/>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decreased as a result of a significantly lower interest income related to lower cash balance.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March 31, 2022, we had cash and cash equivalents, excluding restricted cash, of $82,990, total current assets of $88,463, total current liabilities of $18,648, and positive working capital of $69,815, compared to a positive working capital of $89,152 as of December 31, 2021.</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we have addressed our working capital deficiency and long-term debt, and continue to focus on our overall operating profitability, we expect to incur net losses in the foreseeable future. In addition, the ultimate duration and severity of the ongoing COVID-19 pandemic are uncertain at this time, and may result in additional material adverse impacts on our liquidity position and access to capital.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2021,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5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of March 31, 2022, we carried out an evaluation, under the supervision and with the participation of our management, including our Chief Executive Officer and Chief Financial Officer, of the effectiveness of the design and operation of our disclosure controls and procedures. Our evaluation as of December 31, 2019 identified a material weaknesses in our internal control over financial reporting, which remained unmitigated as of March 31, 2022, as noted below in Report of Management on Internal Control over Financial Reporting. Based on our evaluation, our chief executive officer and chief financial officer concluded that the Company’s disclosure controls and procedures were not effective as of March 31, 2022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Notwithstanding this conclusion, management believes that the condensed consolidated financial statements in this Quarterly Report on Form 10-Q fairly present in all material respects our financial condition, results of operations and cash flows in conformity with GAAP.</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187" w:lineRule="exact"/>
        <w:rPr>
          <w:sz w:val="20"/>
          <w:szCs w:val="20"/>
          <w:color w:val="auto"/>
        </w:rPr>
      </w:pPr>
    </w:p>
    <w:p>
      <w:pPr>
        <w:ind w:left="720" w:right="79" w:hanging="319"/>
        <w:spacing w:after="0" w:line="258"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strengthen our interim and annual financial review controls to function with a sufficient level of precision to detect and correct errors on a timely basis;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continue to improve the timeliness of our closing processes with respect to interim and annual periods.</w:t>
      </w:r>
    </w:p>
    <w:p>
      <w:pPr>
        <w:spacing w:after="0" w:line="22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 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will test and evaluate the implementation of these modifications during 2022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ascertain whether they are designed and operating effectively to provide reasonable assurance that they will prevent or detect a material misstatement in the Company’s financial statements.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steps we took to address the deficiencies identified included:</w:t>
      </w:r>
    </w:p>
    <w:p>
      <w:pPr>
        <w:spacing w:after="0" w:line="225"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hired a permanent Chief Financial Officer in December 2020;</w:t>
      </w:r>
    </w:p>
    <w:p>
      <w:pPr>
        <w:spacing w:after="0" w:line="23"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in efforts to restructure accounting processes and revise organizational structures to enhance accurate accounting and appropriate financial reporting;</w:t>
      </w: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engaged outside service providers to assist with the valuation and recording of key reporting areas such as leases and stock compensation expense;</w:t>
      </w: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20"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contracted an independent consulting firm to assist with the preparation of the Financial Statements and U.S. GAAP accounting research;</w:t>
      </w:r>
    </w:p>
    <w:p>
      <w:pPr>
        <w:ind w:left="720" w:right="79" w:hanging="319"/>
        <w:spacing w:after="0" w:line="26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2021, we hired a seasoned Certified Public Accountant as a permanent Corporate Controller, who also has a Certified Information Systems Auditor accreditation.</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noted above, we believe that, as a result of management’s in-depth review of its accounting processes, and the additional procedures management has implemented, there are no material inaccuracies or omissions of material fact in this Form 10-Q and, to the best of our knowledge, we believe that the condensed consolidated financial statements in this Form 10-Q fairly present in all material respects our financial condition, results of operations and cash flows in conformity with GAAP.</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March 31, 2022, due to a material weakness in our internal control over our financial close and reporting process, which was discovered in 2019 still remaining unmitigated. Management continues to conclude that as of March 31, 2022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extensively used outside consultants who possessed the appropriate levels of accounting and controls knowledge to appropriately analyze, record, and disclose accounting matters completely and accurately.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 xml:space="preserve">For information regarding legal proceedings,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Financial Statements.”</w:t>
      </w:r>
    </w:p>
    <w:p>
      <w:pPr>
        <w:spacing w:after="0" w:line="16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8060" w:type="dxa"/>
            <w:vAlign w:val="bottom"/>
            <w:gridSpan w:val="18"/>
          </w:tcPr>
          <w:p>
            <w:pPr>
              <w:ind w:left="10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18"/>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2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40" w:type="dxa"/>
            <w:vAlign w:val="bottom"/>
            <w:gridSpan w:val="12"/>
          </w:tcPr>
          <w:p>
            <w:pPr>
              <w:ind w:left="18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686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Stock Option Agreement between XpresSpa Group, Inc. and Ezra Ernst dated January 14, 2022</w:t>
              </w:r>
            </w:hyperlink>
          </w:p>
        </w:tc>
        <w:tc>
          <w:tcPr>
            <w:tcW w:w="780" w:type="dxa"/>
            <w:vAlign w:val="bottom"/>
            <w:tcBorders>
              <w:top w:val="single" w:sz="8" w:color="auto"/>
            </w:tcBorders>
            <w:gridSpan w:val="9"/>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(incorporated by reference from Exhibit 10.1 to our Registration Statement on Form S-8 filed on March</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gridSpan w:val="4"/>
          </w:tcPr>
          <w:p>
            <w:pPr>
              <w:ind w:left="400"/>
              <w:spacing w:after="0" w:line="196" w:lineRule="exact"/>
              <w:rPr>
                <w:rFonts w:ascii="Arial" w:cs="Arial" w:eastAsia="Arial" w:hAnsi="Arial"/>
                <w:sz w:val="18"/>
                <w:szCs w:val="18"/>
                <w:color w:val="0000EE"/>
                <w:w w:val="86"/>
              </w:rPr>
            </w:pPr>
            <w:hyperlink r:id="rId45">
              <w:r>
                <w:rPr>
                  <w:rFonts w:ascii="Arial" w:cs="Arial" w:eastAsia="Arial" w:hAnsi="Arial"/>
                  <w:sz w:val="18"/>
                  <w:szCs w:val="18"/>
                  <w:color w:val="0000EE"/>
                  <w:w w:val="86"/>
                </w:rPr>
                <w:t>31, 2022)</w:t>
              </w:r>
            </w:hyperlink>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8"/>
                <w:szCs w:val="18"/>
                <w:color w:val="0000EE"/>
                <w:w w:val="96"/>
              </w:rPr>
            </w:pPr>
            <w:hyperlink r:id="rId46">
              <w:r>
                <w:rPr>
                  <w:rFonts w:ascii="Arial" w:cs="Arial" w:eastAsia="Arial" w:hAnsi="Arial"/>
                  <w:sz w:val="18"/>
                  <w:szCs w:val="18"/>
                  <w:color w:val="0000EE"/>
                  <w:w w:val="96"/>
                </w:rPr>
                <w:t>Executive Employment Agreement dated March 28, 2022, between the Company and Scott Milford.</w:t>
              </w:r>
            </w:hyperlink>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w w:val="93"/>
              </w:rPr>
            </w:pPr>
            <w:hyperlink r:id="rId46">
              <w:r>
                <w:rPr>
                  <w:rFonts w:ascii="Arial" w:cs="Arial" w:eastAsia="Arial" w:hAnsi="Arial"/>
                  <w:sz w:val="18"/>
                  <w:szCs w:val="18"/>
                  <w:color w:val="0000EE"/>
                  <w:w w:val="93"/>
                </w:rPr>
                <w:t>(incorporated by reference from Exhibit 10.48 to our Annual Report on Form 10-K filed with the SEC on</w:t>
              </w:r>
            </w:hyperlink>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March 31, 2022)</w:t>
              </w:r>
            </w:hyperlink>
          </w:p>
        </w:tc>
        <w:tc>
          <w:tcPr>
            <w:tcW w:w="80" w:type="dxa"/>
            <w:vAlign w:val="bottom"/>
            <w:gridSpan w:val="2"/>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840" w:type="dxa"/>
            <w:vAlign w:val="bottom"/>
            <w:gridSpan w:val="2"/>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of Principal Executive Officer pursuant to Exchange Act, Rules 13a – 14(a) and 15d – 14(a),</w:t>
              </w:r>
            </w:hyperlink>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as adopted pursuant to Section 302 of the Sarbanes-Oxley Act of 2002</w:t>
              </w:r>
            </w:hyperlink>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Certification of Principal Financial Officer pursuant to Exchange Act, Rules 13a – 14(a) and 15d – 14(a),</w:t>
              </w:r>
            </w:hyperlink>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as adopted pursuant to Section 302 of the Sarbanes-Oxley Act of 2002</w:t>
              </w:r>
            </w:hyperlink>
          </w:p>
        </w:tc>
        <w:tc>
          <w:tcPr>
            <w:tcW w:w="100" w:type="dxa"/>
            <w:vAlign w:val="bottom"/>
            <w:gridSpan w:val="3"/>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Certifications of Principal Executive Officer and Principal Financial Officer Pursuant to 18 U.S.C.</w:t>
              </w:r>
            </w:hyperlink>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Section 1350, as adopted pursuant to Section 906 of the Sarbanes-Oxley Act of 2002</w:t>
              </w:r>
            </w:hyperlink>
          </w:p>
        </w:tc>
        <w:tc>
          <w:tcPr>
            <w:tcW w:w="580" w:type="dxa"/>
            <w:vAlign w:val="bottom"/>
            <w:gridSpan w:val="8"/>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80" w:type="dxa"/>
            <w:vAlign w:val="bottom"/>
            <w:tcBorders>
              <w:bottom w:val="single" w:sz="8" w:color="0000EE"/>
            </w:tcBorders>
            <w:gridSpan w:val="10"/>
          </w:tcPr>
          <w:p>
            <w:pPr>
              <w:spacing w:after="0"/>
              <w:rPr>
                <w:rFonts w:ascii="Arial" w:cs="Arial" w:eastAsia="Arial" w:hAnsi="Arial"/>
                <w:sz w:val="18"/>
                <w:szCs w:val="18"/>
                <w:color w:val="0000EE"/>
                <w:w w:val="88"/>
              </w:rPr>
            </w:pPr>
            <w:hyperlink r:id="rId47">
              <w:r>
                <w:rPr>
                  <w:rFonts w:ascii="Arial" w:cs="Arial" w:eastAsia="Arial" w:hAnsi="Arial"/>
                  <w:sz w:val="18"/>
                  <w:szCs w:val="18"/>
                  <w:color w:val="0000EE"/>
                  <w:w w:val="88"/>
                </w:rPr>
                <w:t>Separation Agreement and Release, dated as of January 21, 2022, between XpresSpa Group, Inc. and</w:t>
              </w:r>
            </w:hyperlink>
          </w:p>
        </w:tc>
        <w:tc>
          <w:tcPr>
            <w:tcW w:w="38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60" w:type="dxa"/>
            <w:vAlign w:val="bottom"/>
            <w:gridSpan w:val="16"/>
          </w:tcPr>
          <w:p>
            <w:pPr>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Douglas Satzman (incorporated by reference from Exhibit 99.1 to our Current Report on Form 8-K filed</w:t>
              </w:r>
            </w:hyperlink>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on January 26, 2022)</w:t>
              </w:r>
            </w:hyperlink>
          </w:p>
        </w:tc>
        <w:tc>
          <w:tcPr>
            <w:tcW w:w="5980" w:type="dxa"/>
            <w:vAlign w:val="bottom"/>
            <w:tcBorders>
              <w:top w:val="single" w:sz="8" w:color="0000EE"/>
            </w:tcBorders>
            <w:gridSpan w:val="8"/>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5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101.CAL*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101.DEF*</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101.LAB*</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101.PRE*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(embedded within the Inline XBRL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97790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20" w:space="480"/>
            <w:col w:w="7719"/>
          </w:cols>
          <w:pgMar w:left="1440" w:top="517" w:right="1440" w:bottom="1440" w:gutter="0" w:footer="0" w:header="0"/>
          <w:type w:val="continuous"/>
        </w:sectPr>
      </w:pPr>
    </w:p>
    <w:p>
      <w:pPr>
        <w:spacing w:after="0" w:line="35" w:lineRule="exact"/>
        <w:rPr>
          <w:sz w:val="20"/>
          <w:szCs w:val="20"/>
          <w:color w:val="auto"/>
        </w:rPr>
      </w:pPr>
    </w:p>
    <w:p>
      <w:pPr>
        <w:ind w:left="1100" w:hanging="1044"/>
        <w:spacing w:after="0"/>
        <w:tabs>
          <w:tab w:leader="none" w:pos="11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7" w:lineRule="exact"/>
        <w:rPr>
          <w:sz w:val="20"/>
          <w:szCs w:val="20"/>
          <w:color w:val="auto"/>
        </w:rPr>
      </w:pPr>
    </w:p>
    <w:p>
      <w:pPr>
        <w:ind w:left="1100" w:hanging="1044"/>
        <w:spacing w:after="0"/>
        <w:tabs>
          <w:tab w:leader="none" w:pos="11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9" w:lineRule="exact"/>
        <w:rPr>
          <w:sz w:val="20"/>
          <w:szCs w:val="20"/>
          <w:color w:val="auto"/>
        </w:rPr>
      </w:pPr>
    </w:p>
    <w:p>
      <w:pPr>
        <w:ind w:left="1100" w:hanging="1044"/>
        <w:spacing w:after="0"/>
        <w:tabs>
          <w:tab w:leader="none" w:pos="11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 contract or compensatory plan or arrangement.</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79" w:lineRule="exact"/>
        <w:rPr>
          <w:rFonts w:ascii="Arial" w:cs="Arial" w:eastAsia="Arial" w:hAnsi="Arial"/>
          <w:sz w:val="16"/>
          <w:szCs w:val="16"/>
          <w:b w:val="1"/>
          <w:bCs w:val="1"/>
          <w:color w:val="auto"/>
        </w:rPr>
      </w:pPr>
    </w:p>
    <w:p>
      <w:pPr>
        <w:ind w:left="4420"/>
        <w:spacing w:after="0"/>
        <w:rPr>
          <w:rFonts w:ascii="Arial" w:cs="Arial" w:eastAsia="Arial" w:hAnsi="Arial"/>
          <w:sz w:val="16"/>
          <w:szCs w:val="16"/>
          <w:b w:val="1"/>
          <w:bCs w:val="1"/>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4420" w:type="dxa"/>
            <w:vAlign w:val="bottom"/>
            <w:gridSpan w:val="2"/>
          </w:tcPr>
          <w:p>
            <w:pPr>
              <w:spacing w:after="0"/>
              <w:rPr>
                <w:sz w:val="20"/>
                <w:szCs w:val="20"/>
                <w:color w:val="auto"/>
              </w:rPr>
            </w:pPr>
            <w:r>
              <w:rPr>
                <w:rFonts w:ascii="Arial" w:cs="Arial" w:eastAsia="Arial" w:hAnsi="Arial"/>
                <w:sz w:val="18"/>
                <w:szCs w:val="18"/>
                <w:color w:val="auto"/>
              </w:rPr>
              <w:t>Date: May 16, 2022</w:t>
            </w:r>
          </w:p>
        </w:tc>
        <w:tc>
          <w:tcPr>
            <w:tcW w:w="460" w:type="dxa"/>
            <w:vAlign w:val="bottom"/>
          </w:tcPr>
          <w:p>
            <w:pPr>
              <w:ind w:left="180"/>
              <w:spacing w:after="0"/>
              <w:rPr>
                <w:sz w:val="20"/>
                <w:szCs w:val="20"/>
                <w:color w:val="auto"/>
              </w:rPr>
            </w:pPr>
            <w:r>
              <w:rPr>
                <w:rFonts w:ascii="Arial" w:cs="Arial" w:eastAsia="Arial" w:hAnsi="Arial"/>
                <w:sz w:val="18"/>
                <w:szCs w:val="18"/>
                <w:color w:val="auto"/>
                <w:w w:val="99"/>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5"/>
              </w:rPr>
              <w:t>/s/ Scott R Milford</w:t>
            </w:r>
          </w:p>
        </w:tc>
      </w:tr>
      <w:tr>
        <w:trPr>
          <w:trHeight w:val="191"/>
        </w:trPr>
        <w:tc>
          <w:tcPr>
            <w:tcW w:w="420" w:type="dxa"/>
            <w:vAlign w:val="bottom"/>
          </w:tcPr>
          <w:p>
            <w:pPr>
              <w:spacing w:after="0"/>
              <w:rPr>
                <w:sz w:val="16"/>
                <w:szCs w:val="16"/>
                <w:color w:val="auto"/>
              </w:rPr>
            </w:pPr>
          </w:p>
        </w:tc>
        <w:tc>
          <w:tcPr>
            <w:tcW w:w="400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Scott R. Milford</w:t>
            </w:r>
          </w:p>
        </w:tc>
      </w:tr>
      <w:tr>
        <w:trPr>
          <w:trHeight w:val="216"/>
        </w:trPr>
        <w:tc>
          <w:tcPr>
            <w:tcW w:w="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420" w:type="dxa"/>
            <w:vAlign w:val="bottom"/>
            <w:gridSpan w:val="2"/>
          </w:tcPr>
          <w:p>
            <w:pPr>
              <w:spacing w:after="0"/>
              <w:rPr>
                <w:sz w:val="20"/>
                <w:szCs w:val="20"/>
                <w:color w:val="auto"/>
              </w:rPr>
            </w:pPr>
            <w:r>
              <w:rPr>
                <w:rFonts w:ascii="Arial" w:cs="Arial" w:eastAsia="Arial" w:hAnsi="Arial"/>
                <w:sz w:val="18"/>
                <w:szCs w:val="18"/>
                <w:color w:val="auto"/>
              </w:rPr>
              <w:t>Date: May 16, 2022</w:t>
            </w:r>
          </w:p>
        </w:tc>
        <w:tc>
          <w:tcPr>
            <w:tcW w:w="460" w:type="dxa"/>
            <w:vAlign w:val="bottom"/>
          </w:tcPr>
          <w:p>
            <w:pPr>
              <w:ind w:left="180"/>
              <w:spacing w:after="0"/>
              <w:rPr>
                <w:sz w:val="20"/>
                <w:szCs w:val="20"/>
                <w:color w:val="auto"/>
              </w:rPr>
            </w:pPr>
            <w:r>
              <w:rPr>
                <w:rFonts w:ascii="Arial" w:cs="Arial" w:eastAsia="Arial" w:hAnsi="Arial"/>
                <w:sz w:val="18"/>
                <w:szCs w:val="18"/>
                <w:color w:val="auto"/>
                <w:w w:val="99"/>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0"/>
              </w:rPr>
              <w:t>/s/ James A Berry</w:t>
            </w:r>
          </w:p>
        </w:tc>
      </w:tr>
      <w:tr>
        <w:trPr>
          <w:trHeight w:val="211"/>
        </w:trPr>
        <w:tc>
          <w:tcPr>
            <w:tcW w:w="420" w:type="dxa"/>
            <w:vAlign w:val="bottom"/>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James A. Berry</w:t>
            </w:r>
          </w:p>
        </w:tc>
      </w:tr>
    </w:tbl>
    <w:p>
      <w:pPr>
        <w:jc w:val="center"/>
        <w:ind w:left="4880"/>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ind w:left="48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2022</w:t>
      </w:r>
    </w:p>
    <w:p>
      <w:pPr>
        <w:spacing w:after="0" w:line="239" w:lineRule="exact"/>
        <w:rPr>
          <w:sz w:val="20"/>
          <w:szCs w:val="20"/>
          <w:color w:val="auto"/>
        </w:rPr>
      </w:pPr>
    </w:p>
    <w:p>
      <w:pPr>
        <w:ind w:left="4000"/>
        <w:spacing w:after="0"/>
        <w:tabs>
          <w:tab w:leader="none" w:pos="4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Berry,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16, 2022</w:t>
      </w:r>
    </w:p>
    <w:p>
      <w:pPr>
        <w:spacing w:after="0" w:line="239" w:lineRule="exact"/>
        <w:rPr>
          <w:sz w:val="20"/>
          <w:szCs w:val="20"/>
          <w:color w:val="auto"/>
        </w:rPr>
      </w:pPr>
    </w:p>
    <w:p>
      <w:pPr>
        <w:ind w:left="4060"/>
        <w:spacing w:after="0"/>
        <w:tabs>
          <w:tab w:leader="none" w:pos="4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14605</wp:posOffset>
            </wp:positionV>
            <wp:extent cx="2099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Financial and Accounting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1317625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March 31,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16, 2022</w:t>
      </w:r>
    </w:p>
    <w:p>
      <w:pPr>
        <w:spacing w:after="0" w:line="200" w:lineRule="exact"/>
        <w:rPr>
          <w:sz w:val="20"/>
          <w:szCs w:val="20"/>
          <w:color w:val="auto"/>
        </w:rPr>
      </w:pPr>
    </w:p>
    <w:p>
      <w:pPr>
        <w:spacing w:after="0" w:line="241"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Scott R. Milford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80"/>
        <w:spacing w:after="0"/>
        <w:tabs>
          <w:tab w:leader="none" w:pos="4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James A. Berry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5" Type="http://schemas.openxmlformats.org/officeDocument/2006/relationships/hyperlink" Target="https://www.sec.gov/Archives/edgar/data/0001410428/000110465922041088/tm2210786d1_ex10-1.htm" TargetMode="External"/><Relationship Id="rId46" Type="http://schemas.openxmlformats.org/officeDocument/2006/relationships/hyperlink" Target="https://www.sec.gov/Archives/edgar/data/1410428/000155837022004897/xspa-20211231xex10d48.htm" TargetMode="External"/><Relationship Id="rId47" Type="http://schemas.openxmlformats.org/officeDocument/2006/relationships/hyperlink" Target="https://www.sec.gov/Archives/edgar/data/1410428/000110465922007853/tm22457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2022-05-16T15:52:08Z</dcterms:created>
  <dcterms:modified xsi:type="dcterms:W3CDTF">2022-05-16T15:52:08Z</dcterms:modified>
</cp:coreProperties>
</file>