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333-205303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$50,000,000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4"/>
          <w:szCs w:val="24"/>
          <w:color w:val="auto"/>
        </w:rPr>
      </w:pPr>
    </w:p>
    <w:p>
      <w:pPr>
        <w:jc w:val="both"/>
        <w:ind w:firstLine="661"/>
        <w:spacing w:after="0" w:line="257"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$50,000,000 of any combination of the securities described in this prospectus,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rights or performance of purchase contracts; or any combination of these securities upon the performance of purchase contracts.</w:t>
      </w:r>
    </w:p>
    <w:p>
      <w:pPr>
        <w:spacing w:after="0" w:line="188" w:lineRule="exact"/>
        <w:rPr>
          <w:sz w:val="24"/>
          <w:szCs w:val="24"/>
          <w:color w:val="auto"/>
        </w:rPr>
      </w:pPr>
    </w:p>
    <w:p>
      <w:pPr>
        <w:jc w:val="both"/>
        <w:ind w:firstLine="661"/>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4"/>
          <w:szCs w:val="24"/>
          <w:color w:val="auto"/>
        </w:rPr>
      </w:pPr>
    </w:p>
    <w:p>
      <w:pPr>
        <w:jc w:val="both"/>
        <w:ind w:firstLine="661"/>
        <w:spacing w:after="0" w:line="297" w:lineRule="auto"/>
        <w:rPr>
          <w:sz w:val="20"/>
          <w:szCs w:val="20"/>
          <w:color w:val="auto"/>
        </w:rPr>
      </w:pPr>
      <w:r>
        <w:rPr>
          <w:rFonts w:ascii="Arial" w:cs="Arial" w:eastAsia="Arial" w:hAnsi="Arial"/>
          <w:sz w:val="16"/>
          <w:szCs w:val="16"/>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58" w:lineRule="exact"/>
        <w:rPr>
          <w:sz w:val="24"/>
          <w:szCs w:val="24"/>
          <w:color w:val="auto"/>
        </w:rPr>
      </w:pPr>
    </w:p>
    <w:p>
      <w:pPr>
        <w:jc w:val="both"/>
        <w:ind w:firstLine="661"/>
        <w:spacing w:after="0" w:line="279" w:lineRule="auto"/>
        <w:rPr>
          <w:sz w:val="20"/>
          <w:szCs w:val="20"/>
          <w:color w:val="auto"/>
        </w:rPr>
      </w:pPr>
      <w:r>
        <w:rPr>
          <w:rFonts w:ascii="Arial" w:cs="Arial" w:eastAsia="Arial" w:hAnsi="Arial"/>
          <w:sz w:val="17"/>
          <w:szCs w:val="17"/>
          <w:color w:val="auto"/>
        </w:rPr>
        <w:t>Our common stock is listed on the NASDAQ Capital Market under the symbol “VRNG.” On July 23, 2015, the last reported sale price of our common stock was $0.46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67" w:lineRule="exact"/>
        <w:rPr>
          <w:sz w:val="24"/>
          <w:szCs w:val="24"/>
          <w:color w:val="auto"/>
        </w:rPr>
      </w:pPr>
    </w:p>
    <w:p>
      <w:pPr>
        <w:jc w:val="both"/>
        <w:ind w:firstLine="661"/>
        <w:spacing w:after="0" w:line="261" w:lineRule="auto"/>
        <w:rPr>
          <w:sz w:val="20"/>
          <w:szCs w:val="20"/>
          <w:color w:val="auto"/>
        </w:rPr>
      </w:pPr>
      <w:r>
        <w:rPr>
          <w:rFonts w:ascii="Arial" w:cs="Arial" w:eastAsia="Arial" w:hAnsi="Arial"/>
          <w:sz w:val="18"/>
          <w:szCs w:val="18"/>
          <w:b w:val="1"/>
          <w:bCs w:val="1"/>
          <w:color w:val="auto"/>
        </w:rPr>
        <w:t>Investing in our securities involves a high degree of risk. Before deciding whether to invest in our securities, you should consider carefully the risks that we have described on page 10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180" w:lineRule="exact"/>
        <w:rPr>
          <w:sz w:val="24"/>
          <w:szCs w:val="24"/>
          <w:color w:val="auto"/>
        </w:rPr>
      </w:pPr>
    </w:p>
    <w:p>
      <w:pPr>
        <w:ind w:right="320" w:firstLine="667"/>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July 23,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80" w:type="dxa"/>
            <w:vAlign w:val="bottom"/>
            <w:gridSpan w:val="4"/>
          </w:tcPr>
          <w:p>
            <w:pPr>
              <w:ind w:left="38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SPECIAL NOTE REGARDING FORWARD-LOOKING STATEMENTS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RATIO OF EARNINGS TO FIXED CHARGES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PLAN OF DISTRIBUTION</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DESCRIPTION OF CAPITAL STOCK</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DESCRIPTION OF DEBT SECURITIES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DESCRIPTION OF WARRANTS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RIGHTS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DESCRIPTION OF PURCHASE CONTRACTS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DESCRIPTION OF UNITS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LEGAL MATTERS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EXPERTS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WHERE YOU CAN FIND MORE INFORMATION</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INCORPORATION OF INFORMATION BY REFERENCE</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61"/>
        <w:spacing w:after="0" w:line="276"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shelf registration process, we may offer shares of our common stock and preferred stock, various series of debt securities and/or warrants, rights or purchase contracts to purchase any of such securities, either individually or in units, in one or more offerings, with a total value of up to $50,000,000.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73" w:lineRule="exact"/>
        <w:rPr>
          <w:sz w:val="20"/>
          <w:szCs w:val="20"/>
          <w:color w:val="auto"/>
        </w:rPr>
      </w:pPr>
    </w:p>
    <w:p>
      <w:pPr>
        <w:jc w:val="both"/>
        <w:ind w:firstLine="661"/>
        <w:spacing w:after="0" w:line="272" w:lineRule="auto"/>
        <w:rPr>
          <w:sz w:val="20"/>
          <w:szCs w:val="20"/>
          <w:color w:val="auto"/>
        </w:rPr>
      </w:pPr>
      <w:r>
        <w:rPr>
          <w:rFonts w:ascii="Arial" w:cs="Arial" w:eastAsia="Arial" w:hAnsi="Arial"/>
          <w:sz w:val="17"/>
          <w:szCs w:val="17"/>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78" w:lineRule="exact"/>
        <w:rPr>
          <w:sz w:val="20"/>
          <w:szCs w:val="20"/>
          <w:color w:val="auto"/>
        </w:rPr>
      </w:pPr>
    </w:p>
    <w:p>
      <w:pPr>
        <w:jc w:val="both"/>
        <w:ind w:firstLine="661"/>
        <w:spacing w:after="0" w:line="272" w:lineRule="auto"/>
        <w:rPr>
          <w:sz w:val="20"/>
          <w:szCs w:val="20"/>
          <w:color w:val="auto"/>
        </w:rPr>
      </w:pPr>
      <w:r>
        <w:rPr>
          <w:rFonts w:ascii="Arial" w:cs="Arial" w:eastAsia="Arial" w:hAnsi="Arial"/>
          <w:sz w:val="17"/>
          <w:szCs w:val="17"/>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78" w:lineRule="exact"/>
        <w:rPr>
          <w:sz w:val="20"/>
          <w:szCs w:val="20"/>
          <w:color w:val="auto"/>
        </w:rPr>
      </w:pPr>
    </w:p>
    <w:p>
      <w:pPr>
        <w:jc w:val="both"/>
        <w:ind w:firstLine="661"/>
        <w:spacing w:after="0" w:line="276"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3"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Unless the context otherwise requires, “Vringo,” “the Company,” “we,” “us,” “our” and similar terms refer to Vringo, Inc. and its subsidiaries.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5355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5355590"/>
                    </a:xfrm>
                    <a:prstGeom prst="rect">
                      <a:avLst/>
                    </a:prstGeom>
                    <a:noFill/>
                  </pic:spPr>
                </pic:pic>
              </a:graphicData>
            </a:graphic>
          </wp:anchor>
        </w:drawing>
        <w:t>PROSPECTUS SUMMARY</w:t>
      </w:r>
    </w:p>
    <w:p>
      <w:pPr>
        <w:spacing w:after="0" w:line="229" w:lineRule="exact"/>
        <w:rPr>
          <w:sz w:val="20"/>
          <w:szCs w:val="20"/>
          <w:color w:val="auto"/>
        </w:rPr>
      </w:pPr>
    </w:p>
    <w:p>
      <w:pPr>
        <w:jc w:val="both"/>
        <w:ind w:firstLine="661"/>
        <w:spacing w:after="0" w:line="272" w:lineRule="auto"/>
        <w:rPr>
          <w:sz w:val="20"/>
          <w:szCs w:val="20"/>
          <w:color w:val="auto"/>
        </w:rPr>
      </w:pPr>
      <w:r>
        <w:rPr>
          <w:rFonts w:ascii="Arial" w:cs="Arial" w:eastAsia="Arial" w:hAnsi="Arial"/>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Vringo, Inc. (“Vringo”) strives to develop, acquire, license and protect innovation worldwide. We are currently focused on identifying, generating, acquiring, and deriving economic benefits from intellectual property assets. We plan to continue to expand our portfolio of intellectual property assets through acquiring and internally developing new technologies. We intend to monetize our technology portfolio through a variety of value enhancing initiatives, including, but not limited to:</w:t>
      </w:r>
    </w:p>
    <w:p>
      <w:pPr>
        <w:spacing w:after="0" w:line="187" w:lineRule="exact"/>
        <w:rPr>
          <w:sz w:val="20"/>
          <w:szCs w:val="20"/>
          <w:color w:val="auto"/>
        </w:rPr>
      </w:pPr>
    </w:p>
    <w:p>
      <w:pPr>
        <w:ind w:left="960" w:hanging="316"/>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We manage an intellectual property portfolio consisting of over 600 patents and patent applications, covering telecom infrastructure, internet search and mobile technologies. These patents and patent applications have been developed internally or acquired from third parties. We strive to develop, acquire, license and protect innovation worldwide. We seek to expand our portfolio of intellectual property through acquisition and development both internally and with the assistance of third parties. Our goal is to partner with innovators of compelling technologies.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potential acquisitions, we seek to purchase all of, or interests in, technology and intellectual property in exchange for cash, our securities and/or interests in the monetization of those assets. Our revenue from this aspect of our business can be generated through licensing and litigation efforts. We engage in robust due diligence and a principled risk underwriting process to evaluate the merits and potential value of any acquisition or partnership. We seek to structure the terms of our acquisitions and partnerships in a manner that will achieve the highest risk-adjusted returns possible. We believe that our capital resources and potential access to capital, together with the experience of our management team and board of directors, will allow us to assemble a portfolio of quality assets with short and long-term revenue opportunities.</w:t>
      </w: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360" w:top="985"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590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6590665"/>
                    </a:xfrm>
                    <a:prstGeom prst="rect">
                      <a:avLst/>
                    </a:prstGeom>
                    <a:noFill/>
                  </pic:spPr>
                </pic:pic>
              </a:graphicData>
            </a:graphic>
          </wp:anchor>
        </w:drawing>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Patents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one of the means of realizing the value of the patents on telecom infrastructure, our wholly-owned subsidiaries, Vringo Infrastructure, Inc. (“Vringo Infrastructure”), Vringo, Inc. and Vringo Germany GmbH (“Vringo Germany”) have filed a number of suits against ZTE Corporation (“ZTE”), ASUSTeK Computer Inc. (“ASUS”), and certain of their subsidiaries, affiliates and other companies in the United States, European jurisdictions, India, Australia, Brazil, and Malaysia alleging infringement of certain U.S., European, Indian, Australian, Brazilian, and Malaysian patents.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5, 2012, Vringo Infrastructure filed a suit in the UK High Court of Justice, Chancery Division, Patents Court, alleging infringement of three European patents. Subsequently, ZTE responded to the complaint with a counterclaim for invalidity of the patents-in-suit. Vringo Infrastructure filed a second UK suit on December 3, 2012, alleging infringement of three additional European patents.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March 2014, Vringo Infrastructure withdrew its claim to one of the patents included in the first suit, and ZTE withdrew its invalidity counterclaim. Another patent included in the first suit was heard in a trial that commenced on October 28, 2014.</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28, 2014, the Court found the patent valid as amended and infringed by ZTE. Following the Court’s ruling, ZTE applied to introduce new prior art and re-argue the validity of the patent; the application was rejected on January 30, 2015. There was no appeal by ZTE of the substantive decision and therefore the decision is final. Trial on the remedies phase is currently scheduled to occur in the first half of 2016 and will focus on the appropriate royalty rate to be awarded.</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181818"/>
        </w:rPr>
        <w:t>On February 17, 2015, Vringo withdrew its infringement claims against ZTE on three of the four remaining European Patents in suit in the second litigation in the UK. ZTE subsequently withdrew its invalidity counterclaims in respect of these three patents.</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181818"/>
        </w:rPr>
        <w:t>On April 10, 2015, Vringo and ZTE reached an agreement in relation to the remaining European Patent in issue (EP (UK) 1 330 933) in the second patent case in the UK as a result of which the parties withdrew their respective claims and counterclaims.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On November 15, 2012, Vringo Germany filed a suit in the Mannheim Regional Court in Germany, alleging infringement of a European patent. The litigation was expanded to include a second European patent on February 21, 2013. On November 4, 2013, Vringo Germany filed a further brief with respect to the proceedings of the first European patent suit, asserting infringement by ZTE eNode B infrastructure equipment used in 4G networks. Vringo Germany re-filed the first European patent case in the Regional Court of Düsseldorf on December 5, 2014.</w:t>
      </w:r>
    </w:p>
    <w:p>
      <w:pPr>
        <w:spacing w:after="0" w:line="171"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On December 17, 2013, the Court issued its judgment in the second European patent case, finding that ZTE infringed that patent and ordering an accounting and an injunction upon payment of the appropriate bonds. On February 19, 2014, Vringo Germany filed suit in the Mannheim Regional Court seeking enforcement of the accounting ordered and a further order that non-compliance be subject to civil and criminal penalties. On May 5, 2014, we paid a bond of €1,000,000 (approximately $1,085,000 as of March 31, 2015) to the Court in order to enforce the injunction against ZTE. On December 27, 2013, ZTE filed a notice of appeal of the Mannheim Regional Court’s judgment in the second European patent case, and on January 24, 2014, ZTE filed an emergency motion with the Court of Appeals seeking a stay of the judge’s order pending appeal. On February 24, 2014, ZTE’s motion was denied. A hearing in the appeal is scheduled for the third quarter of 2015.</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5" w:right="339" w:bottom="1440" w:gutter="0" w:footer="0" w:header="0"/>
        </w:sectPr>
      </w:pPr>
    </w:p>
    <w:bookmarkStart w:id="5" w:name="page6"/>
    <w:bookmarkEnd w:id="5"/>
    <w:p>
      <w:pPr>
        <w:jc w:val="both"/>
        <w:ind w:firstLine="64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2045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t>On September 13, 2013 and January 28, 2014, Vringo Germany filed two suits in the Regional Court of Düsseldorf, alleging infringement of two additional European patents. Those cases were heard by the Court on November 27, 2014. On January 22, 2015, the Court issued its judgment, finding that ZTE does not infringe either patent. On February 17, 2015, Vringo filed notices of appeal for each patent. The appeal process is anticipated to take at least one year.</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ZTE filed nullity suits with respect to the first and second European patents in the Federal Patents Court in Munich, Germany during the second and fourth quarters, respectively, of 2013. Trial in the nullity suit with respect to the first European patent took place on March 4, 2015. The Court indicated that it will present its findings in a written decision, which is likely to be released in the second quarter of 2015. Trial in the nullity suit with respect to the second European patent has been scheduled for the fourth quarter of 2015.</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ZTE filed a nullity suit with respect to the third European patent in the Federal Patents Court in Munich, Germany, in the fourth quarter of 2013. A schedule has not yet been set and the trial is not anticipated before the third quarter of 2015. In addition, ZTE filed a nullity suit with respect to the fourth European patent in the Federal Patents Court in Munich, Germany in the second quarter of 2014. A schedule has not yet been set and the trial is not anticipated before the third quarter of 2015.</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ZTE filed nullity suits against three Vringo patents not currently being asserted against ZTE. Vringo believes these claims are meritless and will vigorously defend the validity of its patents. No schedule has currently been set in these cases.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ZTE has filed 33 reexamination requests of Vringo’s Chinese patents with the Patent Re-Examination Board (“PRB”) of the State Intellectual Property Office of the People’s Republic of China. To date, the PRB has upheld the validity of 17 of Vringo’s patents, partially upheld the validity of two of Vringo’s patents, and has held that 12 of Vringo’s patents are invalid. Vringo has filed appeals on the PRB’s decision on the nine patents that are held invalid. The appeal process is expected to take at least one year. The remaining reexamination requests remain pending, with decisions expected to be rendered on a rolling basis.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181818"/>
        </w:rPr>
        <w:t>On February 21, 2014, ZTE filed a civil complaint against Vringo and Vringo Infrastructure in the Shenzhen Intermediate Court alleging that Vringo violated China’s antimonopoly laws. Vringo received notice of the action on June 26, 2014. Vringo intends to vigorously contest all aspects of this action in the appropriate manner. On July 28, 2014, Vringo filed a motion to have this complaint dismissed due to lack of jurisdiction. On August 6, 2014, the Court dismissed this motion. Vringo filed an appeal of the dismissal, which was denied by the Court. The Court conducted hearing on May 29, 2015 for the parties to submit any evidence on which they intend to rely and during which ZTE amended its complaint to increase its damages demand. As a result Vringo filed a motion contesting the jurisdiction of the court which was denied. Vringo’s appeal of the jurisdictional question is pending. The trial court scheduled hearings starting on June 9, 2015 for the parties to argue their positions. The trial has been stayed pending the appeal. The appellate process is expected to take at least two months.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March 29, 2013, Vringo Infrastructure filed a patent infringement lawsuit in France in the Tribunal de Grande Instance de Paris, alleging infringement of the French part of two European patents. Vringo Infrastructure filed the lawsuit based on particular information uncovered during a seizure to obtain evidence of infringement, known as a saisie-contrefaçon, which was executed at two of ZTE's facilities in France. The oral hearing in relation to</w:t>
      </w:r>
    </w:p>
    <w:p>
      <w:pPr>
        <w:jc w:val="both"/>
        <w:ind w:right="20"/>
        <w:spacing w:after="0" w:line="205" w:lineRule="auto"/>
        <w:rPr>
          <w:sz w:val="20"/>
          <w:szCs w:val="20"/>
          <w:color w:val="auto"/>
        </w:rPr>
      </w:pPr>
      <w:r>
        <w:rPr>
          <w:rFonts w:ascii="Arial" w:cs="Arial" w:eastAsia="Arial" w:hAnsi="Arial"/>
          <w:sz w:val="18"/>
          <w:szCs w:val="18"/>
          <w:color w:val="auto"/>
        </w:rPr>
        <w:t>liability and injunctive relief for these patents was held on April 13, 2015 before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division of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chamber of the Tribunal de Grande Instance de Paris (specializing in IP matters). We anticipate that the Court will render a decision in the third quarter of 2015.</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3157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6315710"/>
                    </a:xfrm>
                    <a:prstGeom prst="rect">
                      <a:avLst/>
                    </a:prstGeom>
                    <a:noFill/>
                  </pic:spPr>
                </pic:pic>
              </a:graphicData>
            </a:graphic>
          </wp:anchor>
        </w:drawing>
        <w:t>Australia</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June 11, 2013, Vringo Infrastructure filed a patent infringement lawsuit in the Federal Court of Australia in the New South Wales registry, alleging infringement by ZTE of two Australian patents. In March 2015, the Court granted Vringo’s request to join ZTE as a party to the action. We currently anticipate that the Court will set a trial date in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September 6, 2013, Vringo Infrastructure filed a preliminary inquiry order against ZTE in the Commercial Court of Madrid, Spain, requiring ZTE to provide discovery relating to alleged infringement of a patent which is the Spanish counter-part of the second European patent filed in Germany. In light of ZTE’s non-responsiveness to the order, on March 24, 2014 the Court granted our request to seek discovery of four of ZTE’s Spanish customers. We have received responses from all four customers. On July 31, 2014, ZTE filed a nullity suit in the Commercial Court of Madrid seeking to invalidate two of the Spanish counter-parts of Vringo’s European patents, including the patent found valid as amended and infringed in the UK.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On November 7, 2013, we and our subsidiary, Vringo Infrastructure, filed a patent infringement lawsuit in the High Court of Delhi at New Delhi, India, alleging infringement of an Indian patent related to CDMA. On November 8, 2013, the Court granted an ex-parte preliminary injunction and appointed commissioners to inspect ZTE’s facilities and collect evidence. ZTE appealed the preliminary injunction and, on December 12, 2013, the Court instituted an interim arrangement. On February 3, 2014, we filed a motion for contempt for ZTE’s failure to comply with the Court’s order, and requested that the Court order ZTE to pay an increased bond. A ruling on this motion is pending.</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31, 2014, we and our subsidiary, Vringo Infrastructure, filed a patent infringement lawsuit in the High Court of Delhi at New Delhi, alleging infringement of a second Indian patent related to GSM Infrastructure. The Court granted an ex-parte preliminary injunction and appointed commissioners to inspect ZTE’s facilities and collect evidence. ZTE appealed the preliminary injunction and, on August 13, 2014, the Court instituted an interim arrangement. On August 30, 2014, we filed a motion for contempt for ZTE’s failure to comply with the Court’s order, and requested that the Court order ZTE to pay an increased bond. A ruling on this motion is pending.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w:t>
      </w:r>
    </w:p>
    <w:p>
      <w:pPr>
        <w:spacing w:after="0" w:line="225"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On April 14, 2014, Vringo Infrastructure filed a patent infringement lawsuit assigned to the 5th Trial Court of Rio de Janeiro State Court in Brazil, alleging infringement of a Brazilian patent related to 3G/4G/LTE infrastructure. This is the Brazilian counterpart to the patent found to be valid as amended and infringed in the UK. On April 15, 2014, the court granted an ex-parte preliminary injunction restraining ZTE from manufacturing, using, offering for sale, selling, installing, testing, or importing such infrastructure equipment, subject to a fine. The Company posted a bond of approximately R$ 2,020,000 (approximately $621,000 as of March 31, 2015) with the court on April 17, 2014 as a surety against the truth of the allegations contained in the complaint. ZTE has filed numerous appeals against the injunction since, all of which have been rejected.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17, 2014, ZTE filed a nullity suit in the Federal district court in Rio de Janiero, Brazil, against both Vringo and the Brazilian patent office, seeking to invalidate Vringo’s Brazilian patent. The Brazilian patent office answered the complaint, supporting the validity of the patent and requesting the dismissal of the complaint. A schedule for the remainder of this matter has not yet been set.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April 2015, ZTE filed a second suit in the Federal district court in Rio de Janeiro, against Vringo and the Brazilian patent office, seeking to prevent Vringo from enforcing the injunction issued in the state court. A schedule for this matter has not yet been set.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7002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7002145"/>
                    </a:xfrm>
                    <a:prstGeom prst="rect">
                      <a:avLst/>
                    </a:prstGeom>
                    <a:noFill/>
                  </pic:spPr>
                </pic:pic>
              </a:graphicData>
            </a:graphic>
          </wp:anchor>
        </w:drawing>
        <w:t>Malaysia</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June 23, 2014, Vringo Infrastructure filed a patent infringement lawsuit against ZTE in the High Court of Malaya at Kuala Lumpur. The Court is expected to hear the case in the fourth quarter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Romania</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June 23, 2014, Vringo Infrastructure filed a patent infringement lawsuit against ZTE in the Bucharest Tribunal Civil Section. On July 1, 2014, the court granted an ex-parte preliminary injunction, ordering ZTE to cease any importation, exportation, introduction on the market, offer for sale, storage, sale, trade, distribution, promotion, or any other business activity regarding the infringing product. ZTE appealed the injunction and, on October 10, 2014, the Bucharest Court of Appeal suspended enforcement of the injunction in light of ZTE’s allegations that it was immediately subject to approximately €31,500,000 in contract losses, pending the outcome of the appeal. On January 8, 2015, the Court rejected ZTE’s appeal, and reinstated the injunction with immediate effect. The Court ordered Vringo to pay a bond of approximately €243,000 in order to continue to enforce the injunction. On February 4, 2015, the Court rejected ZTE’s request for the Court to order Vringo to pay an increased bond of €40,000,000, in a final decision that may not be appealed. Vringo paid the €243,000 bond on February 11, 2015 (approximately $264,000 as of March 31, 2015). ZTE has filed numerous appeals against the injunction since, all of which have been rejected.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Netherlands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May 28, 2014, Vringo Infrastructure commenced legal proceedings, pursuant to European Anti-Piracy Regulations, Number 1383/2003, Article 11 against ZTE in the District Court of The Hague. ZTE has filed an invalidity lawsuit for the patent-in-suit. On August 19, 2014, Vringo Infrastructure filed another suit at the District Court of The Hague, which subsumed the May 18, 2014 lawsuit. A schedule has not yet been set in this matter.</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June 4, 2014, ZTE filed suit in the District Court of Rotterdam against Vringo and Vringo Infrastructure for the alleged wrongful detention of goods under the relevant anti-piracy regulations. A schedule has not yet been set in this matter.</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24, 2014, ZTE filed a request with the District Court of The Hague to seek the release of ZTE UMTS products being held by Dutch customs officials and to order Vringo to ask the Dutch customs authorities to stop their actions against ZTE’s products based on the Anti-Piracy Regulations of the European Union. On October 24, 2014, the President of the Court denied ZTE’s requests, and upheld the detention of ZTE’s goods, finding, prima facie, that ZTE has infringed one of Vringo’s European patents, upholding the validity of that patent, and rejecting ZTE’s argument that Vringo has violated European competition law by enforcing that patent. ZTE was also ordered to pay Vringo’s legal costs of approximately $250,000. ZTE retains the right to appeal this decision.</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October 23, 2014, ZTE filed suit in the District Court of The Hague seeking the invalidity of Vringo’s European Patent that is the subject of the other proceedings taking place in the same Court. A hearing in this matter has not yet been scheduled.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July 2, 2014, Vringo filed suit in the United States District Court for the Southern District of New York seeking a temporary restraining order and preliminary and permanent injunctions against ZTE, enjoining ZTE’s use of prohibited materials captured under a non-disclosure agreement (“NDA”) between the parties, including but not limited to ZTE’s use of such materials in its antitrust lawsuit in China against Vringo and Vringo Infrastructure. On July 7, 2014, the court granted a temporary restraining order against ZTE’s use of such material. On July 23, 2014, ZTE filed a counterclaim against Vringo. On July 24, 2014, the Court held a hearing on Vringo’s motion for a preliminary injunction against ZTE. On October 2, 2014, Vringo filed a motion for judgment on the pleadings, similar to a motion for summary judgment, asking the court to render a judgment on Vringo’s cause of action based solely on the pleadings of the parties. On April 6, 2015, the Court granted Vringo’s motion in part, holding that ZTE breached the NDA. On June 3, 2015, the Court granted, in part, Vringo’s request for a preliminary injunction, effectively converting the previously-granted temporary restraining order into a preliminary injunction.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9" w:right="339" w:bottom="1440" w:gutter="0" w:footer="0" w:header="0"/>
        </w:sectPr>
      </w:pPr>
    </w:p>
    <w:bookmarkStart w:id="8" w:name="page9"/>
    <w:bookmarkEnd w:id="8"/>
    <w:p>
      <w:pPr>
        <w:jc w:val="both"/>
        <w:ind w:firstLine="648"/>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7002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7002145"/>
                    </a:xfrm>
                    <a:prstGeom prst="rect">
                      <a:avLst/>
                    </a:prstGeom>
                    <a:noFill/>
                  </pic:spPr>
                </pic:pic>
              </a:graphicData>
            </a:graphic>
          </wp:anchor>
        </w:drawing>
        <w:t xml:space="preserve">On February 5, 2015, ZTE filed suit in the United States District Court for the District of Delaware alleging that Vringo breached its contractual obligations to ETSI, which it assumed from Nokia when it purchased its infrastructure patent portfolio. On February 6, 2015, the Court granted a temporary restraining order and preliminary injunction against Vringo. </w:t>
      </w:r>
      <w:r>
        <w:rPr>
          <w:rFonts w:ascii="Arial" w:cs="Arial" w:eastAsia="Arial" w:hAnsi="Arial"/>
          <w:sz w:val="16"/>
          <w:szCs w:val="16"/>
          <w:color w:val="181818"/>
        </w:rPr>
        <w:t>On February 10, 2015, the Court dissolved the temporary restraining order and</w:t>
      </w:r>
      <w:r>
        <w:rPr>
          <w:rFonts w:ascii="Arial" w:cs="Arial" w:eastAsia="Arial" w:hAnsi="Arial"/>
          <w:sz w:val="16"/>
          <w:szCs w:val="16"/>
          <w:color w:val="auto"/>
        </w:rPr>
        <w:t xml:space="preserve"> </w:t>
      </w:r>
      <w:r>
        <w:rPr>
          <w:rFonts w:ascii="Arial" w:cs="Arial" w:eastAsia="Arial" w:hAnsi="Arial"/>
          <w:sz w:val="16"/>
          <w:szCs w:val="16"/>
          <w:color w:val="181818"/>
        </w:rPr>
        <w:t>preliminary injunction and granted Vringo’s request to transfer the case to the United States District Court for the Southern District of New York.</w:t>
      </w:r>
    </w:p>
    <w:p>
      <w:pPr>
        <w:spacing w:after="0" w:line="15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181818"/>
        </w:rPr>
        <w:t xml:space="preserve">On February 5, 2015, ZTE filed </w:t>
      </w:r>
      <w:r>
        <w:rPr>
          <w:rFonts w:ascii="Arial" w:cs="Arial" w:eastAsia="Arial" w:hAnsi="Arial"/>
          <w:sz w:val="18"/>
          <w:szCs w:val="18"/>
          <w:i w:val="1"/>
          <w:iCs w:val="1"/>
          <w:color w:val="181818"/>
        </w:rPr>
        <w:t>inter partes</w:t>
      </w:r>
      <w:r>
        <w:rPr>
          <w:rFonts w:ascii="Arial" w:cs="Arial" w:eastAsia="Arial" w:hAnsi="Arial"/>
          <w:sz w:val="18"/>
          <w:szCs w:val="18"/>
          <w:color w:val="181818"/>
        </w:rPr>
        <w:t xml:space="preserve"> review (“IPR”) requests for five of Vringo’s United States Patents. The requests, filed with the Patent Trial and Appeal Board (“PTAB”) of the United States Patent and Trademark Office will remain pending until the PTAB makes a decision on whether to grant the requests and, thus, review the patents. While these patents have counterparts being litigated by Vringo in other parts of the world, none of these United States Patents are currently in litigation. On June 5, 2015, ZTE withdrew their requests for IPR for procedural reasons. Vringo anticipates that ZTE will re-file them in the near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April 10, 2014, ZTE filed a complaint with the European Commission. We believe that the accusations are not accurate. The European Commission has not yet set the schedule for this matter.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Patent Office</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On May 14, 2015, ZTE filed an opposition to one of Vringo’s newly issued patents at the European Patent Office. Vringo believes that ZTE’s request has no merit and plans to vigorously defend the validity of its patent. A schedule has not yet been 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Development and Reform Commission (China)</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13, 2015, Vringo Infrastructure received a Request for Assistance in Investigation from the National Development and Reform Commission of the People’s Republic of China (NDRC). This request was based on a complaint filed by ZTE against Vringo. The NDRC has demanded that Vringo consent to mediation with ZTE overseen by the NDRC or face severe criminal and civil penalties. Vringo is actively responding to the NDRC’s concerns and working to convince them that ZTE’s claims have no merit. Vringo is additionally working to ensure that the NDRC respects the various relevant treaties to which the United States and China are signatories.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4, 2013 and January 29, 2014, Vringo Germany filed two patent infringement lawsuits against ASUS in the Düsseldorf Regional Court, alleging infringement of two European patents. Those cases were heard by the Court on November 27, 2014. On January 22, 2015, the Court issued its judgment, finding that ASUS does not infringe either patent. On February 17, 2015, Vringo filed notices of appeal for each patent. The appeal process is anticipated to take at least one year.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ASUS filed nullity suits with respect to the first and second European patents in the Federal Patents Court in Munich, Germany, during the second quarter of 2014. Trials in the nullity suits have not been scheduled but are not anticipated before the second quarter of 2016 for the first patent and the second quarter of 2015 for the second patent.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7, 2014, Vringo Infrastructure filed suit in the Commercial Court of Barcelona alleging infringement of a patent which is the Spanish counter-part of the first European patent filed in Germany. The oral hearing for this case was heard before the Commercial Court of Barcelona on November 25, 2014. Judgment is pending. On December 19, 2014, ASUS filed a nullity suit with respect to the same patent. A schedule for the case has not yet been set.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3157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6315710"/>
                    </a:xfrm>
                    <a:prstGeom prst="rect">
                      <a:avLst/>
                    </a:prstGeom>
                    <a:noFill/>
                  </pic:spPr>
                </pic:pic>
              </a:graphicData>
            </a:graphic>
          </wp:anchor>
        </w:drawing>
        <w:t>India</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April 15, 2014, Vringo Infrastructure filed suit in the High Court of Delhi, New Delhi alleging infringement of a patent related to use of dictionaries in search engines preloaded on certain ASUS devices. Google has successfully petitioned to intervene as an interested party and, by right, has filed responsive pleadings. A schedule for the remainder of case has not yet been set.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 Patents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September 15, 2011, our wholly-owned subsidiary, I/P Engine, Inc. (“I/P Engine”) initiated litigation in the United States District Court, for the Eastern District of Virginia, against AOL Inc., Google, Inc., IAC Search &amp; Media, Inc., Gannett Company, Inc., and Target Corporation (collectively, the “Defendants”) for infringement of claims of U.S. Patent Nos. 6,314,420 and 6,775,664, which I/P Engine acquired from Lycos, Inc.</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Trial commenced on October 16, 2012, and the case was submitted to the jury on November 1, 2012. On November 6, 2012, the jury ruled in favor of I/P Engine and against the Defendants. After upholding the validity of the patents-in-suit, and determining that the asserted claims of the patents were infringed by the defendants, the jury found that reasonable royalty damages should be based on a “running royalty,” and that the running royalty rate should be 3.5%. The jury also awarded I/P Engine a total of approximately $30.5 million. On November 20, 2012, the clerk entered the District Court's final judgment.</w:t>
      </w:r>
    </w:p>
    <w:p>
      <w:pPr>
        <w:spacing w:after="0" w:line="188"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On January 3, 2014, the District Court ordered that I/P Engine recover an additional sum of $17.32 million from Defendants for supplemental damages and prejudgment interest. On January 21, 2014, the District Court ruled that Defendants' alleged design-around is “nothing more than a colorable variation of the system adjudged to infringe," and accordingly I/P Engine "is entitled to ongoing royalties as long as Defendants continue to use the modified system.” On January 28, 2014, the District Court ruled that the appropriate ongoing royalty rate for Defendants' continued infringement of the patents-in-suit that “would reasonably compensate [I/P Engine] for giving up [its] right to exclude yet allow an ongoing willful infringer to make a reasonable profit” is a rate of 6.5% of the 20.9% royalty base previously set by the District Court. The Defendants also filed a separate appeal related to these matters.</w:t>
      </w:r>
    </w:p>
    <w:p>
      <w:pPr>
        <w:spacing w:after="0" w:line="18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August 15, 2014, the Court of Appeals for the Federal Circuit (“Federal Circuit”) held that the claims of the patents-in-suit asserted by the Company against the Defendants are invalid for obviousness. On August 20, 2014, Vringo announced that I/P Engine would seek en banc review of the Federal Circuit's decision.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15, 2014, I/P Engine filed a petition for rehearing en banc, in which it argued that the majority's opinion in this case presents important questions of law and is at odds with a series of Supreme Court and Federal Circuit decisions which do not allow appellate judges to disregard a jury's detailed findings under these circumstances. I/P Engine argued that review is particularly appropriate here, where the panel majority not only failed to adopt the proper legal standard, but explicitly rejected it.</w:t>
      </w:r>
    </w:p>
    <w:p>
      <w:pPr>
        <w:spacing w:after="0" w:line="18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181818"/>
        </w:rPr>
        <w:t xml:space="preserve">On December 15, 2014, </w:t>
      </w:r>
      <w:r>
        <w:rPr>
          <w:rFonts w:ascii="Arial" w:cs="Arial" w:eastAsia="Arial" w:hAnsi="Arial"/>
          <w:sz w:val="17"/>
          <w:szCs w:val="17"/>
          <w:color w:val="000000"/>
        </w:rPr>
        <w:t>the Federal Circuit denied I/P Engine's petition for rehearing of the case en banc and consequently, we announced that</w:t>
      </w:r>
      <w:r>
        <w:rPr>
          <w:rFonts w:ascii="Arial" w:cs="Arial" w:eastAsia="Arial" w:hAnsi="Arial"/>
          <w:sz w:val="17"/>
          <w:szCs w:val="17"/>
          <w:color w:val="181818"/>
        </w:rPr>
        <w:t xml:space="preserve"> I/P Engine will seek review by the Supreme Court of the United States (“Supreme Court”) of the Federal Circuit's decision. On May 14, 2015, I/P </w:t>
      </w:r>
      <w:r>
        <w:rPr>
          <w:rFonts w:ascii="Arial" w:cs="Arial" w:eastAsia="Arial" w:hAnsi="Arial"/>
          <w:sz w:val="17"/>
          <w:szCs w:val="17"/>
          <w:color w:val="000000"/>
        </w:rPr>
        <w:t>Engine filed</w:t>
      </w:r>
      <w:r>
        <w:rPr>
          <w:rFonts w:ascii="Arial" w:cs="Arial" w:eastAsia="Arial" w:hAnsi="Arial"/>
          <w:sz w:val="17"/>
          <w:szCs w:val="17"/>
          <w:color w:val="181818"/>
        </w:rPr>
        <w:t xml:space="preserve"> </w:t>
      </w:r>
      <w:r>
        <w:rPr>
          <w:rFonts w:ascii="Arial" w:cs="Arial" w:eastAsia="Arial" w:hAnsi="Arial"/>
          <w:sz w:val="17"/>
          <w:szCs w:val="17"/>
          <w:color w:val="000000"/>
        </w:rPr>
        <w:t>a petition for writ of certiorari with the Supreme Court of the United States. The petition asks the Court to review and overturn a divided opinion of the U.S. Court of Appeals for the Federal Circuit, issued on August 15, 2014, which reversed a jury verdict entered in favor of I/P Engine against Google and certain of Google's customers in the United States District Court for the Eastern District of Virginia.</w:t>
      </w:r>
    </w:p>
    <w:p>
      <w:pPr>
        <w:spacing w:after="0" w:line="173"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court dockets for the foregoing cases are publicly available on the Public Access to Court Electronic Records website, www.pacer.gov, which is operated by the Administrative Office of the U.S. Courts and the website for the Supreme Court of the United States, www.supremecourt.gov.</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7164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7164705"/>
                    </a:xfrm>
                    <a:prstGeom prst="rect">
                      <a:avLst/>
                    </a:prstGeom>
                    <a:noFill/>
                  </pic:spPr>
                </pic:pic>
              </a:graphicData>
            </a:graphic>
          </wp:anchor>
        </w:drawing>
        <w:t>Risks Associated with our Business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is subject to numerous risks, as described under the heading “Risk Factors”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3"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We were incorporated in Delaware in 2006. Our principal executive offices are located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and our telephone number is (212) 309-7549. Our principal website is </w:t>
      </w:r>
      <w:r>
        <w:rPr>
          <w:rFonts w:ascii="Arial" w:cs="Arial" w:eastAsia="Arial" w:hAnsi="Arial"/>
          <w:sz w:val="18"/>
          <w:szCs w:val="18"/>
          <w:i w:val="1"/>
          <w:iCs w:val="1"/>
          <w:color w:val="auto"/>
        </w:rPr>
        <w:t>www.vringoip.com</w:t>
      </w:r>
      <w:r>
        <w:rPr>
          <w:rFonts w:ascii="Arial" w:cs="Arial" w:eastAsia="Arial" w:hAnsi="Arial"/>
          <w:sz w:val="18"/>
          <w:szCs w:val="18"/>
          <w:color w:val="auto"/>
        </w:rPr>
        <w:t>. Information found on, or accessible through, our website is not a part of, and is not incorporated into, this prospectus, and you should not consider it part of this prospectus or part of any prospectus supplement. Our website address is included in this document as an inactive textual reference only. Our common stock is listed on the NASDAQ Capital Market and trades under the symbol “VRNG.”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661"/>
        <w:spacing w:after="0" w:line="276" w:lineRule="auto"/>
        <w:rPr>
          <w:sz w:val="20"/>
          <w:szCs w:val="20"/>
          <w:color w:val="auto"/>
        </w:rPr>
      </w:pPr>
      <w:r>
        <w:rPr>
          <w:rFonts w:ascii="Arial" w:cs="Arial" w:eastAsia="Arial" w:hAnsi="Arial"/>
          <w:sz w:val="17"/>
          <w:szCs w:val="17"/>
          <w:color w:val="auto"/>
        </w:rPr>
        <w:t>Under this prospectus, we may offer shares of our common stock and preferred stock, various series of debt securities and/or warrants, rights or purchase contracts to purchase any of such securities, either individually or in units, with a total value of up to $50,000,000,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73" w:lineRule="exact"/>
        <w:rPr>
          <w:sz w:val="20"/>
          <w:szCs w:val="20"/>
          <w:color w:val="auto"/>
        </w:rPr>
      </w:pPr>
    </w:p>
    <w:p>
      <w:pPr>
        <w:ind w:left="960" w:hanging="316"/>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maturity, if applicable;</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redemption, conversion or sinking fund terms, if any;</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conversion or exercise prices, if any.</w:t>
      </w:r>
    </w:p>
    <w:p>
      <w:pPr>
        <w:spacing w:after="0" w:line="225"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81"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81" w:lineRule="exact"/>
        <w:rPr>
          <w:sz w:val="20"/>
          <w:szCs w:val="20"/>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360" w:top="986" w:right="459" w:bottom="1440" w:gutter="0" w:footer="0" w:header="0"/>
        </w:sectPr>
      </w:pPr>
    </w:p>
    <w:bookmarkStart w:id="11" w:name="page12"/>
    <w:bookmarkEnd w:id="11"/>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827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827405"/>
                    </a:xfrm>
                    <a:prstGeom prst="rect">
                      <a:avLst/>
                    </a:prstGeom>
                    <a:noFill/>
                  </pic:spPr>
                </pic:pic>
              </a:graphicData>
            </a:graphic>
          </wp:anchor>
        </w:drawing>
        <w:t>the net proceeds to us.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This prospectus may not be used to consummate a sale of any securities unless it is accompanied by a prospectus supplement.</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80"/>
          </w:cols>
          <w:pgMar w:left="1000" w:top="989" w:right="131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495"/>
        <w:spacing w:after="0" w:line="269" w:lineRule="auto"/>
        <w:rPr>
          <w:sz w:val="20"/>
          <w:szCs w:val="20"/>
          <w:color w:val="auto"/>
        </w:rPr>
      </w:pPr>
      <w:r>
        <w:rPr>
          <w:rFonts w:ascii="Arial" w:cs="Arial" w:eastAsia="Arial" w:hAnsi="Arial"/>
          <w:sz w:val="17"/>
          <w:szCs w:val="17"/>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“Special Note Regarding Forward-Looking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SEC encourages companies to disclose forward-looking information so that investors can better understand a company’s future prospects and make informed investment decisions. This prospectus and the documents we have filed with the SEC that are incorporated herein by reference contain such “forward-looking statements” within the meaning of the Private Securities Litigation Reform Act of 1995.</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Such statements in connection with any discussion of future operations or financial performance are identified by the use of words such as “may,” “anticipate,” “estimate,” “expect,” “project,” “intend,” “plan,” “believe,” and other words and terms of similar meaning. Forward-looking statements include, but are not limited to, statements about: our business, operations, financial performance and condition, earnings, our prospects, our ability to raise capital to fund our operations and business plan, the continued listing of our securities on the NASDAQ Capital Market, our ability to protect intellectual property rights as well as regarding our industry generally. Forward–looking statements are not guarantees of performance. Such statements are based on management’s expectations and are subject to certain factors, risks and uncertainties that may cause actual results, outcome of events, timing and performance to differ materially from those expressed or implied by such statements. For a summary of such factors, please refer to the section entitled “Risk Factors” in this prospectus, as updated and supplemented by the discussion of risks and uncertainties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Any time debt securities are offered pursuant to this prospectus, we will provide a table setting forth our ratio of earnings to fixed charges on a historical basis in the applicable prospectus supplement, if required.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general corporate purposes, including, but not limited to, repayment of existing indebtedness, working capital, intellectual property protection and enforcement, capital expenditures, investments and acquisitions, including acquisitions of patent portfolios.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Plan of Distribution</w:t>
      </w:r>
    </w:p>
    <w:p>
      <w:pPr>
        <w:spacing w:after="0" w:line="229" w:lineRule="exact"/>
        <w:rPr>
          <w:sz w:val="20"/>
          <w:szCs w:val="20"/>
          <w:color w:val="auto"/>
        </w:rPr>
      </w:pPr>
    </w:p>
    <w:p>
      <w:pPr>
        <w:jc w:val="both"/>
        <w:ind w:right="20" w:firstLine="441"/>
        <w:spacing w:after="0" w:line="286" w:lineRule="auto"/>
        <w:rPr>
          <w:sz w:val="20"/>
          <w:szCs w:val="20"/>
          <w:color w:val="auto"/>
        </w:rPr>
      </w:pPr>
      <w:r>
        <w:rPr>
          <w:rFonts w:ascii="Arial" w:cs="Arial" w:eastAsia="Arial" w:hAnsi="Arial"/>
          <w:sz w:val="17"/>
          <w:szCs w:val="17"/>
          <w:color w:val="auto"/>
        </w:rPr>
        <w:t>We may offer securities under this prospectus from time to time pursuant to underwritten public offerings, negotiated transactions, block trades or a combination of these methods. We may sell the securities (i) through underwriters or dealers, (ii) through agents or (iii) directly to one or more purchasers, or through a combination of such methods. We may distribute the securities from time to time in one or more transactions at:</w:t>
      </w:r>
    </w:p>
    <w:p>
      <w:pPr>
        <w:spacing w:after="0" w:line="166"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jc w:val="both"/>
        <w:ind w:firstLine="661"/>
        <w:spacing w:after="0" w:line="342" w:lineRule="auto"/>
        <w:rPr>
          <w:sz w:val="20"/>
          <w:szCs w:val="20"/>
          <w:color w:val="auto"/>
        </w:rPr>
      </w:pPr>
      <w:r>
        <w:rPr>
          <w:rFonts w:ascii="Arial" w:cs="Arial" w:eastAsia="Arial" w:hAnsi="Arial"/>
          <w:sz w:val="16"/>
          <w:szCs w:val="16"/>
          <w:color w:val="auto"/>
        </w:rPr>
        <w:t>We may directly solicit offers to purchase the securities being offered by this prospectus. We may also designate agents to solicit offers to purchase the securities from time to time. We will name in a prospectus supplement any underwriter or agent involved in the offer or sale of the securities.</w:t>
      </w:r>
    </w:p>
    <w:p>
      <w:pPr>
        <w:spacing w:after="0" w:line="124"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jc w:val="both"/>
        <w:ind w:firstLine="661"/>
        <w:spacing w:after="0" w:line="257" w:lineRule="auto"/>
        <w:rPr>
          <w:sz w:val="20"/>
          <w:szCs w:val="20"/>
          <w:color w:val="auto"/>
        </w:rPr>
      </w:pPr>
      <w:r>
        <w:rPr>
          <w:rFonts w:ascii="Arial" w:cs="Arial" w:eastAsia="Arial" w:hAnsi="Arial"/>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8" w:lineRule="exact"/>
        <w:rPr>
          <w:sz w:val="20"/>
          <w:szCs w:val="20"/>
          <w:color w:val="auto"/>
        </w:rPr>
      </w:pPr>
    </w:p>
    <w:p>
      <w:pPr>
        <w:jc w:val="both"/>
        <w:ind w:firstLine="661"/>
        <w:spacing w:after="0" w:line="255" w:lineRule="auto"/>
        <w:rPr>
          <w:sz w:val="20"/>
          <w:szCs w:val="20"/>
          <w:color w:val="auto"/>
        </w:rPr>
      </w:pPr>
      <w:r>
        <w:rPr>
          <w:rFonts w:ascii="Arial" w:cs="Arial" w:eastAsia="Arial" w:hAnsi="Arial"/>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of 1933, as amended, or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78" w:lineRule="exact"/>
        <w:rPr>
          <w:sz w:val="20"/>
          <w:szCs w:val="20"/>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jc w:val="both"/>
        <w:ind w:left="98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73" w:lineRule="exact"/>
        <w:rPr>
          <w:sz w:val="20"/>
          <w:szCs w:val="20"/>
          <w:color w:val="auto"/>
        </w:rPr>
      </w:pPr>
    </w:p>
    <w:p>
      <w:pPr>
        <w:jc w:val="both"/>
        <w:ind w:firstLine="661"/>
        <w:spacing w:after="0" w:line="259" w:lineRule="auto"/>
        <w:rPr>
          <w:sz w:val="20"/>
          <w:szCs w:val="20"/>
          <w:color w:val="auto"/>
        </w:rPr>
      </w:pPr>
      <w:r>
        <w:rPr>
          <w:rFonts w:ascii="Arial" w:cs="Arial" w:eastAsia="Arial" w:hAnsi="Arial"/>
          <w:sz w:val="18"/>
          <w:szCs w:val="18"/>
          <w:color w:val="auto"/>
        </w:rPr>
        <w:t>Shares of our common stock sold pursuant to the registration statement of which this prospectus is a part will be authorized for quotation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We can make no assurance as to the liquidity of or the existence of trading markets for any of the securities.</w:t>
      </w:r>
    </w:p>
    <w:p>
      <w:pPr>
        <w:spacing w:after="0" w:line="187" w:lineRule="exact"/>
        <w:rPr>
          <w:sz w:val="20"/>
          <w:szCs w:val="20"/>
          <w:color w:val="auto"/>
        </w:rPr>
      </w:pPr>
    </w:p>
    <w:p>
      <w:pPr>
        <w:jc w:val="both"/>
        <w:ind w:firstLine="661"/>
        <w:spacing w:after="0" w:line="254" w:lineRule="auto"/>
        <w:rPr>
          <w:sz w:val="20"/>
          <w:szCs w:val="20"/>
          <w:color w:val="auto"/>
        </w:rPr>
      </w:pPr>
      <w:r>
        <w:rPr>
          <w:rFonts w:ascii="Arial" w:cs="Arial" w:eastAsia="Arial" w:hAnsi="Arial"/>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underwriters, dealers and agents may engage in other transactions with us, or perform other services for us, in the ordinary course of their business.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61"/>
        <w:spacing w:after="0" w:line="286" w:lineRule="auto"/>
        <w:rPr>
          <w:sz w:val="20"/>
          <w:szCs w:val="20"/>
          <w:color w:val="auto"/>
        </w:rPr>
      </w:pPr>
      <w:r>
        <w:rPr>
          <w:rFonts w:ascii="Arial" w:cs="Arial" w:eastAsia="Arial" w:hAnsi="Arial"/>
          <w:sz w:val="17"/>
          <w:szCs w:val="17"/>
          <w:color w:val="auto"/>
        </w:rPr>
        <w:t>The following is a summary of our capital stock and provisions of our restated certificate of incorporation and restated by-laws, as they are in effect as of the date of this prospectus. For more detailed information, please see our restated certificate of incorporation and restated bylaws, which are filed with the Securities and Exchange Commission as exhibits to the registration statement of which this prospectus forms a part.</w:t>
      </w:r>
    </w:p>
    <w:p>
      <w:pPr>
        <w:spacing w:after="0" w:line="166"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We are authorized to issue 150,000,000 shares of common stock, par value $0.01 per share, and 5,000,000 shares of preferred stock, par value $0.01 per share. As of July 23, 2015, we had 97,553,886 shares of common stock outstanding held of record by 11 stockholders, which does not include stockholders who hold their shares in “street name.” There are no outstanding shares of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Holders of common stock are entitled to one vote for each share held of record on all matters submitted to a vote of the stockholders, and do not have cumulative voting rights. Subject to preferences that may be applicable to any outstanding shares of preferred stock, holders of common stock are entitled to receive ratably such dividends, if any, as may be declared from time to time by our board of directors out of funds legally available for dividend payments. All shares of common stock outstanding as of the date of this prospectus are fully paid and nonassessable. 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Our board of directors has the authority, without action by our stockholders, to designate and issue up to 5,000,000 shares of preferred stock in one or more series and to designate the rights, preferences, and limitations of all such series, any or all of which may be superior to the rights of our common stock. It is not possible to state the actual effect of the issuance of any shares of preferred stock upon the rights of the holders of common stock until our board of directors determines the specific rights of the holders of preferred stock. However, effects of the issuance of preferred stock include restricting dividends on our common stock, diluting the voting power of our common stock, impairing the liquidation rights of our common stock, and making it more difficult for a third party to acquire us, which could have the effect of discouraging a third party from acquiring, or deterring a third party from paying a premium to acquire, a majority of our outstanding voting stock. We have no present plans to issue any shares of our preferred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for our common stock is American Stock Transfer &amp;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jc w:val="both"/>
        <w:ind w:firstLine="441"/>
        <w:spacing w:after="0" w:line="264" w:lineRule="auto"/>
        <w:rPr>
          <w:sz w:val="20"/>
          <w:szCs w:val="20"/>
          <w:color w:val="auto"/>
        </w:rPr>
      </w:pPr>
      <w:r>
        <w:rPr>
          <w:rFonts w:ascii="Arial" w:cs="Arial" w:eastAsia="Arial" w:hAnsi="Arial"/>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81" w:lineRule="exact"/>
        <w:rPr>
          <w:sz w:val="20"/>
          <w:szCs w:val="20"/>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shares offered, the liquidation preference, if any, per share and the purchase price;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such dividends;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provisions for redemption, if applicable;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225"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the Company; and</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material limitations on issuance of any class or series of preferred stock ranking pari passu with or senior to the series of preferred stock as to dividend rights and rights upon liquidation, dissolution or winding up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any preferred stock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May 4, 2015, we entered into a securities purchase agreement with certain institutional investors in a registered direct offering of $12,500,000 of senior secured convertible notes and certain warrants to purchase shares of our common stock. On May 4, 2015, we issued the notes, which are convertible into shares of our common stock at $1.00 per share, bear 8% interest and mature in 21 months from the date of issuance, or February 4, 2017, unless earlier converted. In addition, we issued approximately 5.4 million warrants to purchase shares of our common stock, which are exercisable at $1.00 per share and are exercisable for a period of five years. In connection with the issuance of the notes and warrants, we received net cash proceeds of $12,425,000 on May 5, 2015. Our obligations under the outstanding notes are secured by a first priority perfected security interest in substantially all of our U.S. assets. In addition, stock of certain of our subsidiaries has been pledged. The outstanding notes contain customary events of default, as well as covenants, which include restrictions on the assumption of new debt by Vringo.</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principal amount of the outstanding notes will be repaid monthly, and we may make such payments and related interest payments in cash or, subject to certain conditions, in registered shares of our common stock, at our election. If we choose to repay the notes in shares of its common stock, the shares will be issued at a 15% discount, based on the then-current market price data of our common stock. We may also repay the notes in advance of the maturity schedule subject to early repayment penalties. Once the notes are repaid and no longer outstanding, we will have the ability to offer and sell new senior debt securities, in accordance with the general terms and conditions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3"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0" w:name="page21"/>
    <w:bookmarkEnd w:id="20"/>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discussion on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25" w:lineRule="exact"/>
        <w:rPr>
          <w:rFonts w:ascii="Arial" w:cs="Arial" w:eastAsia="Arial" w:hAnsi="Arial"/>
          <w:sz w:val="18"/>
          <w:szCs w:val="18"/>
          <w:color w:val="auto"/>
        </w:rPr>
      </w:pPr>
    </w:p>
    <w:p>
      <w:pPr>
        <w:jc w:val="both"/>
        <w:ind w:left="760" w:hanging="320"/>
        <w:spacing w:after="0" w:line="259"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25"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71"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 w:name="page23"/>
    <w:bookmarkEnd w:id="22"/>
    <w:p>
      <w:pPr>
        <w:jc w:val="both"/>
        <w:ind w:firstLine="441"/>
        <w:spacing w:after="0" w:line="297"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58" w:lineRule="exact"/>
        <w:rPr>
          <w:sz w:val="20"/>
          <w:szCs w:val="20"/>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70" w:lineRule="exact"/>
        <w:rPr>
          <w:sz w:val="20"/>
          <w:szCs w:val="20"/>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70" w:lineRule="exact"/>
        <w:rPr>
          <w:rFonts w:ascii="Arial" w:cs="Arial" w:eastAsia="Arial" w:hAnsi="Arial"/>
          <w:sz w:val="18"/>
          <w:szCs w:val="18"/>
          <w:color w:val="auto"/>
        </w:rPr>
      </w:pPr>
    </w:p>
    <w:p>
      <w:pPr>
        <w:jc w:val="both"/>
        <w:ind w:left="760" w:hanging="320"/>
        <w:spacing w:after="0" w:line="259"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We will periodically file statements with the applicable debenture trustee regarding our compliance with specified covenants in the applicable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debenture trustee and we may change the applicable indenture without the consent of any holders with respect to specific matters, including:</w:t>
      </w:r>
    </w:p>
    <w:p>
      <w:pPr>
        <w:spacing w:after="0" w:line="23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8"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making the principal of or premium or interest on any debt security payable in currency other than that stated in the debt security; or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jc w:val="both"/>
        <w:ind w:firstLine="441"/>
        <w:spacing w:after="0" w:line="264"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1"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73"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jc w:val="both"/>
        <w:ind w:left="760" w:hanging="320"/>
        <w:spacing w:after="0" w:line="264"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1"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1"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3"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247"/>
        <w:spacing w:after="0" w:line="293" w:lineRule="auto"/>
        <w:rPr>
          <w:sz w:val="20"/>
          <w:szCs w:val="20"/>
          <w:color w:val="auto"/>
        </w:rPr>
      </w:pPr>
      <w:r>
        <w:rPr>
          <w:rFonts w:ascii="Arial" w:cs="Arial" w:eastAsia="Arial" w:hAnsi="Arial"/>
          <w:sz w:val="16"/>
          <w:szCs w:val="16"/>
          <w:color w:val="auto"/>
        </w:rPr>
        <w:t>As of July 23, 2015, there were warrants to purchase 9,566,796 shares of Vringo common stock outstanding at a weighted-average exercise price of $1.33 per share. This amount is comprised of warrants to purchase 758,023 shares of common stock exercisable until February 6, 2017 at an exercise price of $1.76, warrants to purchase 3,433,773 shares of common stock exercisable until July 19, 2017 at an exercise price of $1.76, and warrants to purchase 5,375,000 shares of common stock exercisable until May 4, 2020 at an exercise price of $1.00. Prior to June 21, 2015, we also had public warrants to purchase 4,784,000 shares of common stock at an exercise price of $5.06, which were listed on the NASDAQ Capital Market under the symbol “VRNGW,” and additional warrants which were privately held to purchase 8,426,858 shares of common stock, both of which expired on June 21,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70" w:lineRule="exact"/>
        <w:rPr>
          <w:rFonts w:ascii="Arial" w:cs="Arial" w:eastAsia="Arial" w:hAnsi="Arial"/>
          <w:sz w:val="18"/>
          <w:szCs w:val="18"/>
          <w:color w:val="auto"/>
        </w:rPr>
      </w:pPr>
    </w:p>
    <w:p>
      <w:pPr>
        <w:ind w:left="760" w:hanging="320"/>
        <w:spacing w:after="0" w:line="308" w:lineRule="auto"/>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46" w:lineRule="exact"/>
        <w:rPr>
          <w:rFonts w:ascii="Arial" w:cs="Arial" w:eastAsia="Arial" w:hAnsi="Arial"/>
          <w:sz w:val="17"/>
          <w:szCs w:val="17"/>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7" w:name="page28"/>
    <w:bookmarkEnd w:id="27"/>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warrants may be sold separately or with other securities as parts of units;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and exercise of the warrants.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any warrants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60"/>
          </w:cols>
          <w:pgMar w:left="240" w:top="881" w:right="119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purchase contracts,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provide in a prospectus supplement the following terms of the rights being issued:</w:t>
      </w:r>
    </w:p>
    <w:p>
      <w:pPr>
        <w:spacing w:after="0" w:line="225" w:lineRule="exact"/>
        <w:rPr>
          <w:sz w:val="20"/>
          <w:szCs w:val="20"/>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applicable U.S. federal income tax considerations; and</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9" w:name="page30"/>
    <w:bookmarkEnd w:id="29"/>
    <w:p>
      <w:pPr>
        <w:jc w:val="both"/>
        <w:ind w:firstLine="441"/>
        <w:spacing w:after="0" w:line="264"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81"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We may issue purchase contracts, including contracts obligating holders to purchase from us, and for us to sell to holders, a specific or variable number of our debt securities, shares of common stock, preferred stock, warrants or rights, or securities of an entity unaffiliated with us, or any combination of the above, at a future date or dates. Alternatively, the purchase contracts may obligate us to purchase from holders, and obligate holders to sell to us, a specific or variable number of our debt securities, shares of common stock, preferred stock, warrants, rights or other property, or any combination of the above. The price of the securities or other property subject to the purchase contracts may be fixed at the time the purchase contracts are issued or may be determined by reference to a specific formula described in the purchase contracts. We may issue purchase contracts separately or as a part of units each consisting of a purchase contract and one or more of our other securities described in this prospectus or securities of third parties, including U.S. Treasury securities, securing the holder’s obligations under the purchase contract. The purchase contracts may require us to make periodic payments to holders or vice versa and the payments may be unsecured or pre-funded on some basis. The purchase contracts may require holders to secure the holder’s obligations in a manner specified in the applicable prospectus supplement.</w:t>
      </w:r>
    </w:p>
    <w:p>
      <w:pPr>
        <w:spacing w:after="0" w:line="17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applicable prospectus supplement will describe the terms of any purchase contracts in respect of which this prospectus is being delivered, including, to the extent applicable, the following:</w:t>
      </w:r>
    </w:p>
    <w:p>
      <w:pPr>
        <w:spacing w:after="0" w:line="170" w:lineRule="exact"/>
        <w:rPr>
          <w:sz w:val="20"/>
          <w:szCs w:val="20"/>
          <w:color w:val="auto"/>
        </w:rPr>
      </w:pPr>
    </w:p>
    <w:p>
      <w:pPr>
        <w:ind w:left="980" w:hanging="32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purchase contracts are to be prepaid;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applicable U.S. federal income tax considerations;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preceding description sets forth certain general terms and provisions of the purchase contracts to which any prospectus supplement may relate. The particular terms of the purchase contracts to which any prospectus supplement may relate and the extent, if any, to which the general provisions may apply to the purchase contracts so offered will be described in the applicable prospectus supplement. To the extent that any particular terms of the purchase contracts described in a prospectus supplement differ from any of the terms described above, then the terms described above will be deemed to have been superseded by that prospectus supplement. We encourage you to read the applicable purchase contract for additional information before you decide whether to purchase any of our purchase contracts.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or purchase contacts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760" w:right="20" w:hanging="320"/>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provisions described in this section, as well as those set forth in any prospectus supplement or as described under “Description of Common Stock,” “Description of Preferred Stock,” “Description of Debt Securities,” “Description of Warrants,” “Description of Rights” and “Description of Purchase Contracts” will apply to each unit, as applicable, and to any common stock, preferred stock, debt security, warrant, right or purchase contract included in each unit, as applicable.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2" w:name="page33"/>
    <w:bookmarkEnd w:id="32"/>
    <w:p>
      <w:pPr>
        <w:ind w:left="340"/>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Delaware Law Governing Business Combinations</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We are subject to the “business combination” provisions of Section 203 of the Delaware General Corporation Law. In general, such provisions prohibit a publicly held Delaware corporation from engaging in any “business combination” transactions with any “interested stockholder” for a period of three years after the date on which the person became an “interested stockholder,” unless:</w:t>
      </w:r>
    </w:p>
    <w:p>
      <w:pPr>
        <w:spacing w:after="0" w:line="181" w:lineRule="exact"/>
        <w:rPr>
          <w:sz w:val="20"/>
          <w:szCs w:val="20"/>
          <w:color w:val="auto"/>
        </w:rPr>
      </w:pPr>
    </w:p>
    <w:p>
      <w:pPr>
        <w:ind w:left="980" w:right="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prior to such date, the board of directors approved either the “business combination” or the transaction which resulted in the “interested stockholder” obtaining such status; or</w:t>
      </w:r>
    </w:p>
    <w:p>
      <w:pPr>
        <w:spacing w:after="0" w:line="170" w:lineRule="exact"/>
        <w:rPr>
          <w:rFonts w:ascii="Arial" w:cs="Arial" w:eastAsia="Arial" w:hAnsi="Arial"/>
          <w:sz w:val="18"/>
          <w:szCs w:val="18"/>
          <w:color w:val="auto"/>
        </w:rPr>
      </w:pPr>
    </w:p>
    <w:p>
      <w:pPr>
        <w:jc w:val="both"/>
        <w:ind w:left="980" w:hanging="324"/>
        <w:spacing w:after="0" w:line="276"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7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18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The statute could prohibit or delay mergers or other takeover or change in control attempts with respect to us and, accordingly, may discourage attempts to acquire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Our restated certificate of incorporation limits the liability of our officers and directors to the fullest extent permitted by the Delaware General Corporation Law, and our restated certificate of incorporation and restated bylaws provide that we will indemnify our officers and directors to the fullest extent permitted by such law.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Mintz, Levin, Cohn, Ferris, Glovsky and Popeo, P.C., New York, New York, will pass upon the validity of the issuance of the securities offered by this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The consolidated financial statements of Vringo, Inc. and subsidiaries as of December 31, 2014 and for the year then ended and management’s assessment of the effectiveness of internal control over financial reporting as of December 31, 2014 have been incorporated by reference herein and in the registration statement in reliance upon the reports of KPMG LLP, independent registered public accounting firm, incorporated by reference herein, and upon the authority of said firm as experts in accounting and auditing. The audit report dated March 16, 2015 covering the consolidated financial statements as of December 31, 2014 and for the year then ended contains an explanatory paragraph that the Company has suffered recurring losses from operations and negative cash flows from operating activities and may not have sufficient cash or available sources of liquidity to support operating requirements that raises substantial doubt about its ability to continue as a going concern. The consolidated financial statements do not include any adjustments that might result from the outcome of this uncertainty.</w:t>
      </w:r>
    </w:p>
    <w:p>
      <w:pPr>
        <w:spacing w:after="0" w:line="192"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consolidated financial statements of Vringo, Inc. and subsidiaries as of December 31, 2013 and for each of the years in the two-year period ended December 31, 2013 have been incorporated by reference herein and in the registration statement in reliance upon the report of Somekh Chaikin, a member firm of KPMG International, independent registered public accounting firm, incorporated by reference herein, and upon the authority of said firm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 xml:space="preserve">We are subject to the reporting requirements of the Securities Exchange Act of 1934, as amended,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 site at </w:t>
      </w:r>
      <w:r>
        <w:rPr>
          <w:rFonts w:ascii="Arial" w:cs="Arial" w:eastAsia="Arial" w:hAnsi="Arial"/>
          <w:sz w:val="18"/>
          <w:szCs w:val="18"/>
          <w:u w:val="single" w:color="auto"/>
          <w:color w:val="auto"/>
        </w:rPr>
        <w:t>http://www.sec.gov</w:t>
      </w:r>
      <w:r>
        <w:rPr>
          <w:rFonts w:ascii="Arial" w:cs="Arial" w:eastAsia="Arial" w:hAnsi="Arial"/>
          <w:sz w:val="18"/>
          <w:szCs w:val="18"/>
          <w:i w:val="1"/>
          <w:iCs w:val="1"/>
          <w:color w:val="auto"/>
        </w:rPr>
        <w:t>.</w:t>
      </w:r>
    </w:p>
    <w:p>
      <w:pPr>
        <w:spacing w:after="0" w:line="188"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www.vringoip.com</w:t>
      </w:r>
      <w:r>
        <w:rPr>
          <w:rFonts w:ascii="Arial" w:cs="Arial" w:eastAsia="Arial" w:hAnsi="Arial"/>
          <w:sz w:val="18"/>
          <w:szCs w:val="18"/>
          <w:color w:val="auto"/>
        </w:rPr>
        <w:t>, through which you can access our SEC filings. The information set forth on, or accessible from, our website is not part of this prospectus.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of 1933, as amended,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95"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Annual Report on Form 10-K for the fiscal year ended December 31, 2014, filed on March 16, 2015, as amended on April 30, 2015;</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Quarterly Report on Form 10-Q, filed on May 5, 2015;</w:t>
      </w:r>
    </w:p>
    <w:p>
      <w:pPr>
        <w:spacing w:after="0" w:line="225"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Current Reports on Form 8-K, filed on July 17, 2015, June 24, 2015, June 18, 2015, May 4, 2015 and January 23, 2015 (other than the portions of those reports not deemed to be filed);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description of our common stock and public warrants contained in our Registration Statement on Form 8-A, filed on April 29, 2013 (File No. 001-34785); and</w:t>
      </w:r>
    </w:p>
    <w:p>
      <w:pPr>
        <w:spacing w:after="0" w:line="170" w:lineRule="exact"/>
        <w:rPr>
          <w:rFonts w:ascii="Arial" w:cs="Arial" w:eastAsia="Arial" w:hAnsi="Arial"/>
          <w:sz w:val="18"/>
          <w:szCs w:val="18"/>
          <w:color w:val="auto"/>
        </w:rPr>
      </w:pPr>
    </w:p>
    <w:p>
      <w:pPr>
        <w:ind w:left="980" w:right="160" w:hanging="324"/>
        <w:spacing w:after="0" w:line="286"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noted, the SEC file number for each of the documents listed above is 001-34785.</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7"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You may request, orally or in writing, a copy of any or all of the documents incorporated herein by reference. These documents will be provided to you at no cost, by contacting: Investor Relations, Vringo, Inc., 780 Third Avenue,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10017 or call (212) 309-7549.</w:t>
      </w:r>
    </w:p>
    <w:p>
      <w:pPr>
        <w:spacing w:after="0" w:line="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2019-12-08T19:38:11Z</dcterms:created>
  <dcterms:modified xsi:type="dcterms:W3CDTF">2019-12-08T19:38:11Z</dcterms:modified>
</cp:coreProperties>
</file>