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512176d1_8k.htm"/>
      <w:bookmarkStart w:id="1" w:name="kstm2512176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504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April 10, 2025</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5"/>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9_edei--EntityFileNumber_c20250410"/>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vAlign w:val="center"/>
          </w:tcPr>
          <w:p>
            <w:pPr>
              <w:pStyle w:val="TableContents"/>
              <w:bidi w:val="0"/>
              <w:spacing w:before="0" w:after="283"/>
              <w:jc w:val="center"/>
              <w:rPr/>
            </w:pPr>
            <w:bookmarkStart w:id="8" w:name="xdx_90B_edei--EntityAddressAddressLine1_"/>
            <w:bookmarkEnd w:id="8"/>
            <w:r>
              <w:rPr>
                <w:b/>
                <w:sz w:val="20"/>
              </w:rPr>
              <w:t>254 West 31</w:t>
            </w:r>
            <w:r>
              <w:rPr>
                <w:b/>
                <w:position w:val="7"/>
                <w:sz w:val="16"/>
                <w:sz w:val="20"/>
              </w:rPr>
              <w:t>st</w:t>
            </w:r>
            <w:r>
              <w:rPr>
                <w:b/>
                <w:sz w:val="20"/>
              </w:rPr>
              <w:t xml:space="preserve"> Street, </w:t>
            </w:r>
            <w:bookmarkStart w:id="9" w:name="xdx_901_edei--EntityAddressAddressLine2_"/>
            <w:bookmarkEnd w:id="9"/>
            <w:r>
              <w:rPr>
                <w:b/>
                <w:sz w:val="20"/>
              </w:rPr>
              <w:t>11</w:t>
            </w:r>
            <w:r>
              <w:rPr>
                <w:b/>
                <w:position w:val="7"/>
                <w:sz w:val="16"/>
                <w:sz w:val="20"/>
              </w:rPr>
              <w:t xml:space="preserve">th </w:t>
            </w:r>
            <w:r>
              <w:rPr>
                <w:b/>
                <w:sz w:val="20"/>
              </w:rPr>
              <w:t xml:space="preserve">Floor, </w:t>
            </w:r>
            <w:bookmarkStart w:id="10" w:name="xdx_905_edei--EntityAddressCityOrTown_c2"/>
            <w:bookmarkEnd w:id="10"/>
            <w:r>
              <w:rPr>
                <w:b/>
                <w:sz w:val="20"/>
              </w:rPr>
              <w:t xml:space="preserve">New York, </w:t>
            </w:r>
            <w:bookmarkStart w:id="11" w:name="xdx_901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4_edei--EntityAddressPostalZipCode"/>
            <w:bookmarkEnd w:id="12"/>
            <w:r>
              <w:rPr>
                <w:b/>
                <w:sz w:val="20"/>
              </w:rPr>
              <w:t>10001</w:t>
            </w:r>
          </w:p>
        </w:tc>
      </w:tr>
      <w:tr>
        <w:trPr/>
        <w:tc>
          <w:tcPr>
            <w:tcW w:w="461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E_edei--CityAreaCode_c20250410__20"/>
      <w:bookmarkEnd w:id="13"/>
      <w:r>
        <w:rPr>
          <w:rFonts w:ascii="Times New Roman;Times;Serif" w:hAnsi="Times New Roman;Times;Serif"/>
          <w:b/>
          <w:i w:val="false"/>
          <w:caps w:val="false"/>
          <w:smallCaps w:val="false"/>
          <w:sz w:val="20"/>
        </w:rPr>
        <w:t xml:space="preserve">212) </w:t>
      </w:r>
      <w:bookmarkStart w:id="14" w:name="xdx_905_edei--LocalPhoneNumber_c20250410"/>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3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9_edei--SolicitingMaterial_c202504"/>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C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5_edei--Security12bTitle_c20250410"/>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6_edei--TradingSymbol_c20250410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0_edei--SecurityExchangeName_c2025"/>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below under Item 5.07 of this Current Report on Form 8-K, XWELL, Inc. (the “Company”) held a special meeting of stockholders on April 10, 2025 (the “Special Meeting”), at which Special Meeting the Company’s stockholders approved an amendment (the “Incentive Plan Amendment”) to the XWELL, Inc. 2020 Equity Incentive Plan (the “Incentive Plan”) to (i) increase the aggregate number of shares of the Company’s common stock, par value $0.01 per share (the “Common Stock”), available for the grant of awards under the Incentive Plan by 2,500,000, to a total of 3,125,000 shares of Common Stock and (ii) increase the maximum number of shares of Common Stock subject to awards granted during a single fiscal year to any director who is not an employee or consultant during the fiscal year to $750,000.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 Incentive Plan Amendment, see the Company’s definitive proxy statement on Schedule 14A filed with the Securities and Exchange Commission on February 28, 2025 (the “Proxy Statement”), the relevant portions of which are incorporated herein by reference. The foregoing description of the Incentive Plan Amendment does not purport to be complete and is qualified in its entirety by reference to the complete text of the Incentive Plan Amendment, a copy of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April 10, 2025, the Company held the Special Meeting. At the Special Meeting, the Company’s stockholders voted on the five proposals described below.</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As of the record date for the Special Meeting, there were (i) 5,261,024 shares of Common Stock outstanding and entitled to vote on each matter presented for vote at the Special Meeting and (ii) 4,000 shares of Series G Convertible Preferred Stock, par value $0.01 per share (the “Series G Preferred Stock”), outstanding and pursuant to the terms of the Series G Preferred Stock as set forth in the certificate of designations for the Series G Preferred Stock (and subject to certain beneficial ownership limitations applicable to certain holders of Series G Preferred Stock as set forth therein, entitled to 262,525 votes on an as-converted basis) entitled to vote on each matter presented for vote at the Special Meeting, except for Proposal 1, which such holders were not entitled to vote the shares of Series G Preferred Stock on. At the Special Meeting, 3,251,366 of the total outstanding shares of common stock were represented in person or by proxy.</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final results for each of the matters submitted to a vote of stockholders at the Special Meeting are as follows:</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Proposal 1</w:t>
      </w:r>
      <w:r>
        <w:rPr>
          <w:rFonts w:ascii="Times New Roman;Times;Serif" w:hAnsi="Times New Roman;Times;Serif"/>
          <w:b w:val="false"/>
          <w:i w:val="false"/>
          <w:caps w:val="false"/>
          <w:smallCaps w:val="false"/>
          <w:color w:val="212529"/>
          <w:sz w:val="20"/>
        </w:rPr>
        <w:t>: The issuance, for purposes of complying with Nasdaq Listing Rule 5635(d), of shares of our Common Stock underlying shares of Series G Preferred Stock, Series A warrants (the “Series A Warrants”) and Series B warrants (the “Series B Warrants,” and together with the Series A Warrants, the “Warrants”) issued by us pursuant to the terms of that certain Securities Purchase Agreement, dated as of January 14, 2025, by and among the Company and the investors named therein, in an amount equal to or in excess of 20% of the Company’s Common Stock outstanding immediately prior to the issuance of such Series G Preferred Stock and Warrants (including any amortization and/or dividend make-whole payments made to the holders of the Series G Preferred Stock in the form of issuance of shares of Common Stock pursuant to certain provisions applicable to such Series G Preferred Stock and Warrants in accordance with their terms) (“Proposal 1”), was authorized,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594" w:type="dxa"/>
        <w:jc w:val="left"/>
        <w:tblInd w:w="0" w:type="dxa"/>
        <w:tblLayout w:type="fixed"/>
        <w:tblCellMar>
          <w:top w:w="0" w:type="dxa"/>
          <w:left w:w="0" w:type="dxa"/>
          <w:bottom w:w="28" w:type="dxa"/>
          <w:right w:w="0" w:type="dxa"/>
        </w:tblCellMar>
      </w:tblPr>
      <w:tblGrid>
        <w:gridCol w:w="75"/>
        <w:gridCol w:w="845"/>
        <w:gridCol w:w="60"/>
        <w:gridCol w:w="60"/>
        <w:gridCol w:w="60"/>
        <w:gridCol w:w="695"/>
        <w:gridCol w:w="60"/>
        <w:gridCol w:w="60"/>
        <w:gridCol w:w="91"/>
        <w:gridCol w:w="904"/>
        <w:gridCol w:w="60"/>
        <w:gridCol w:w="60"/>
        <w:gridCol w:w="98"/>
        <w:gridCol w:w="1391"/>
        <w:gridCol w:w="75"/>
      </w:tblGrid>
      <w:tr>
        <w:trPr/>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1,329,306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328,079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 w:type="dxa"/>
            <w:tcBorders/>
            <w:shd w:fill="CCEEFF" w:val="clear"/>
            <w:tcMar>
              <w:bottom w:w="0" w:type="dxa"/>
            </w:tcMar>
            <w:vAlign w:val="center"/>
          </w:tcPr>
          <w:p>
            <w:pPr>
              <w:pStyle w:val="TableContents"/>
              <w:bidi w:val="0"/>
              <w:spacing w:before="0" w:after="283"/>
              <w:jc w:val="center"/>
              <w:rPr/>
            </w:pPr>
            <w:r>
              <w:rPr/>
              <w:t> </w:t>
            </w:r>
          </w:p>
        </w:tc>
        <w:tc>
          <w:tcPr>
            <w:tcW w:w="904"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16,562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8" w:type="dxa"/>
            <w:tcBorders/>
            <w:shd w:fill="CCEEFF" w:val="clear"/>
            <w:tcMar>
              <w:bottom w:w="0" w:type="dxa"/>
            </w:tcMar>
            <w:vAlign w:val="center"/>
          </w:tcPr>
          <w:p>
            <w:pPr>
              <w:pStyle w:val="TableContents"/>
              <w:bidi w:val="0"/>
              <w:spacing w:before="0" w:after="283"/>
              <w:jc w:val="center"/>
              <w:rPr/>
            </w:pPr>
            <w:r>
              <w:rPr/>
              <w:t> </w:t>
            </w:r>
          </w:p>
        </w:tc>
        <w:tc>
          <w:tcPr>
            <w:tcW w:w="1391"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1,577,419</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Proposal 2</w:t>
      </w:r>
      <w:r>
        <w:rPr>
          <w:rFonts w:ascii="Times New Roman;Times;Serif" w:hAnsi="Times New Roman;Times;Serif"/>
          <w:b w:val="false"/>
          <w:i w:val="false"/>
          <w:caps w:val="false"/>
          <w:smallCaps w:val="false"/>
          <w:color w:val="212529"/>
          <w:sz w:val="20"/>
        </w:rPr>
        <w:t>: The amendment to the Company’s Amended and Restated Certificate of Incorporation to classify the board of directors into two classes, with the directors in each class to serve staggered two-year terms was not approved,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594" w:type="dxa"/>
        <w:jc w:val="left"/>
        <w:tblInd w:w="0" w:type="dxa"/>
        <w:tblLayout w:type="fixed"/>
        <w:tblCellMar>
          <w:top w:w="0" w:type="dxa"/>
          <w:left w:w="0" w:type="dxa"/>
          <w:bottom w:w="28" w:type="dxa"/>
          <w:right w:w="0" w:type="dxa"/>
        </w:tblCellMar>
      </w:tblPr>
      <w:tblGrid>
        <w:gridCol w:w="75"/>
        <w:gridCol w:w="845"/>
        <w:gridCol w:w="60"/>
        <w:gridCol w:w="60"/>
        <w:gridCol w:w="60"/>
        <w:gridCol w:w="695"/>
        <w:gridCol w:w="60"/>
        <w:gridCol w:w="60"/>
        <w:gridCol w:w="91"/>
        <w:gridCol w:w="904"/>
        <w:gridCol w:w="60"/>
        <w:gridCol w:w="60"/>
        <w:gridCol w:w="98"/>
        <w:gridCol w:w="1391"/>
        <w:gridCol w:w="75"/>
      </w:tblGrid>
      <w:tr>
        <w:trPr/>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1,287,324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530,101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 w:type="dxa"/>
            <w:tcBorders/>
            <w:shd w:fill="CCEEFF" w:val="clear"/>
            <w:tcMar>
              <w:bottom w:w="0" w:type="dxa"/>
            </w:tcMar>
            <w:vAlign w:val="center"/>
          </w:tcPr>
          <w:p>
            <w:pPr>
              <w:pStyle w:val="TableContents"/>
              <w:bidi w:val="0"/>
              <w:spacing w:before="0" w:after="283"/>
              <w:jc w:val="center"/>
              <w:rPr/>
            </w:pPr>
            <w:r>
              <w:rPr/>
              <w:t> </w:t>
            </w:r>
          </w:p>
        </w:tc>
        <w:tc>
          <w:tcPr>
            <w:tcW w:w="904"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25,302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8" w:type="dxa"/>
            <w:tcBorders/>
            <w:shd w:fill="CCEEFF" w:val="clear"/>
            <w:tcMar>
              <w:bottom w:w="0" w:type="dxa"/>
            </w:tcMar>
            <w:vAlign w:val="center"/>
          </w:tcPr>
          <w:p>
            <w:pPr>
              <w:pStyle w:val="TableContents"/>
              <w:bidi w:val="0"/>
              <w:spacing w:before="0" w:after="283"/>
              <w:jc w:val="center"/>
              <w:rPr/>
            </w:pPr>
            <w:r>
              <w:rPr/>
              <w:t> </w:t>
            </w:r>
          </w:p>
        </w:tc>
        <w:tc>
          <w:tcPr>
            <w:tcW w:w="1391"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1,408,639</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Proposal 3</w:t>
      </w:r>
      <w:r>
        <w:rPr>
          <w:rFonts w:ascii="Times New Roman;Times;Serif" w:hAnsi="Times New Roman;Times;Serif"/>
          <w:b w:val="false"/>
          <w:i w:val="false"/>
          <w:caps w:val="false"/>
          <w:smallCaps w:val="false"/>
          <w:color w:val="212529"/>
          <w:sz w:val="20"/>
        </w:rPr>
        <w:t>: The amendment to the Incentive Plan to (i) increase the aggregate number of shares of Common Stock available for the grant of awards under the Incentive Plan by 2,500,000, to a total of 3,125,000 shares of Common Stock and (ii) increase the maximum number of shares of Common Stock subject to awards granted during a single fiscal year to any director who is not an employee or consultant during the fiscal year to $750,000 was approved,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594" w:type="dxa"/>
        <w:jc w:val="left"/>
        <w:tblInd w:w="0" w:type="dxa"/>
        <w:tblLayout w:type="fixed"/>
        <w:tblCellMar>
          <w:top w:w="0" w:type="dxa"/>
          <w:left w:w="0" w:type="dxa"/>
          <w:bottom w:w="28" w:type="dxa"/>
          <w:right w:w="0" w:type="dxa"/>
        </w:tblCellMar>
      </w:tblPr>
      <w:tblGrid>
        <w:gridCol w:w="75"/>
        <w:gridCol w:w="845"/>
        <w:gridCol w:w="60"/>
        <w:gridCol w:w="60"/>
        <w:gridCol w:w="60"/>
        <w:gridCol w:w="695"/>
        <w:gridCol w:w="60"/>
        <w:gridCol w:w="60"/>
        <w:gridCol w:w="109"/>
        <w:gridCol w:w="886"/>
        <w:gridCol w:w="60"/>
        <w:gridCol w:w="60"/>
        <w:gridCol w:w="98"/>
        <w:gridCol w:w="1391"/>
        <w:gridCol w:w="75"/>
      </w:tblGrid>
      <w:tr>
        <w:trPr/>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1,176,805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664,487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9" w:type="dxa"/>
            <w:tcBorders/>
            <w:shd w:fill="CCEEFF" w:val="clear"/>
            <w:tcMar>
              <w:bottom w:w="0" w:type="dxa"/>
            </w:tcMar>
            <w:vAlign w:val="center"/>
          </w:tcPr>
          <w:p>
            <w:pPr>
              <w:pStyle w:val="TableContents"/>
              <w:bidi w:val="0"/>
              <w:spacing w:before="0" w:after="283"/>
              <w:jc w:val="center"/>
              <w:rPr/>
            </w:pPr>
            <w:r>
              <w:rPr/>
              <w:t> </w:t>
            </w:r>
          </w:p>
        </w:tc>
        <w:tc>
          <w:tcPr>
            <w:tcW w:w="886"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1,435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8" w:type="dxa"/>
            <w:tcBorders/>
            <w:shd w:fill="CCEEFF" w:val="clear"/>
            <w:tcMar>
              <w:bottom w:w="0" w:type="dxa"/>
            </w:tcMar>
            <w:vAlign w:val="center"/>
          </w:tcPr>
          <w:p>
            <w:pPr>
              <w:pStyle w:val="TableContents"/>
              <w:bidi w:val="0"/>
              <w:spacing w:before="0" w:after="283"/>
              <w:jc w:val="center"/>
              <w:rPr/>
            </w:pPr>
            <w:r>
              <w:rPr/>
              <w:t> </w:t>
            </w:r>
          </w:p>
        </w:tc>
        <w:tc>
          <w:tcPr>
            <w:tcW w:w="1391"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1,408,639</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Proposal 4</w:t>
      </w:r>
      <w:r>
        <w:rPr>
          <w:rFonts w:ascii="Times New Roman;Times;Serif" w:hAnsi="Times New Roman;Times;Serif"/>
          <w:b w:val="false"/>
          <w:i w:val="false"/>
          <w:caps w:val="false"/>
          <w:smallCaps w:val="false"/>
          <w:color w:val="212529"/>
          <w:sz w:val="20"/>
        </w:rPr>
        <w:t>: The appointment of CBIZ CPAs P.C. as the Company’s independent registered public accounting firm for the fiscal year ending December 31, 2025, was ratified,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594" w:type="dxa"/>
        <w:jc w:val="left"/>
        <w:tblInd w:w="0" w:type="dxa"/>
        <w:tblLayout w:type="fixed"/>
        <w:tblCellMar>
          <w:top w:w="0" w:type="dxa"/>
          <w:left w:w="0" w:type="dxa"/>
          <w:bottom w:w="28" w:type="dxa"/>
          <w:right w:w="0" w:type="dxa"/>
        </w:tblCellMar>
      </w:tblPr>
      <w:tblGrid>
        <w:gridCol w:w="75"/>
        <w:gridCol w:w="845"/>
        <w:gridCol w:w="60"/>
        <w:gridCol w:w="60"/>
        <w:gridCol w:w="60"/>
        <w:gridCol w:w="695"/>
        <w:gridCol w:w="60"/>
        <w:gridCol w:w="60"/>
        <w:gridCol w:w="91"/>
        <w:gridCol w:w="904"/>
        <w:gridCol w:w="60"/>
        <w:gridCol w:w="60"/>
        <w:gridCol w:w="637"/>
        <w:gridCol w:w="852"/>
        <w:gridCol w:w="75"/>
      </w:tblGrid>
      <w:tr>
        <w:trPr/>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2,918,213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295,029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 w:type="dxa"/>
            <w:tcBorders/>
            <w:shd w:fill="CCEEFF" w:val="clear"/>
            <w:tcMar>
              <w:bottom w:w="0" w:type="dxa"/>
            </w:tcMar>
            <w:vAlign w:val="center"/>
          </w:tcPr>
          <w:p>
            <w:pPr>
              <w:pStyle w:val="TableContents"/>
              <w:bidi w:val="0"/>
              <w:spacing w:before="0" w:after="283"/>
              <w:jc w:val="center"/>
              <w:rPr/>
            </w:pPr>
            <w:r>
              <w:rPr/>
              <w:t> </w:t>
            </w:r>
          </w:p>
        </w:tc>
        <w:tc>
          <w:tcPr>
            <w:tcW w:w="904"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212529"/>
                <w:sz w:val="20"/>
              </w:rPr>
            </w:pPr>
            <w:r>
              <w:rPr>
                <w:rFonts w:ascii="Times New Roman;Times;Serif" w:hAnsi="Times New Roman;Times;Serif"/>
                <w:color w:val="212529"/>
                <w:sz w:val="20"/>
              </w:rPr>
              <w:t>38,124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37" w:type="dxa"/>
            <w:tcBorders/>
            <w:shd w:fill="CCEEFF" w:val="clear"/>
            <w:tcMar>
              <w:bottom w:w="0" w:type="dxa"/>
            </w:tcMar>
            <w:vAlign w:val="center"/>
          </w:tcPr>
          <w:p>
            <w:pPr>
              <w:pStyle w:val="TableContents"/>
              <w:bidi w:val="0"/>
              <w:spacing w:before="0" w:after="283"/>
              <w:jc w:val="center"/>
              <w:rPr/>
            </w:pPr>
            <w:r>
              <w:rPr/>
              <w:t> </w:t>
            </w:r>
          </w:p>
        </w:tc>
        <w:tc>
          <w:tcPr>
            <w:tcW w:w="852"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Proposal 5</w:t>
      </w:r>
      <w:r>
        <w:rPr>
          <w:rFonts w:ascii="Times New Roman;Times;Serif" w:hAnsi="Times New Roman;Times;Serif"/>
          <w:b w:val="false"/>
          <w:i w:val="false"/>
          <w:caps w:val="false"/>
          <w:smallCaps w:val="false"/>
          <w:color w:val="212529"/>
          <w:sz w:val="20"/>
        </w:rPr>
        <w:t>: The proposal to adjourn the Special Meeting to a later date or dates, if necessary or appropriate, to permit further solicitation and vote of proxies in the event that there are insufficient votes for, or otherwise in connection with, the approval of any one or more of the proposals presented at the Special Meeting, was approved, having received the following votes:</w:t>
      </w:r>
    </w:p>
    <w:p>
      <w:pPr>
        <w:pStyle w:val="TextBody"/>
        <w:bidi w:val="0"/>
        <w:spacing w:before="0" w:after="0"/>
        <w:ind w:left="0" w:right="0" w:hanging="0"/>
        <w:jc w:val="left"/>
        <w:rPr>
          <w:caps w:val="false"/>
          <w:smallCaps w:val="false"/>
        </w:rPr>
      </w:pPr>
      <w:r>
        <w:rPr>
          <w:caps w:val="false"/>
          <w:smallCaps w:val="false"/>
        </w:rPr>
        <w:t> </w:t>
      </w:r>
    </w:p>
    <w:tbl>
      <w:tblPr>
        <w:tblW w:w="3965" w:type="dxa"/>
        <w:jc w:val="left"/>
        <w:tblInd w:w="0" w:type="dxa"/>
        <w:tblLayout w:type="fixed"/>
        <w:tblCellMar>
          <w:top w:w="0" w:type="dxa"/>
          <w:left w:w="0" w:type="dxa"/>
          <w:bottom w:w="28" w:type="dxa"/>
          <w:right w:w="0" w:type="dxa"/>
        </w:tblCellMar>
      </w:tblPr>
      <w:tblGrid>
        <w:gridCol w:w="860"/>
        <w:gridCol w:w="60"/>
        <w:gridCol w:w="695"/>
        <w:gridCol w:w="60"/>
        <w:gridCol w:w="665"/>
        <w:gridCol w:w="60"/>
        <w:gridCol w:w="156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2,608,627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605,781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36,958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 foregoing proposals, see the Proxy Statement, the relevant portions of which are incorporated herein by reference. The results reported above are final voting results. No other matters were considered or voted upon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28" w:type="dxa"/>
          <w:right w:w="0" w:type="dxa"/>
        </w:tblCellMar>
      </w:tblPr>
      <w:tblGrid>
        <w:gridCol w:w="1400"/>
        <w:gridCol w:w="60"/>
        <w:gridCol w:w="6485"/>
      </w:tblGrid>
      <w:tr>
        <w:trPr/>
        <w:tc>
          <w:tcPr>
            <w:tcW w:w="14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tcMar>
              <w:bottom w:w="0" w:type="dxa"/>
            </w:tcMar>
            <w:vAlign w:val="center"/>
          </w:tcPr>
          <w:p>
            <w:pPr>
              <w:pStyle w:val="TableContents"/>
              <w:bidi w:val="0"/>
              <w:spacing w:before="0" w:after="283"/>
              <w:jc w:val="center"/>
              <w:rPr/>
            </w:pPr>
            <w:hyperlink w:anchor="tm2512176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512176d1_ex10-1.htm">
              <w:r>
                <w:rPr>
                  <w:rStyle w:val="InternetLink"/>
                  <w:rFonts w:ascii="Times New Roman;Times;Serif" w:hAnsi="Times New Roman;Times;Serif"/>
                  <w:sz w:val="20"/>
                </w:rPr>
                <w:t>Amendment to the XWELL, Inc. 2020 Equity Incentive Plan</w:t>
              </w:r>
            </w:hyperlink>
          </w:p>
        </w:tc>
      </w:tr>
      <w:tr>
        <w:trPr/>
        <w:tc>
          <w:tcPr>
            <w:tcW w:w="14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340" w:type="dxa"/>
        <w:jc w:val="left"/>
        <w:tblInd w:w="0" w:type="dxa"/>
        <w:tblLayout w:type="fixed"/>
        <w:tblCellMar>
          <w:top w:w="0" w:type="dxa"/>
          <w:left w:w="0" w:type="dxa"/>
          <w:bottom w:w="0" w:type="dxa"/>
          <w:right w:w="0" w:type="dxa"/>
        </w:tblCellMar>
      </w:tblPr>
      <w:tblGrid>
        <w:gridCol w:w="1700"/>
        <w:gridCol w:w="545"/>
        <w:gridCol w:w="3095"/>
      </w:tblGrid>
      <w:tr>
        <w:trPr/>
        <w:tc>
          <w:tcPr>
            <w:tcW w:w="1700"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XWELL, Inc.</w:t>
            </w:r>
          </w:p>
        </w:tc>
      </w:tr>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11, 2025</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Ezra T. Ernst</w:t>
            </w:r>
          </w:p>
        </w:tc>
      </w:tr>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r>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tm2512176d1_ex10-1.htm"/>
      <w:bookmarkStart w:id="24" w:name="kstm2512176d1_ex101"/>
      <w:bookmarkEnd w:id="23"/>
      <w:bookmarkEnd w:id="24"/>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w:t>
        <w:br/>
      </w:r>
      <w:r>
        <w:rPr>
          <w:rFonts w:ascii="Times New Roman;Times;Serif" w:hAnsi="Times New Roman;Times;Serif"/>
          <w:b/>
          <w:i w:val="false"/>
          <w:caps/>
          <w:sz w:val="20"/>
        </w:rPr>
        <w:t>XWELL, Inc. 2020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TO </w:t>
      </w:r>
      <w:r>
        <w:rPr>
          <w:rFonts w:ascii="Times New Roman;Times;Serif" w:hAnsi="Times New Roman;Times;Serif"/>
          <w:b w:val="false"/>
          <w:i w:val="false"/>
          <w:caps/>
          <w:sz w:val="20"/>
        </w:rPr>
        <w:t>xwell, Inc. 2020 Equity Incentive Plan (</w:t>
      </w:r>
      <w:r>
        <w:rPr>
          <w:rFonts w:ascii="Times New Roman;Times;Serif" w:hAnsi="Times New Roman;Times;Serif"/>
          <w:b w:val="false"/>
          <w:i w:val="false"/>
          <w:caps w:val="false"/>
          <w:smallCaps w:val="false"/>
          <w:sz w:val="20"/>
        </w:rPr>
        <w:t>as amended October 4, 2022</w:t>
      </w:r>
      <w:r>
        <w:rPr>
          <w:rFonts w:ascii="Times New Roman;Times;Serif" w:hAnsi="Times New Roman;Times;Serif"/>
          <w:b w:val="false"/>
          <w:i w:val="false"/>
          <w:caps/>
          <w:sz w:val="20"/>
        </w:rPr>
        <w:t>)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effective as of February 13, 2025, is made and entered into by XWELL,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Terms used in this Amendment with initial capital letters that are not otherwise defined herein shall have the meanings ascribed to such terms in the XWELL, Inc. 2020 Equity Incentive Plan </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as amended October 4, 2022</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sponsors and maintains the Plan in order to attract and retain the services of key employees, consultants, and outside directors of the Company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13 of the Plan provides that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may amend the Plan at any time, and from time to time, provided that no amendment shall be effective unless approved by the stockholders of the Company to the extent stockholder approval is necessary to satisfy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upon the adoption of the Plan, subject to adjustment, the Company initially reserved a maximum aggregate number of 5,000,000 shares of Common of Stock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an amendment to the Plan effective October 4, 2022, subject to adjustment, the Company increased the maximum aggregate number of shares of Common Stock available for issuance under the Plan by 7,500,000 shares resulting in a maximum aggregate amount of 12,500,000 shares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September 28, 2023, the Company effected a 1-for-20 reverse stock split of its issued and outstanding shares of Common Stock that, after giving effect to the reverse stock split and other adjustments, there was a maximum aggregate number of 625,000 shares of Common Stock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desires to amend the Plan to increase the maximum aggregate number of shares of Common Stock available for issuance under the Plan by an additional 2,500,000 shares of Common Stock resulting in a maximum aggregate amount of 3,125,000 shares available for issuance under the Plan (on a post-split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desires to amend the Plan to increase the maximum number of shares of Common Stock subject to Awards granted during a single Fiscal Year to any non-employee director during the Fiscal Year by a value of $350,000 resulting in a maximum annual value of $750,000;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intends to submit this Amendment to the Company’s stockholders for their approval in accordance with Section 13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accordance with Section 13 of the Plan, and subject to the approval of the Company’s stockholders, the Company hereby amends the Plan, effective as of the date hereof,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Section 4.1 of the Plan is hereby amended by deleting the first sentence and substituting in lieu thereof the following new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Subject to adjustment in accordance with Section 11, the maximum aggregate number of shares of Common Stock available for issuance under the Plan is 3,125,000 shares plus the number of shares of Common Stock subject to outstanding awards under the Prior Plan or any predecessor plans as of the Effective Date which thereafter are forfeited, settled in cash or cancelled or expire or are reacquired by the Company (the “</w:t>
      </w:r>
      <w:r>
        <w:rPr>
          <w:rFonts w:ascii="Times New Roman;Times;Serif" w:hAnsi="Times New Roman;Times;Serif"/>
          <w:b/>
          <w:i w:val="false"/>
          <w:caps w:val="false"/>
          <w:smallCaps w:val="false"/>
          <w:sz w:val="20"/>
        </w:rPr>
        <w:t>Total Share Reserve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Section 4.3 of the Plan is hereby amended by deleting said section in its entirety and substituting in lieu thereof the following new Section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Subject to adjustment in accordance with Section 11, no more than 3,125,000 shares of Common Stock may be issued in the aggregate pursuant to the exercise of Incentive Stock Options (the “</w:t>
      </w:r>
      <w:r>
        <w:rPr>
          <w:rFonts w:ascii="Times New Roman;Times;Serif" w:hAnsi="Times New Roman;Times;Serif"/>
          <w:b/>
          <w:i w:val="false"/>
          <w:caps w:val="false"/>
          <w:smallCaps w:val="false"/>
          <w:sz w:val="20"/>
        </w:rPr>
        <w:t>ISO Limit”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Section 4.4 of the Plan is hereby amended by deleting said section in its entirety and substituting in lieu thereof the following new Section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The maximum number of shares of Common Stock subject to Awards granted during a single Fiscal Year to any Director who is not an Employee or Consultant during the Fiscal Year shall not exceed a total value of $750,000 (calculating the value of any Awards based on the grant date fair value for financial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Amendment shall be effective on the date first set forth above. In the event stockholder approval of this Amendment is not obtained within twelve (12) months of the date the Board approved this Amendment, the additional shares added to the Plan pursuant to this Amendment shall not be available for grant as Incentive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Except as expressly amended by this Amendment, the Plan shall continue in full force and effect in accordance with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caused this Amendment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80"/>
        <w:gridCol w:w="545"/>
        <w:gridCol w:w="1955"/>
      </w:tblGrid>
      <w:tr>
        <w:trPr/>
        <w:tc>
          <w:tcPr>
            <w:tcW w:w="8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XWELL, Inc.</w:t>
            </w:r>
          </w:p>
        </w:tc>
      </w:tr>
      <w:tr>
        <w:trPr/>
        <w:tc>
          <w:tcPr>
            <w:tcW w:w="80" w:type="dxa"/>
            <w:tcBorders/>
            <w:vAlign w:val="center"/>
          </w:tcPr>
          <w:p>
            <w:pPr>
              <w:pStyle w:val="TableContents"/>
              <w:bidi w:val="0"/>
              <w:spacing w:before="0" w:after="283"/>
              <w:jc w:val="both"/>
              <w:rPr/>
            </w:pPr>
            <w:r>
              <w:rPr/>
              <w:t> </w:t>
            </w:r>
          </w:p>
        </w:tc>
        <w:tc>
          <w:tcPr>
            <w:tcW w:w="2500"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Ezra T. Ernst</w:t>
            </w:r>
          </w:p>
        </w:tc>
      </w:tr>
      <w:tr>
        <w:trPr/>
        <w:tc>
          <w:tcPr>
            <w:tcW w:w="8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pPr>
            <w:r>
              <w:rPr/>
              <w:t> </w:t>
            </w:r>
            <w:r>
              <w:rPr>
                <w:rFonts w:ascii="Times New Roman;Times;Serif" w:hAnsi="Times New Roman;Times;Serif"/>
                <w:sz w:val="20"/>
              </w:rPr>
              <w:t>Ezra T. Ernst</w:t>
            </w:r>
          </w:p>
        </w:tc>
      </w:tr>
      <w:tr>
        <w:trPr/>
        <w:tc>
          <w:tcPr>
            <w:tcW w:w="8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2132</Words>
  <Characters>11155</Characters>
  <CharactersWithSpaces>13390</CharactersWithSpaces>
  <Paragraphs>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