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October 1, 2019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02"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70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0" w:lineRule="exact"/>
        <w:rPr>
          <w:sz w:val="24"/>
          <w:szCs w:val="24"/>
          <w:color w:val="auto"/>
        </w:rPr>
      </w:pPr>
    </w:p>
    <w:tbl>
      <w:tblPr>
        <w:tblLayout w:type="fixed"/>
        <w:tblInd w:w="310" w:type="dxa"/>
        <w:tblCellMar>
          <w:top w:w="0" w:type="dxa"/>
          <w:left w:w="0" w:type="dxa"/>
          <w:bottom w:w="0" w:type="dxa"/>
          <w:right w:w="0" w:type="dxa"/>
        </w:tblCellMar>
      </w:tblPr>
      <w:tr>
        <w:trPr>
          <w:trHeight w:val="270"/>
        </w:trPr>
        <w:tc>
          <w:tcPr>
            <w:tcW w:w="44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28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36"/>
        </w:trPr>
        <w:tc>
          <w:tcPr>
            <w:tcW w:w="4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r>
      <w:tr>
        <w:trPr>
          <w:trHeight w:val="230"/>
        </w:trPr>
        <w:tc>
          <w:tcPr>
            <w:tcW w:w="44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280" w:type="dxa"/>
            <w:vAlign w:val="bottom"/>
            <w:tcBorders>
              <w:right w:val="single" w:sz="8" w:color="auto"/>
            </w:tcBorders>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r>
      <w:tr>
        <w:trPr>
          <w:trHeight w:val="41"/>
        </w:trPr>
        <w:tc>
          <w:tcPr>
            <w:tcW w:w="446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 2019, XpresSpa Group, Inc. (the “Company”) entered into Amendment No. 3 (the “Amendment”) to that certain Agreement and Plan of Merger (the “Merger Agreement”), by and among the Company (formerly known as FORM Holdings Corp.), XpresSpa Holdings, LLC (“XSPA Holdings”) and Mistral XH Representative, LLC, as representative of the unitholders of XSPA Holdings, dated as of August 8, 2016, as subsequently amended. The Amendment provides, among other things, for the release from escrow of (i) certain shares of the Company’s Series D Convertible Preferred Stock, par value $0.01 per share (the “Series D Preferred Stock”), to the unitholders of XSPA Holdings and (ii) certain shares of Series D Preferred Stock to the Company in satisfaction of certain indemnification claims in connection with the Merger Agreement. The foregoing description of the Amendment does not purport to be complete and is subject to and qualified in its entirety by reference to the full text of the document, which is attached hereto as Exhibit 10.1 and incorporated by reference herein.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8"/>
        <w:spacing w:after="0" w:line="259"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2, 2019, the Company held its 2019 annual meeting of stockholders (the “Annual Meeting”). At the Annual Meeting, a quorum of 2,786,012 shares, or 83.68%, of the outstanding shares of the Company entitled to vote as of the record date of August 1, 2019, were present in person or represented by proxy. The total voting shares present in person or represented by proxy includes holders of the Company's common stock, holders of the Company's Series D Preferred Stock and holders of the Company's Series E Convertible Preferred Stock.</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four nominees were elected or reelected to serve on the board of directors (the “Board”) until the Company’s 2020 annual meeting of stockholders or until their respective successors have been elected and qualified, or until their earlier resignation or removal:</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380"/>
              <w:spacing w:after="0"/>
              <w:rPr>
                <w:sz w:val="20"/>
                <w:szCs w:val="20"/>
                <w:color w:val="auto"/>
              </w:rPr>
            </w:pPr>
            <w:r>
              <w:rPr>
                <w:rFonts w:ascii="Arial" w:cs="Arial" w:eastAsia="Arial" w:hAnsi="Arial"/>
                <w:sz w:val="18"/>
                <w:szCs w:val="18"/>
                <w:b w:val="1"/>
                <w:bCs w:val="1"/>
                <w:color w:val="auto"/>
              </w:rPr>
              <w:t>Name of Director Nominees</w:t>
            </w:r>
          </w:p>
        </w:tc>
        <w:tc>
          <w:tcPr>
            <w:tcW w:w="2460" w:type="dxa"/>
            <w:vAlign w:val="bottom"/>
            <w:gridSpan w:val="2"/>
          </w:tcPr>
          <w:p>
            <w:pPr>
              <w:ind w:left="76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Withheld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Douglas Satzman</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1,742,799</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249,205</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794,008</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Bruce T. Bernstein</w:t>
            </w:r>
          </w:p>
        </w:tc>
        <w:tc>
          <w:tcPr>
            <w:tcW w:w="2260" w:type="dxa"/>
            <w:vAlign w:val="bottom"/>
          </w:tcPr>
          <w:p>
            <w:pPr>
              <w:ind w:left="760"/>
              <w:spacing w:after="0"/>
              <w:rPr>
                <w:sz w:val="20"/>
                <w:szCs w:val="20"/>
                <w:color w:val="auto"/>
              </w:rPr>
            </w:pPr>
            <w:r>
              <w:rPr>
                <w:rFonts w:ascii="Arial" w:cs="Arial" w:eastAsia="Arial" w:hAnsi="Arial"/>
                <w:sz w:val="18"/>
                <w:szCs w:val="18"/>
                <w:color w:val="auto"/>
              </w:rPr>
              <w:t>1,542,401</w:t>
            </w: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449,603</w:t>
            </w: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794,008</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Stout</w:t>
            </w:r>
          </w:p>
        </w:tc>
        <w:tc>
          <w:tcPr>
            <w:tcW w:w="22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1,583,753</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408,251</w:t>
            </w: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794,008</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Salvatore Giardina</w:t>
            </w:r>
          </w:p>
        </w:tc>
        <w:tc>
          <w:tcPr>
            <w:tcW w:w="2260" w:type="dxa"/>
            <w:vAlign w:val="bottom"/>
          </w:tcPr>
          <w:p>
            <w:pPr>
              <w:ind w:left="760"/>
              <w:spacing w:after="0"/>
              <w:rPr>
                <w:sz w:val="20"/>
                <w:szCs w:val="20"/>
                <w:color w:val="auto"/>
              </w:rPr>
            </w:pPr>
            <w:r>
              <w:rPr>
                <w:rFonts w:ascii="Arial" w:cs="Arial" w:eastAsia="Arial" w:hAnsi="Arial"/>
                <w:sz w:val="18"/>
                <w:szCs w:val="18"/>
                <w:color w:val="auto"/>
              </w:rPr>
              <w:t>1,588,305</w:t>
            </w:r>
          </w:p>
        </w:tc>
        <w:tc>
          <w:tcPr>
            <w:tcW w:w="2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403,699</w:t>
            </w:r>
          </w:p>
        </w:tc>
        <w:tc>
          <w:tcPr>
            <w:tcW w:w="2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794,008</w:t>
            </w:r>
          </w:p>
        </w:tc>
      </w:tr>
    </w:tbl>
    <w:p>
      <w:pPr>
        <w:spacing w:after="0" w:line="187"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selection of CohnReznik LLP as the Company’s independent registered public accounting firm for the fiscal year ending December 31, 2019, was ratified,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2,613,549</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168,755</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3,708</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proposal to authorize, for purposes of complying with Nasdaq Listing Rule 5635(a), 5635(b) and 5635(d), the issuance of shares of the Company’s common stock underlying the instruments below (including upon the operation of anti-dilution provisions, voluntary adjustment provisions and/or the reduction of conversion ratios):</w:t>
      </w:r>
    </w:p>
    <w:p>
      <w:pPr>
        <w:spacing w:after="0" w:line="181" w:lineRule="exact"/>
        <w:rPr>
          <w:rFonts w:ascii="Arial" w:cs="Arial" w:eastAsia="Arial" w:hAnsi="Arial"/>
          <w:sz w:val="18"/>
          <w:szCs w:val="18"/>
          <w:color w:val="auto"/>
        </w:rPr>
      </w:pPr>
    </w:p>
    <w:p>
      <w:pPr>
        <w:ind w:left="660" w:hanging="328"/>
        <w:spacing w:after="0" w:line="25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the Company pursuant to that certain Amendment to Securities Purchase Agreement and Class A Warrants and Class B Warrants, dated as of July 8, 2019 (the “May 2018 SPA Amendment”);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the Company pursuant to that certain Securities Purchase Agreement, dated as of July 8, 2019, by and between the Company and Calm.com, Inc.;</w:t>
      </w: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convertible note issued by the Company pursuant to that certain Fourth Amendment to Credit Agreement, dated as of July 8, 2019, by and between XSPA Holdings and B3D, LLC;</w:t>
      </w:r>
    </w:p>
    <w:p>
      <w:pPr>
        <w:ind w:left="660" w:hanging="328"/>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warrants issued by the Company pursuant to that certain amendment to certain outstanding warrants issued in December 2016 to holders of Series D Preferred Stock; and</w:t>
      </w:r>
    </w:p>
    <w:p>
      <w:pPr>
        <w:ind w:left="660" w:hanging="328"/>
        <w:spacing w:after="0" w:line="261"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Series D Preferred Stock issued by the Company pursuant to that certain certificate of amendment to the Certificate of Designation of Preferences, Rights and Limitations of the Series D Preferred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1,863,137</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120,374</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8,493</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c>
          <w:tcPr>
            <w:tcW w:w="560" w:type="dxa"/>
            <w:vAlign w:val="bottom"/>
          </w:tcPr>
          <w:p>
            <w:pPr>
              <w:spacing w:after="0"/>
              <w:rPr>
                <w:sz w:val="18"/>
                <w:szCs w:val="18"/>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proposal to approve an amendment to the XpresSpa Group, Inc. Amended and Restated Certificate of Incorporation to increase the number of authorized shares of the Company’s preferred stock to 10,000,000 shares from 5,000,000, was approved, based on the following votes: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1,681,155</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310,728</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proposal to approve an amendment to the XpresSpa Group, Inc. 2012 Employee, Director and Consultant Equity Incentive Plan (the “Plan”) to increase the number of shares authorized under the Plan by 2,165,000 shares, was approved,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1,693,650</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290,441</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7,913</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r>
    </w:tbl>
    <w:p>
      <w:pPr>
        <w:spacing w:after="0" w:line="202" w:lineRule="exact"/>
        <w:rPr>
          <w:sz w:val="20"/>
          <w:szCs w:val="20"/>
          <w:color w:val="auto"/>
        </w:rPr>
      </w:pPr>
    </w:p>
    <w:p>
      <w:pPr>
        <w:ind w:left="3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proposal to approve an amendment to the XpresSpa Group, Inc. Amended and Restated Certificate of Incorporation to effect a reverse stock split of the Company’s issued and outstanding shares of common stock, at a ratio of between 1-for-2 and 1-for-25, was approved, based on the following votes: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2,308,618</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471,975</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5,419</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as disclosed in the Company’s proxy statement, was approved by an advisory vote,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1,816,178</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153,590</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22,236</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frequency of holding an advisory vote on the compensation of the Company’s named executive officers, as disclosed in the Company’s proxy statement, was approved by an advisory vote, based on the following votes: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180" w:type="dxa"/>
            <w:vAlign w:val="bottom"/>
            <w:gridSpan w:val="2"/>
          </w:tcPr>
          <w:p>
            <w:pPr>
              <w:ind w:left="740"/>
              <w:spacing w:after="0"/>
              <w:rPr>
                <w:sz w:val="20"/>
                <w:szCs w:val="20"/>
                <w:color w:val="auto"/>
              </w:rPr>
            </w:pPr>
            <w:r>
              <w:rPr>
                <w:rFonts w:ascii="Arial" w:cs="Arial" w:eastAsia="Arial" w:hAnsi="Arial"/>
                <w:sz w:val="18"/>
                <w:szCs w:val="18"/>
                <w:b w:val="1"/>
                <w:bCs w:val="1"/>
                <w:color w:val="auto"/>
              </w:rPr>
              <w:t>1 Year</w:t>
            </w:r>
          </w:p>
        </w:tc>
        <w:tc>
          <w:tcPr>
            <w:tcW w:w="2180" w:type="dxa"/>
            <w:vAlign w:val="bottom"/>
            <w:gridSpan w:val="2"/>
          </w:tcPr>
          <w:p>
            <w:pPr>
              <w:ind w:left="700"/>
              <w:spacing w:after="0"/>
              <w:rPr>
                <w:sz w:val="20"/>
                <w:szCs w:val="20"/>
                <w:color w:val="auto"/>
              </w:rPr>
            </w:pPr>
            <w:r>
              <w:rPr>
                <w:rFonts w:ascii="Arial" w:cs="Arial" w:eastAsia="Arial" w:hAnsi="Arial"/>
                <w:sz w:val="18"/>
                <w:szCs w:val="18"/>
                <w:b w:val="1"/>
                <w:bCs w:val="1"/>
                <w:color w:val="auto"/>
              </w:rPr>
              <w:t>2 Years</w:t>
            </w:r>
          </w:p>
        </w:tc>
        <w:tc>
          <w:tcPr>
            <w:tcW w:w="2040" w:type="dxa"/>
            <w:vAlign w:val="bottom"/>
            <w:gridSpan w:val="2"/>
          </w:tcPr>
          <w:p>
            <w:pPr>
              <w:ind w:left="620"/>
              <w:spacing w:after="0"/>
              <w:rPr>
                <w:sz w:val="20"/>
                <w:szCs w:val="20"/>
                <w:color w:val="auto"/>
              </w:rPr>
            </w:pPr>
            <w:r>
              <w:rPr>
                <w:rFonts w:ascii="Arial" w:cs="Arial" w:eastAsia="Arial" w:hAnsi="Arial"/>
                <w:sz w:val="18"/>
                <w:szCs w:val="18"/>
                <w:b w:val="1"/>
                <w:bCs w:val="1"/>
                <w:color w:val="auto"/>
              </w:rPr>
              <w:t>3 Years</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Votes Abstain</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w:t>
            </w:r>
          </w:p>
        </w:tc>
      </w:tr>
      <w:tr>
        <w:trPr>
          <w:trHeight w:val="210"/>
        </w:trPr>
        <w:tc>
          <w:tcPr>
            <w:tcW w:w="19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1,883,580</w:t>
            </w:r>
          </w:p>
        </w:tc>
        <w:tc>
          <w:tcPr>
            <w:tcW w:w="2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14,070</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29,259</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65,095</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794,008</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election of Andrew R. Heyer by the holders of Series D Preferred Stock to serve on the Board until the Company’s 2020 annual meeting of stockholders or until his respective successor has been elected and qualified, or until their earlier resignation or removal:</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0"/>
        </w:trPr>
        <w:tc>
          <w:tcPr>
            <w:tcW w:w="288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161,891</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proposal to adjourn the Annual Meeting, if necessary, to solicit additional proxies if there are not sufficient votes in favor of the foregoing proposals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gridSpan w:val="2"/>
          </w:tcPr>
          <w:p>
            <w:pPr>
              <w:ind w:left="1080"/>
              <w:spacing w:after="0"/>
              <w:rPr>
                <w:sz w:val="20"/>
                <w:szCs w:val="20"/>
                <w:color w:val="auto"/>
              </w:rPr>
            </w:pPr>
            <w:r>
              <w:rPr>
                <w:rFonts w:ascii="Arial" w:cs="Arial" w:eastAsia="Arial" w:hAnsi="Arial"/>
                <w:sz w:val="18"/>
                <w:szCs w:val="18"/>
                <w:b w:val="1"/>
                <w:bCs w:val="1"/>
                <w:color w:val="auto"/>
              </w:rPr>
              <w:t>Votes For</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Abstain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2,382,978</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372,174</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30,860</w:t>
            </w: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794,008</w:t>
            </w:r>
          </w:p>
        </w:tc>
        <w:tc>
          <w:tcPr>
            <w:tcW w:w="560" w:type="dxa"/>
            <w:vAlign w:val="bottom"/>
          </w:tcPr>
          <w:p>
            <w:pPr>
              <w:spacing w:after="0"/>
              <w:rPr>
                <w:sz w:val="18"/>
                <w:szCs w:val="18"/>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approval by the Company’s stockholders of Proposal 3 as described above, all issued and outstanding shares of the Company’s Series D Preferred Stock were converted into shares of the Company’s common stock pursuant to Section 6.3.4 of the Certificate of Designation of Preferences, Rights and Limitations of the Series D Preferred Stock, as amended on July 8, 2019, except to the extent that any holder of Series D Preferred Stock would otherwise beneficially own in excess any beneficial ownership limitation applicable to such holder after giving effect to the conversion, in which case such holder’s Series D Preferred Stock converts automatically into warrants to purchase the number of shares of the Company’s common stock equal to the number of shares of common stock into which the holder’s Series D Preferred Stock would otherwise have converted. After giving effect to such conversion, the Company has 13,881,448 shares of common stock outstanding.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8"/>
        </w:trPr>
        <w:tc>
          <w:tcPr>
            <w:tcW w:w="11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37"/>
        </w:trPr>
        <w:tc>
          <w:tcPr>
            <w:tcW w:w="1160" w:type="dxa"/>
            <w:vAlign w:val="bottom"/>
            <w:gridSpan w:val="3"/>
          </w:tcPr>
          <w:p>
            <w:pPr>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176"/>
        </w:trPr>
        <w:tc>
          <w:tcPr>
            <w:tcW w:w="2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1004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Amendment No. 3 to Agreement and Plan of Merger, dated as of October 1, 2019.</w:t>
              </w:r>
            </w:hyperlink>
          </w:p>
        </w:tc>
      </w:tr>
      <w:tr>
        <w:trPr>
          <w:trHeight w:val="696"/>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920" w:type="dxa"/>
            <w:vAlign w:val="bottom"/>
            <w:tcBorders>
              <w:top w:val="single" w:sz="8" w:color="0000EE"/>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October 2, 2019</w:t>
            </w:r>
          </w:p>
        </w:tc>
        <w:tc>
          <w:tcPr>
            <w:tcW w:w="7720" w:type="dxa"/>
            <w:vAlign w:val="bottom"/>
            <w:gridSpan w:val="2"/>
          </w:tcPr>
          <w:p>
            <w:pPr>
              <w:ind w:left="2020"/>
              <w:spacing w:after="0"/>
              <w:rPr>
                <w:sz w:val="20"/>
                <w:szCs w:val="20"/>
                <w:color w:val="auto"/>
              </w:rPr>
            </w:pPr>
            <w:r>
              <w:rPr>
                <w:rFonts w:ascii="Arial" w:cs="Arial" w:eastAsia="Arial" w:hAnsi="Arial"/>
                <w:sz w:val="18"/>
                <w:szCs w:val="18"/>
                <w:color w:val="auto"/>
              </w:rPr>
              <w:t>By:    /s/ Douglas Satzman</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AGREEMENT AND PLAN OF MERGER</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AMENDMENT NO. 3 TO AGREEMENT AND PLAN OF MERGER, dated as of October 1, 2019 (this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XpresSpa Group, Inc. (formerly known as Form Holdings Corp.),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XpresSpa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Mistral XH Representative, LLC, as representative of the unitholders of the Company (the “</w:t>
      </w:r>
      <w:r>
        <w:rPr>
          <w:rFonts w:ascii="Arial" w:cs="Arial" w:eastAsia="Arial" w:hAnsi="Arial"/>
          <w:sz w:val="17"/>
          <w:szCs w:val="17"/>
          <w:u w:val="single" w:color="auto"/>
          <w:color w:val="auto"/>
        </w:rPr>
        <w:t>Unitholders’ Representative</w:t>
      </w:r>
      <w:r>
        <w:rPr>
          <w:rFonts w:ascii="Arial" w:cs="Arial" w:eastAsia="Arial" w:hAnsi="Arial"/>
          <w:sz w:val="17"/>
          <w:szCs w:val="17"/>
          <w:color w:val="auto"/>
        </w:rPr>
        <w:t>”). Each of Parent, the Company and the Unitholders’ Representative is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 Capitalized terms used but not otherwise defined herein shall have the meanings set forth in the Merger Agreement (as defined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FHXMS, LLC, a Delaware limited liability company and wholly-owned subsidiary of Parent (“</w:t>
      </w:r>
      <w:r>
        <w:rPr>
          <w:rFonts w:ascii="Arial" w:cs="Arial" w:eastAsia="Arial" w:hAnsi="Arial"/>
          <w:sz w:val="17"/>
          <w:szCs w:val="17"/>
          <w:u w:val="single" w:color="auto"/>
          <w:color w:val="auto"/>
        </w:rPr>
        <w:t>Merger Sub</w:t>
      </w:r>
      <w:r>
        <w:rPr>
          <w:rFonts w:ascii="Arial" w:cs="Arial" w:eastAsia="Arial" w:hAnsi="Arial"/>
          <w:sz w:val="17"/>
          <w:szCs w:val="17"/>
          <w:color w:val="auto"/>
        </w:rPr>
        <w:t>”), and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unitholders of the Company (who were parties thereto or who become parties thereto by executing a joinder agreement) have entered into that certain Agreement and Plan of Merger, dated as of August 8, 2016, as amended to date (collectively,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and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has agreed to amend the Merger Agreement to modify certain provisions thereof, as set forth herein.</w:t>
      </w:r>
    </w:p>
    <w:p>
      <w:pPr>
        <w:spacing w:after="0" w:line="225"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contained herein and other good and valuable consideration, the receipt and sufficiency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hereby acknowledged, the Parties agree as follows, notwithstanding anything to the contrary contained in the Merger Agreement: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Escrow Release</w:t>
      </w:r>
      <w:r>
        <w:rPr>
          <w:rFonts w:ascii="Arial" w:cs="Arial" w:eastAsia="Arial" w:hAnsi="Arial"/>
          <w:sz w:val="16"/>
          <w:szCs w:val="16"/>
          <w:color w:val="auto"/>
        </w:rPr>
        <w:t>. Each Party agrees that the remaining shares of Parent Preferred Stock held in the Indemnity Escrow Fund shall be distributed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13,333 shares of Parent Preferred Stock shall be delivered to the Company on the date hereof, in satisfaction of Losses pursuant to the Notices of Claim described on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8,333 shares of Parent Preferred Stock shall remain in the Indemnity Escrow Fund until the 24 month anniversary of the date hereof (the “</w:t>
      </w:r>
      <w:r>
        <w:rPr>
          <w:rFonts w:ascii="Arial" w:cs="Arial" w:eastAsia="Arial" w:hAnsi="Arial"/>
          <w:sz w:val="17"/>
          <w:szCs w:val="17"/>
          <w:u w:val="single" w:color="auto"/>
          <w:color w:val="auto"/>
        </w:rPr>
        <w:t>Claim</w:t>
      </w:r>
      <w:r>
        <w:rPr>
          <w:rFonts w:ascii="Arial" w:cs="Arial" w:eastAsia="Arial" w:hAnsi="Arial"/>
          <w:sz w:val="17"/>
          <w:szCs w:val="17"/>
          <w:color w:val="auto"/>
        </w:rPr>
        <w:t xml:space="preserve"> </w:t>
      </w:r>
      <w:r>
        <w:rPr>
          <w:rFonts w:ascii="Arial" w:cs="Arial" w:eastAsia="Arial" w:hAnsi="Arial"/>
          <w:sz w:val="17"/>
          <w:szCs w:val="17"/>
          <w:u w:val="single" w:color="auto"/>
          <w:color w:val="auto"/>
        </w:rPr>
        <w:t>Deadline</w:t>
      </w:r>
      <w:r>
        <w:rPr>
          <w:rFonts w:ascii="Arial" w:cs="Arial" w:eastAsia="Arial" w:hAnsi="Arial"/>
          <w:sz w:val="17"/>
          <w:szCs w:val="17"/>
          <w:color w:val="auto"/>
        </w:rPr>
        <w:t>”), solely to satisfy Qualified Remaining Losses. “</w:t>
      </w:r>
      <w:r>
        <w:rPr>
          <w:rFonts w:ascii="Arial" w:cs="Arial" w:eastAsia="Arial" w:hAnsi="Arial"/>
          <w:sz w:val="17"/>
          <w:szCs w:val="17"/>
          <w:u w:val="single" w:color="auto"/>
          <w:color w:val="auto"/>
        </w:rPr>
        <w:t>Qualified Remaining Losses</w:t>
      </w:r>
      <w:r>
        <w:rPr>
          <w:rFonts w:ascii="Arial" w:cs="Arial" w:eastAsia="Arial" w:hAnsi="Arial"/>
          <w:sz w:val="17"/>
          <w:szCs w:val="17"/>
          <w:color w:val="auto"/>
        </w:rPr>
        <w:t xml:space="preserve">” means Losses with respect to a Qualified Claim (as defined on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hereto) that meet all of the following criteria: (i) Parent is entitled to indemnification for such Losses pursuant to the Merger Agreement, (ii) Parent has actually incurred such Losses after the date hereof and prior to the Claim Deadline, and (iii) a Notice of Claim has been timely delivered with respect to the matter giving rise to such Losses prior to the date hereof.</w:t>
      </w:r>
    </w:p>
    <w:p>
      <w:pPr>
        <w:spacing w:after="0" w:line="17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shares of Parent Preferred Stock held by the Escrow Agent pursuant to the Escrow Agreement, other than those described in the preceding clauses (a) and (b), shall be released to the Company Unitholders on the date hereof.</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Treatment of Remaining Indemnity Escrow Fund</w:t>
      </w:r>
      <w:r>
        <w:rPr>
          <w:rFonts w:ascii="Arial" w:cs="Arial" w:eastAsia="Arial" w:hAnsi="Arial"/>
          <w:sz w:val="18"/>
          <w:szCs w:val="18"/>
          <w:color w:val="auto"/>
        </w:rPr>
        <w:t>.</w:t>
      </w:r>
    </w:p>
    <w:p>
      <w:pPr>
        <w:spacing w:after="0" w:line="225" w:lineRule="exact"/>
        <w:rPr>
          <w:sz w:val="20"/>
          <w:szCs w:val="20"/>
          <w:color w:val="auto"/>
        </w:rPr>
      </w:pPr>
    </w:p>
    <w:p>
      <w:pPr>
        <w:jc w:val="both"/>
        <w:ind w:left="66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Parties acknowledge that, pursuant to that certain Amendment to the Certificate of Designation of Preferences, Rights and Limitations of the Series D Convertible Preferred Stock, dated as of July 8, 2019, upon receipt of stockholder approval each share of Parent Preferred Stock will be converted into Parent Common Stock at a conversion price of $2.00 per share of Parent Common Stock (the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The Parties agree that, for purposes of valuing shares of Parent Common Stock held in the Indemnity Escrow Fund following the Conversion, each share of Parent Common Stock shall be valued at $2.00 per share;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market price of the Parent Common Stock exceeds $2.00 per share, the Unitholders’ Representative may direct the Escrow Agent to sell such Parent Common Stock, place cash equal to $2.00 per share of sold Parent Common Stock in the Indemnity Escrow Fund, and distribute any excess proceeds to the Company Unitholders. Parent shall cooperate with, and take all reasonable actions (including issuing a joint authorization to the Escrow Agent) to enable, the Unitholders’ Representative to take the actions described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both"/>
        <w:ind w:left="660" w:hanging="328"/>
        <w:spacing w:after="0" w:line="27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the Claim Deadline, any and all assets remaining in the Indemnity Escrow Fund (except for Parent Common Stock (valued in accordance with the provisions of this Amendment) and/or cash with an aggregate value equal to any Qualified Remaining Losses that have not been paid to Parent as of such date) shall be released to the Company Unitholders. Parent shall cooperate with, and take all reasonable actions (including issuing a joint authorization to the Escrow Agent) to cause the occurrence of the release described in the preceding sentence.</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and after the date hereof, (i) no Parent Indemnitee shall deliver a Notice of Claim or otherwise seek indemnification pursuant to the Merger Agreement (other than with respect to a Qualified Remaining Loss, as and to the extent provided in this Amendment) and (ii) the Parent Indemnitees’ sole recourse with respect to any indemnifiable Losses shall be the Indemnity Escrow Fund.</w:t>
      </w:r>
    </w:p>
    <w:p>
      <w:pPr>
        <w:spacing w:after="0" w:line="181" w:lineRule="exact"/>
        <w:rPr>
          <w:rFonts w:ascii="Arial" w:cs="Arial" w:eastAsia="Arial" w:hAnsi="Arial"/>
          <w:sz w:val="18"/>
          <w:szCs w:val="18"/>
          <w:color w:val="auto"/>
        </w:rPr>
      </w:pPr>
    </w:p>
    <w:p>
      <w:pPr>
        <w:ind w:left="840" w:hanging="184"/>
        <w:spacing w:after="0"/>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Reference to and Effect in the Merger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320"/>
        <w:spacing w:after="0" w:line="308" w:lineRule="auto"/>
        <w:tabs>
          <w:tab w:leader="none" w:pos="1300" w:val="left"/>
        </w:tabs>
        <w:numPr>
          <w:ilvl w:val="2"/>
          <w:numId w:val="16"/>
        </w:numPr>
        <w:rPr>
          <w:rFonts w:ascii="Arial" w:cs="Arial" w:eastAsia="Arial" w:hAnsi="Arial"/>
          <w:sz w:val="17"/>
          <w:szCs w:val="17"/>
          <w:color w:val="auto"/>
        </w:rPr>
      </w:pPr>
      <w:r>
        <w:rPr>
          <w:rFonts w:ascii="Arial" w:cs="Arial" w:eastAsia="Arial" w:hAnsi="Arial"/>
          <w:sz w:val="17"/>
          <w:szCs w:val="17"/>
          <w:color w:val="auto"/>
        </w:rPr>
        <w:t>Upon the effectiveness of this Amendment, each reference in the Merger Agreement to “this Agreement,” “hereunder,” “hereof” or words of like import referring to the Merger Agreement shall mean and be a reference to the Merger Agreement as amended hereby.</w:t>
      </w:r>
    </w:p>
    <w:p>
      <w:pPr>
        <w:spacing w:after="0" w:line="14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Except as specifically amended herein, the Merger Agreement shall continue to be in full force and effect and is hereby in all respects ratified and confirmed, and the execution, delivery and effectiveness of this Amendment shall not operate as a waiver of any right, power or remedy of any party under the Merger Agreement.</w:t>
      </w:r>
    </w:p>
    <w:p>
      <w:pPr>
        <w:spacing w:after="0" w:line="181" w:lineRule="exact"/>
        <w:rPr>
          <w:rFonts w:ascii="Arial" w:cs="Arial" w:eastAsia="Arial" w:hAnsi="Arial"/>
          <w:sz w:val="18"/>
          <w:szCs w:val="18"/>
          <w:color w:val="auto"/>
        </w:rPr>
      </w:pPr>
    </w:p>
    <w:p>
      <w:pPr>
        <w:ind w:right="40" w:firstLine="656"/>
        <w:spacing w:after="0" w:line="264" w:lineRule="auto"/>
        <w:tabs>
          <w:tab w:leader="none" w:pos="82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facsimile or otherwise).</w:t>
      </w:r>
    </w:p>
    <w:p>
      <w:pPr>
        <w:spacing w:after="0" w:line="181" w:lineRule="exact"/>
        <w:rPr>
          <w:rFonts w:ascii="Arial" w:cs="Arial" w:eastAsia="Arial" w:hAnsi="Arial"/>
          <w:sz w:val="18"/>
          <w:szCs w:val="18"/>
          <w:color w:val="auto"/>
        </w:rPr>
      </w:pPr>
    </w:p>
    <w:p>
      <w:pPr>
        <w:ind w:right="600" w:firstLine="656"/>
        <w:spacing w:after="0" w:line="277" w:lineRule="auto"/>
        <w:tabs>
          <w:tab w:leader="none" w:pos="82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made in and in all respects shall be interpreted, construed and governed by and in accordance with the law of the State of Delaware without regard to the conflicts of law principles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No. 3 to Agreement and Plan of Merger to be executed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HOLDINGS,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MISTRAL XH REPRESENTATIVE, LLC, as Unitholders’ Representative</w:t>
      </w:r>
    </w:p>
    <w:p>
      <w:pPr>
        <w:spacing w:after="0" w:line="23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R. Heyer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Heyer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3"/>
    </w:lvl>
    <w:lvl w:ilvl="1">
      <w:lvlJc w:val="left"/>
      <w:lvlText w:val="%2."/>
      <w:numFmt w:val="lowerLetter"/>
      <w:start w:val="1"/>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1)"/>
      <w:numFmt w:val="decimal"/>
      <w:start w:val="7"/>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9"/>
    </w:lvl>
  </w:abstractNum>
  <w:abstractNum w:abstractNumId="12">
    <w:nsid w:val="7FDCC233"/>
    <w:multiLevelType w:val="hybridMultilevel"/>
    <w:lvl w:ilvl="0">
      <w:lvlJc w:val="left"/>
      <w:lvlText w:val="(%1)"/>
      <w:numFmt w:val="decimal"/>
      <w:start w:val="10"/>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2019-12-28T05:53:53Z</dcterms:created>
  <dcterms:modified xsi:type="dcterms:W3CDTF">2019-12-28T05:53:53Z</dcterms:modified>
</cp:coreProperties>
</file>