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Lang Andrew Kennedy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CTO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1140" w:type="dxa"/>
            <w:vAlign w:val="bottom"/>
            <w:tcBorders>
              <w:bottom w:val="single" w:sz="8" w:color="2C2C2C"/>
            </w:tcBorders>
            <w:gridSpan w:val="2"/>
          </w:tcPr>
          <w:p>
            <w:pPr>
              <w:jc w:val="right"/>
              <w:ind w:right="99"/>
              <w:spacing w:after="0"/>
              <w:rPr>
                <w:sz w:val="20"/>
                <w:szCs w:val="20"/>
                <w:color w:val="auto"/>
              </w:rPr>
            </w:pPr>
            <w:r>
              <w:rPr>
                <w:rFonts w:ascii="Arial" w:cs="Arial" w:eastAsia="Arial" w:hAnsi="Arial"/>
                <w:sz w:val="18"/>
                <w:szCs w:val="18"/>
                <w:color w:val="0000FF"/>
              </w:rPr>
              <w:t>03/31/2014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5,209</w:t>
            </w: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3.485</w:t>
            </w:r>
            <w:r>
              <w:rPr>
                <w:rFonts w:ascii="Arial" w:cs="Arial" w:eastAsia="Arial" w:hAnsi="Arial"/>
                <w:sz w:val="22"/>
                <w:szCs w:val="22"/>
                <w:color w:val="008000"/>
                <w:w w:val="90"/>
                <w:vertAlign w:val="superscript"/>
              </w:rPr>
              <w:t>(1)</w:t>
            </w:r>
          </w:p>
        </w:tc>
        <w:tc>
          <w:tcPr>
            <w:tcW w:w="120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rPr>
              <w:t>2,763,995</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4"/>
            <w:vMerge w:val="restart"/>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199"/>
              <w:spacing w:after="0"/>
              <w:rPr>
                <w:sz w:val="20"/>
                <w:szCs w:val="20"/>
                <w:color w:val="auto"/>
              </w:rPr>
            </w:pPr>
            <w:r>
              <w:rPr>
                <w:rFonts w:ascii="Arial" w:cs="Arial" w:eastAsia="Arial" w:hAnsi="Arial"/>
                <w:sz w:val="18"/>
                <w:szCs w:val="18"/>
                <w:color w:val="0000FF"/>
              </w:rPr>
              <w:t>2,344,509</w:t>
            </w:r>
          </w:p>
        </w:tc>
        <w:tc>
          <w:tcPr>
            <w:tcW w:w="300" w:type="dxa"/>
            <w:vAlign w:val="bottom"/>
          </w:tcPr>
          <w:p>
            <w:pPr>
              <w:spacing w:after="0"/>
              <w:rPr>
                <w:sz w:val="18"/>
                <w:szCs w:val="18"/>
                <w:color w:val="auto"/>
              </w:rPr>
            </w:pPr>
          </w:p>
        </w:tc>
        <w:tc>
          <w:tcPr>
            <w:tcW w:w="700" w:type="dxa"/>
            <w:vAlign w:val="bottom"/>
            <w:vMerge w:val="restart"/>
          </w:tcPr>
          <w:p>
            <w:pPr>
              <w:ind w:left="14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rPr>
              <w:t>Innovation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60" w:type="dxa"/>
            <w:vAlign w:val="bottom"/>
            <w:gridSpan w:val="4"/>
            <w:vMerge w:val="continue"/>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Arial" w:cs="Arial" w:eastAsia="Arial" w:hAnsi="Arial"/>
                <w:sz w:val="18"/>
                <w:szCs w:val="18"/>
                <w:color w:val="0000FF"/>
              </w:rPr>
              <w:t>Spring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980" w:type="dxa"/>
            <w:vAlign w:val="bottom"/>
            <w:gridSpan w:val="8"/>
          </w:tcPr>
          <w:p>
            <w:pPr>
              <w:jc w:val="center"/>
              <w:ind w:left="2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in this line item were effected to cover tax liabilities pursuant to a Rule 10b5-1 trading plan adopted by the reporting person on November 25,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Of which, 96,355 shares of common stock are represented by unvested restricted stock units.</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Lang is the manager of Innovation Spring LLC ("Innovation Spring") and has the sole power to dispose or direct the disposition of the securities held by Innovation Spring. Innovation Spring Trust is the sole member and 100% owner of Innovation Spring and has the sole power to vote or direct the vote over the securities held by Innovation Spring. Mr. Lang does not have power to vote or direct the vote over the securities held by Innovation Spring.</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280"/>
        <w:spacing w:after="0" w:line="239" w:lineRule="auto"/>
        <w:rPr>
          <w:sz w:val="20"/>
          <w:szCs w:val="20"/>
          <w:color w:val="auto"/>
        </w:rPr>
      </w:pPr>
      <w:r>
        <w:rPr>
          <w:rFonts w:ascii="Arial" w:cs="Arial" w:eastAsia="Arial" w:hAnsi="Arial"/>
          <w:sz w:val="14"/>
          <w:szCs w:val="14"/>
          <w:color w:val="008000"/>
        </w:rPr>
        <w:t>As of the reporting date, the reporting person holds (either directly or indirectly) 333,333 vested and unvested options and 96,355 vested and unvested restricted stock units. In addition, the reporting person owns (either directly or indirectly) 5,012,149 shares of common stock and 2,052,419 warrants. The total number of securities listed is 7,494,256.</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Andrew Kennedy Lang</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04/02/2014</w:t>
            </w: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67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2019-12-17T06:29:52Z</dcterms:created>
  <dcterms:modified xsi:type="dcterms:W3CDTF">2019-12-17T06:29:52Z</dcterms:modified>
</cp:coreProperties>
</file>