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60" w:type="dxa"/>
            <w:vAlign w:val="bottom"/>
            <w:gridSpan w:val="9"/>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8"/>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Iroquois Capital Management,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2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Vringo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VRNG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78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8"/>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color w:val="auto"/>
              </w:rPr>
              <w:t>Director</w:t>
            </w:r>
          </w:p>
        </w:tc>
        <w:tc>
          <w:tcPr>
            <w:tcW w:w="640" w:type="dxa"/>
            <w:vAlign w:val="bottom"/>
          </w:tcPr>
          <w:p>
            <w:pPr>
              <w:spacing w:after="0"/>
              <w:rPr>
                <w:sz w:val="2"/>
                <w:szCs w:val="2"/>
                <w:color w:val="auto"/>
              </w:rPr>
            </w:pPr>
          </w:p>
        </w:tc>
        <w:tc>
          <w:tcPr>
            <w:tcW w:w="32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gridSpan w:val="3"/>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320" w:type="dxa"/>
            <w:vAlign w:val="bottom"/>
          </w:tcPr>
          <w:p>
            <w:pPr>
              <w:spacing w:after="0"/>
              <w:rPr>
                <w:sz w:val="7"/>
                <w:szCs w:val="7"/>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10"/>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below)</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641 LEXINGTON AVENUE</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7"/>
          </w:tcPr>
          <w:p>
            <w:pPr>
              <w:ind w:left="160"/>
              <w:spacing w:after="0"/>
              <w:rPr>
                <w:sz w:val="20"/>
                <w:szCs w:val="20"/>
                <w:color w:val="auto"/>
              </w:rPr>
            </w:pPr>
            <w:r>
              <w:rPr>
                <w:rFonts w:ascii="Arial" w:cs="Arial" w:eastAsia="Arial" w:hAnsi="Arial"/>
                <w:sz w:val="18"/>
                <w:szCs w:val="18"/>
                <w:color w:val="0000FF"/>
                <w:w w:val="99"/>
              </w:rPr>
              <w:t>10/26/2011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26TH FLOOR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2"/>
            <w:vMerge w:val="restart"/>
          </w:tcPr>
          <w:p>
            <w:pPr>
              <w:spacing w:after="0"/>
              <w:rPr>
                <w:sz w:val="20"/>
                <w:szCs w:val="20"/>
                <w:color w:val="auto"/>
              </w:rPr>
            </w:pPr>
            <w:r>
              <w:rPr>
                <w:rFonts w:ascii="Arial" w:cs="Arial" w:eastAsia="Arial" w:hAnsi="Arial"/>
                <w:sz w:val="14"/>
                <w:szCs w:val="14"/>
                <w:color w:val="auto"/>
                <w:w w:val="95"/>
              </w:rPr>
              <w:t>4. If Amendment, Date of Original Filed (Month/Day/Year)</w:t>
            </w: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360" w:type="dxa"/>
            <w:vAlign w:val="bottom"/>
            <w:gridSpan w:val="9"/>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12"/>
            <w:vMerge w:val="continue"/>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gridSpan w:val="2"/>
          </w:tcPr>
          <w:p>
            <w:pPr>
              <w:spacing w:after="0" w:line="121" w:lineRule="exact"/>
              <w:rPr>
                <w:sz w:val="20"/>
                <w:szCs w:val="20"/>
                <w:color w:val="auto"/>
              </w:rPr>
            </w:pPr>
            <w:r>
              <w:rPr>
                <w:rFonts w:ascii="Arial" w:cs="Arial" w:eastAsia="Arial" w:hAnsi="Arial"/>
                <w:sz w:val="14"/>
                <w:szCs w:val="14"/>
                <w:color w:val="auto"/>
              </w:rPr>
              <w:t>Line)</w:t>
            </w:r>
          </w:p>
        </w:tc>
        <w:tc>
          <w:tcPr>
            <w:tcW w:w="2920" w:type="dxa"/>
            <w:vAlign w:val="bottom"/>
            <w:gridSpan w:val="7"/>
            <w:vMerge w:val="restart"/>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NY</w:t>
            </w:r>
          </w:p>
        </w:tc>
        <w:tc>
          <w:tcPr>
            <w:tcW w:w="560" w:type="dxa"/>
            <w:vAlign w:val="bottom"/>
          </w:tcPr>
          <w:p>
            <w:pPr>
              <w:spacing w:after="0"/>
              <w:rPr>
                <w:sz w:val="20"/>
                <w:szCs w:val="20"/>
                <w:color w:val="auto"/>
              </w:rPr>
            </w:pPr>
            <w:r>
              <w:rPr>
                <w:rFonts w:ascii="Arial" w:cs="Arial" w:eastAsia="Arial" w:hAnsi="Arial"/>
                <w:sz w:val="18"/>
                <w:szCs w:val="18"/>
                <w:color w:val="0000FF"/>
              </w:rPr>
              <w:t>10022</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20" w:type="dxa"/>
            <w:vAlign w:val="bottom"/>
            <w:gridSpan w:val="7"/>
          </w:tcPr>
          <w:p>
            <w:pPr>
              <w:ind w:left="1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color w:val="auto"/>
              </w:rPr>
              <w:t>Person</w:t>
            </w: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gridSpan w:val="7"/>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5"/>
          </w:tcPr>
          <w:p>
            <w:pPr>
              <w:jc w:val="center"/>
              <w:ind w:left="47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5"/>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7"/>
          </w:tcPr>
          <w:p>
            <w:pPr>
              <w:ind w:left="14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80" w:type="dxa"/>
            <w:vAlign w:val="bottom"/>
            <w:gridSpan w:val="3"/>
          </w:tcPr>
          <w:p>
            <w:pPr>
              <w:ind w:left="4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7"/>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40" w:type="dxa"/>
            <w:vAlign w:val="bottom"/>
            <w:gridSpan w:val="9"/>
          </w:tcPr>
          <w:p>
            <w:pPr>
              <w:ind w:left="420"/>
              <w:spacing w:after="0" w:line="135" w:lineRule="exact"/>
              <w:rPr>
                <w:sz w:val="20"/>
                <w:szCs w:val="20"/>
                <w:color w:val="auto"/>
              </w:rPr>
            </w:pPr>
            <w:r>
              <w:rPr>
                <w:rFonts w:ascii="Arial" w:cs="Arial" w:eastAsia="Arial" w:hAnsi="Arial"/>
                <w:sz w:val="12"/>
                <w:szCs w:val="12"/>
                <w:b w:val="1"/>
                <w:bCs w:val="1"/>
                <w:color w:val="auto"/>
              </w:rPr>
              <w:t>(Month/Day/Year)  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260" w:type="dxa"/>
            <w:vAlign w:val="bottom"/>
          </w:tcPr>
          <w:p>
            <w:pPr>
              <w:spacing w:after="0"/>
              <w:rPr>
                <w:sz w:val="11"/>
                <w:szCs w:val="11"/>
                <w:color w:val="auto"/>
              </w:rPr>
            </w:pPr>
          </w:p>
        </w:tc>
        <w:tc>
          <w:tcPr>
            <w:tcW w:w="9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7"/>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5"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4"/>
            <w:vMerge w:val="continue"/>
          </w:tcPr>
          <w:p>
            <w:pPr>
              <w:spacing w:after="0"/>
              <w:rPr>
                <w:sz w:val="8"/>
                <w:szCs w:val="8"/>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w w:val="99"/>
              </w:rPr>
              <w:t>(Instr. 3 and 4)</w:t>
            </w: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40" w:type="dxa"/>
            <w:vAlign w:val="bottom"/>
            <w:gridSpan w:val="4"/>
            <w:vMerge w:val="restart"/>
          </w:tcPr>
          <w:p>
            <w:pPr>
              <w:ind w:left="540"/>
              <w:spacing w:after="0"/>
              <w:rPr>
                <w:sz w:val="20"/>
                <w:szCs w:val="20"/>
                <w:color w:val="auto"/>
              </w:rPr>
            </w:pPr>
            <w:r>
              <w:rPr>
                <w:rFonts w:ascii="Arial" w:cs="Arial" w:eastAsia="Arial" w:hAnsi="Arial"/>
                <w:sz w:val="18"/>
                <w:szCs w:val="18"/>
                <w:color w:val="0000FF"/>
                <w:w w:val="86"/>
              </w:rPr>
              <w:t>10/26/2011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0000FF"/>
              </w:rPr>
              <w:t>S</w:t>
            </w:r>
          </w:p>
        </w:tc>
        <w:tc>
          <w:tcPr>
            <w:tcW w:w="880" w:type="dxa"/>
            <w:vAlign w:val="bottom"/>
            <w:vMerge w:val="restart"/>
          </w:tcPr>
          <w:p>
            <w:pPr>
              <w:ind w:left="200"/>
              <w:spacing w:after="0"/>
              <w:rPr>
                <w:sz w:val="20"/>
                <w:szCs w:val="20"/>
                <w:color w:val="auto"/>
              </w:rPr>
            </w:pPr>
            <w:r>
              <w:rPr>
                <w:rFonts w:ascii="Arial" w:cs="Arial" w:eastAsia="Arial" w:hAnsi="Arial"/>
                <w:sz w:val="18"/>
                <w:szCs w:val="18"/>
                <w:color w:val="0000FF"/>
              </w:rPr>
              <w:t>5,000</w:t>
            </w:r>
          </w:p>
        </w:tc>
        <w:tc>
          <w:tcPr>
            <w:tcW w:w="44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80" w:type="dxa"/>
            <w:vAlign w:val="bottom"/>
          </w:tcPr>
          <w:p>
            <w:pPr>
              <w:spacing w:after="0"/>
              <w:rPr>
                <w:sz w:val="22"/>
                <w:szCs w:val="22"/>
                <w:color w:val="auto"/>
              </w:rPr>
            </w:pPr>
          </w:p>
        </w:tc>
        <w:tc>
          <w:tcPr>
            <w:tcW w:w="480" w:type="dxa"/>
            <w:vAlign w:val="bottom"/>
            <w:vMerge w:val="restart"/>
          </w:tcPr>
          <w:p>
            <w:pPr>
              <w:ind w:left="2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1.51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4"/>
            <w:vMerge w:val="restart"/>
          </w:tcPr>
          <w:p>
            <w:pPr>
              <w:ind w:left="80"/>
              <w:spacing w:after="0"/>
              <w:rPr>
                <w:sz w:val="20"/>
                <w:szCs w:val="20"/>
                <w:color w:val="auto"/>
              </w:rPr>
            </w:pPr>
            <w:r>
              <w:rPr>
                <w:rFonts w:ascii="Arial" w:cs="Arial" w:eastAsia="Arial" w:hAnsi="Arial"/>
                <w:sz w:val="35"/>
                <w:szCs w:val="35"/>
                <w:color w:val="0000FF"/>
                <w:w w:val="83"/>
                <w:vertAlign w:val="subscript"/>
              </w:rPr>
              <w:t>921,604</w:t>
            </w:r>
            <w:r>
              <w:rPr>
                <w:rFonts w:ascii="Arial" w:cs="Arial" w:eastAsia="Arial" w:hAnsi="Arial"/>
                <w:sz w:val="11"/>
                <w:szCs w:val="11"/>
                <w:color w:val="008000"/>
                <w:w w:val="83"/>
              </w:rPr>
              <w:t>(1)(2)(3)</w:t>
            </w:r>
          </w:p>
        </w:tc>
        <w:tc>
          <w:tcPr>
            <w:tcW w:w="64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320" w:type="dxa"/>
            <w:vAlign w:val="bottom"/>
          </w:tcPr>
          <w:p>
            <w:pPr>
              <w:spacing w:after="0"/>
              <w:rPr>
                <w:sz w:val="22"/>
                <w:szCs w:val="22"/>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0000FF"/>
              </w:rPr>
              <w:t>See</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(1)(2)(3)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24"/>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gridSpan w:val="21"/>
          </w:tcPr>
          <w:p>
            <w:pPr>
              <w:jc w:val="center"/>
              <w:ind w:right="21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520" w:type="dxa"/>
            <w:vAlign w:val="bottom"/>
            <w:gridSpan w:val="7"/>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6"/>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80" w:type="dxa"/>
            <w:vAlign w:val="bottom"/>
          </w:tcPr>
          <w:p>
            <w:pPr>
              <w:spacing w:after="0"/>
              <w:rPr>
                <w:sz w:val="13"/>
                <w:szCs w:val="13"/>
                <w:color w:val="auto"/>
              </w:rPr>
            </w:pPr>
          </w:p>
        </w:tc>
        <w:tc>
          <w:tcPr>
            <w:tcW w:w="56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5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Iroquois Capital Management, LLC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641 LEXINGTON AVENUE</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26TH FLOOR</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Silverman Joshua</w:t>
              </w:r>
            </w:hyperlink>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641 LEXINGTON AVENUE</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26TH FLOOR</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Abbe Richard</w:t>
        </w:r>
      </w:hyperlink>
    </w:p>
    <w:p>
      <w:pPr>
        <w:sectPr>
          <w:pgSz w:w="11900" w:h="16838" w:orient="portrait"/>
          <w:cols w:equalWidth="0" w:num="1">
            <w:col w:w="11420"/>
          </w:cols>
          <w:pgMar w:left="240" w:top="226" w:right="239" w:bottom="0" w:gutter="0" w:footer="0" w:header="0"/>
          <w:type w:val="continuous"/>
        </w:sectPr>
      </w:pPr>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8"/>
          <w:szCs w:val="18"/>
          <w:color w:val="0000FF"/>
        </w:rPr>
        <w:t>641 LEXINGTON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-125730</wp:posOffset>
            </wp:positionV>
            <wp:extent cx="2924175" cy="1136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136015"/>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26TH FLOOR</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180"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670,849 Shares (as defined below) are held by Iroquois Master Fund Ltd., a Cayman Islands corporation ("Iroquois Master Fund"). 241,173 Shares are held by Iroquois Capital Management L.L.C., a Delaware limited liability company ("Iroquois Capital"). 4,791 Shares are held by Richard Abbe, a citizen of the United States of America ("Mr. Abbe"), as UGMA custodian for Mr. Abbe's three children. 4,791 Shares are held by American Capital Management LLC, as to which Mr. Abbe and Joshua Silverman, a citizen of the United States of America ("Mr. Silverman"), may be deemed to have a pecuniary interest. "Shares" are shares of the Issuer's common stock, par value $0.01 per share.</w:t>
      </w:r>
    </w:p>
    <w:p>
      <w:pPr>
        <w:spacing w:after="0" w:line="31" w:lineRule="exact"/>
        <w:rPr>
          <w:rFonts w:ascii="Arial" w:cs="Arial" w:eastAsia="Arial" w:hAnsi="Arial"/>
          <w:sz w:val="14"/>
          <w:szCs w:val="14"/>
          <w:color w:val="008000"/>
        </w:rPr>
      </w:pPr>
    </w:p>
    <w:p>
      <w:pPr>
        <w:jc w:val="both"/>
        <w:ind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Iroquois Capital is the investment manager of Iroquois Master Fund. Consequently, Iroquois Capital has voting control and investment discretion over securities held by Iroquois Master Fund. As managing members of Iroquois Capital, Mr. Silverman and Mr. Abbe make voting and investment decisions on behalf of Iroquois Capital in its capacity as investment manager to Iroquois Master Fund. As a result of the foregoing, Mr. Silverman and Mr. Abbe may be deemed to have beneficial ownership (as determined under Section 13(d) of the Securities Exchange Act of 1934, as amended) of the securities held by Iroquois Master Fund.</w:t>
      </w:r>
    </w:p>
    <w:p>
      <w:pPr>
        <w:spacing w:after="0" w:line="3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Iroquois Capital, Mr. Abbe and Mr. Silverman disclaim beneficial ownership of these Shares except to the extent of their pecuniary interest in these Shares.</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200" w:type="dxa"/>
            <w:vAlign w:val="bottom"/>
            <w:gridSpan w:val="7"/>
          </w:tcPr>
          <w:p>
            <w:pPr>
              <w:spacing w:after="0"/>
              <w:rPr>
                <w:sz w:val="20"/>
                <w:szCs w:val="20"/>
                <w:color w:val="auto"/>
              </w:rPr>
            </w:pPr>
            <w:r>
              <w:rPr>
                <w:rFonts w:ascii="Arial" w:cs="Arial" w:eastAsia="Arial" w:hAnsi="Arial"/>
                <w:sz w:val="18"/>
                <w:szCs w:val="18"/>
                <w:color w:val="0000FF"/>
                <w:w w:val="92"/>
              </w:rPr>
              <w:t>Iroquois Capital Management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color w:val="0000FF"/>
              </w:rPr>
              <w:t>L.L.C., By: /s/ Joshua</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10/31/2011</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gridSpan w:val="7"/>
            <w:vMerge w:val="restart"/>
          </w:tcPr>
          <w:p>
            <w:pPr>
              <w:spacing w:after="0" w:line="196" w:lineRule="exact"/>
              <w:rPr>
                <w:sz w:val="20"/>
                <w:szCs w:val="20"/>
                <w:color w:val="auto"/>
              </w:rPr>
            </w:pPr>
            <w:r>
              <w:rPr>
                <w:rFonts w:ascii="Arial" w:cs="Arial" w:eastAsia="Arial" w:hAnsi="Arial"/>
                <w:sz w:val="18"/>
                <w:szCs w:val="18"/>
                <w:color w:val="0000FF"/>
              </w:rPr>
              <w:t>Silverman, Authorized</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Signatory</w:t>
            </w:r>
          </w:p>
        </w:tc>
        <w:tc>
          <w:tcPr>
            <w:tcW w:w="900" w:type="dxa"/>
            <w:vAlign w:val="bottom"/>
            <w:tcBorders>
              <w:top w:val="single" w:sz="8" w:color="auto"/>
            </w:tcBorders>
            <w:gridSpan w:val="4"/>
          </w:tcPr>
          <w:p>
            <w:pPr>
              <w:spacing w:after="0"/>
              <w:rPr>
                <w:sz w:val="17"/>
                <w:szCs w:val="17"/>
                <w:color w:val="auto"/>
              </w:rPr>
            </w:pPr>
          </w:p>
        </w:tc>
        <w:tc>
          <w:tcPr>
            <w:tcW w:w="6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0" w:type="dxa"/>
            <w:vAlign w:val="bottom"/>
            <w:gridSpan w:val="7"/>
          </w:tcPr>
          <w:p>
            <w:pPr>
              <w:spacing w:after="0"/>
              <w:rPr>
                <w:sz w:val="20"/>
                <w:szCs w:val="20"/>
                <w:color w:val="auto"/>
              </w:rPr>
            </w:pPr>
            <w:r>
              <w:rPr>
                <w:rFonts w:ascii="Arial" w:cs="Arial" w:eastAsia="Arial" w:hAnsi="Arial"/>
                <w:sz w:val="18"/>
                <w:szCs w:val="18"/>
                <w:color w:val="0000FF"/>
              </w:rPr>
              <w:t>/s/ Joshua Silverman</w:t>
            </w:r>
          </w:p>
        </w:tc>
        <w:tc>
          <w:tcPr>
            <w:tcW w:w="880" w:type="dxa"/>
            <w:vAlign w:val="bottom"/>
            <w:gridSpan w:val="2"/>
          </w:tcPr>
          <w:p>
            <w:pPr>
              <w:ind w:left="100"/>
              <w:spacing w:after="0"/>
              <w:rPr>
                <w:sz w:val="20"/>
                <w:szCs w:val="20"/>
                <w:color w:val="auto"/>
              </w:rPr>
            </w:pPr>
            <w:r>
              <w:rPr>
                <w:rFonts w:ascii="Arial" w:cs="Arial" w:eastAsia="Arial" w:hAnsi="Arial"/>
                <w:sz w:val="18"/>
                <w:szCs w:val="18"/>
                <w:color w:val="0000FF"/>
                <w:w w:val="84"/>
              </w:rPr>
              <w:t>10/31/2011</w:t>
            </w:r>
          </w:p>
        </w:tc>
        <w:tc>
          <w:tcPr>
            <w:tcW w:w="0" w:type="dxa"/>
            <w:vAlign w:val="bottom"/>
          </w:tcPr>
          <w:p>
            <w:pPr>
              <w:spacing w:after="0"/>
              <w:rPr>
                <w:sz w:val="1"/>
                <w:szCs w:val="1"/>
                <w:color w:val="auto"/>
              </w:rPr>
            </w:pP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0000FF"/>
                <w:w w:val="88"/>
              </w:rPr>
              <w:t>/s/ Richard Abbe</w:t>
            </w:r>
          </w:p>
        </w:tc>
        <w:tc>
          <w:tcPr>
            <w:tcW w:w="260" w:type="dxa"/>
            <w:vAlign w:val="bottom"/>
          </w:tcPr>
          <w:p>
            <w:pPr>
              <w:spacing w:after="0"/>
              <w:rPr>
                <w:sz w:val="21"/>
                <w:szCs w:val="21"/>
                <w:color w:val="auto"/>
              </w:rPr>
            </w:pPr>
          </w:p>
        </w:tc>
        <w:tc>
          <w:tcPr>
            <w:tcW w:w="740" w:type="dxa"/>
            <w:vAlign w:val="bottom"/>
            <w:gridSpan w:val="4"/>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0000FF"/>
                <w:w w:val="84"/>
              </w:rPr>
              <w:t>10/31/2011</w:t>
            </w:r>
          </w:p>
        </w:tc>
        <w:tc>
          <w:tcPr>
            <w:tcW w:w="0" w:type="dxa"/>
            <w:vAlign w:val="bottom"/>
          </w:tcPr>
          <w:p>
            <w:pPr>
              <w:spacing w:after="0"/>
              <w:rPr>
                <w:sz w:val="1"/>
                <w:szCs w:val="1"/>
                <w:color w:val="auto"/>
              </w:rPr>
            </w:pP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7"/>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481867" TargetMode="External"/><Relationship Id="rId13" Type="http://schemas.openxmlformats.org/officeDocument/2006/relationships/hyperlink" Target="http://www.sec.gov/cgi-bin/browse-edgar?action=getcompany&amp;CIK=0001410428" TargetMode="External"/><Relationship Id="rId14" Type="http://schemas.openxmlformats.org/officeDocument/2006/relationships/hyperlink" Target="http://www.sec.gov/cgi-bin/browse-edgar?action=getcompany&amp;CIK=0001524858" TargetMode="External"/><Relationship Id="rId15" Type="http://schemas.openxmlformats.org/officeDocument/2006/relationships/hyperlink" Target="http://www.sec.gov/cgi-bin/browse-edgar?action=getcompany&amp;CIK=0001524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2019-12-18T02:42:52Z</dcterms:created>
  <dcterms:modified xsi:type="dcterms:W3CDTF">2019-12-18T02:42:52Z</dcterms:modified>
</cp:coreProperties>
</file>