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right="1860" w:firstLine="8"/>
        <w:spacing w:after="0" w:line="253" w:lineRule="auto"/>
        <w:tabs>
          <w:tab w:leader="none" w:pos="77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___to 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5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780 3rd Avenue, 15th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20" w:type="dxa"/>
            <w:vAlign w:val="bottom"/>
          </w:tcPr>
          <w:p>
            <w:pPr>
              <w:spacing w:after="0"/>
              <w:rPr>
                <w:sz w:val="16"/>
                <w:szCs w:val="16"/>
                <w:color w:val="auto"/>
              </w:rPr>
            </w:pPr>
          </w:p>
        </w:tc>
        <w:tc>
          <w:tcPr>
            <w:tcW w:w="4900" w:type="dxa"/>
            <w:vAlign w:val="bottom"/>
          </w:tcPr>
          <w:p>
            <w:pPr>
              <w:jc w:val="center"/>
              <w:ind w:left="590"/>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2"/>
          </w:tcPr>
          <w:p>
            <w:pPr>
              <w:jc w:val="center"/>
              <w:ind w:left="2010"/>
              <w:spacing w:after="0" w:line="195" w:lineRule="exact"/>
              <w:rPr>
                <w:sz w:val="20"/>
                <w:szCs w:val="20"/>
                <w:color w:val="auto"/>
              </w:rPr>
            </w:pPr>
            <w:r>
              <w:rPr>
                <w:rFonts w:ascii="Arial" w:cs="Arial" w:eastAsia="Arial" w:hAnsi="Arial"/>
                <w:sz w:val="18"/>
                <w:szCs w:val="18"/>
                <w:color w:val="auto"/>
                <w:w w:val="99"/>
              </w:rPr>
              <w:t>NYSE MKT</w:t>
            </w:r>
          </w:p>
        </w:tc>
        <w:tc>
          <w:tcPr>
            <w:tcW w:w="2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900" w:type="dxa"/>
            <w:vAlign w:val="bottom"/>
          </w:tcPr>
          <w:p>
            <w:pPr>
              <w:jc w:val="center"/>
              <w:ind w:left="590"/>
              <w:spacing w:after="0"/>
              <w:rPr>
                <w:sz w:val="20"/>
                <w:szCs w:val="20"/>
                <w:color w:val="auto"/>
              </w:rPr>
            </w:pPr>
            <w:r>
              <w:rPr>
                <w:rFonts w:ascii="Arial" w:cs="Arial" w:eastAsia="Arial" w:hAnsi="Arial"/>
                <w:sz w:val="18"/>
                <w:szCs w:val="18"/>
                <w:color w:val="auto"/>
                <w:w w:val="89"/>
              </w:rPr>
              <w:t>Warrants to purchase Common Stock</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2"/>
          </w:tcPr>
          <w:p>
            <w:pPr>
              <w:jc w:val="center"/>
              <w:ind w:left="2010"/>
              <w:spacing w:after="0"/>
              <w:rPr>
                <w:sz w:val="20"/>
                <w:szCs w:val="20"/>
                <w:color w:val="auto"/>
              </w:rPr>
            </w:pPr>
            <w:r>
              <w:rPr>
                <w:rFonts w:ascii="Arial" w:cs="Arial" w:eastAsia="Arial" w:hAnsi="Arial"/>
                <w:sz w:val="18"/>
                <w:szCs w:val="18"/>
                <w:color w:val="auto"/>
                <w:w w:val="99"/>
              </w:rPr>
              <w:t>NYSE MKT</w:t>
            </w:r>
          </w:p>
        </w:tc>
        <w:tc>
          <w:tcPr>
            <w:tcW w:w="2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8600" w:type="dxa"/>
            <w:vAlign w:val="bottom"/>
            <w:gridSpan w:val="4"/>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70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52"/>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and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spacing w:after="0"/>
              <w:rPr>
                <w:sz w:val="24"/>
                <w:szCs w:val="24"/>
                <w:color w:val="auto"/>
              </w:rPr>
            </w:pPr>
          </w:p>
        </w:tc>
        <w:tc>
          <w:tcPr>
            <w:tcW w:w="228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57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(do  not  check  if  smaller</w:t>
            </w:r>
          </w:p>
        </w:tc>
        <w:tc>
          <w:tcPr>
            <w:tcW w:w="2280" w:type="dxa"/>
            <w:vAlign w:val="bottom"/>
          </w:tcPr>
          <w:p>
            <w:pPr>
              <w:ind w:left="240"/>
              <w:spacing w:after="0"/>
              <w:rPr>
                <w:sz w:val="20"/>
                <w:szCs w:val="20"/>
                <w:color w:val="auto"/>
              </w:rPr>
            </w:pPr>
            <w:r>
              <w:rPr>
                <w:rFonts w:ascii="Arial" w:cs="Arial" w:eastAsia="Arial" w:hAnsi="Arial"/>
                <w:sz w:val="18"/>
                <w:szCs w:val="18"/>
                <w:color w:val="auto"/>
                <w:w w:val="93"/>
              </w:rPr>
              <w:t>Smaller reporting company</w:t>
            </w:r>
          </w:p>
        </w:tc>
        <w:tc>
          <w:tcPr>
            <w:tcW w:w="1220" w:type="dxa"/>
            <w:vAlign w:val="bottom"/>
          </w:tcPr>
          <w:p>
            <w:pPr>
              <w:ind w:left="620"/>
              <w:spacing w:after="0"/>
              <w:rPr>
                <w:sz w:val="20"/>
                <w:szCs w:val="20"/>
                <w:color w:val="auto"/>
              </w:rPr>
            </w:pPr>
            <w:r>
              <w:rPr>
                <w:rFonts w:ascii="Arial" w:cs="Arial" w:eastAsia="Arial" w:hAnsi="Arial"/>
                <w:sz w:val="18"/>
                <w:szCs w:val="18"/>
                <w:color w:val="auto"/>
              </w:rPr>
              <w:t>x</w:t>
            </w:r>
          </w:p>
        </w:tc>
      </w:tr>
      <w:tr>
        <w:trPr>
          <w:trHeight w:val="230"/>
        </w:trPr>
        <w:tc>
          <w:tcPr>
            <w:tcW w:w="2020" w:type="dxa"/>
            <w:vAlign w:val="bottom"/>
          </w:tcPr>
          <w:p>
            <w:pPr>
              <w:spacing w:after="0"/>
              <w:rPr>
                <w:sz w:val="20"/>
                <w:szCs w:val="20"/>
                <w:color w:val="auto"/>
              </w:rPr>
            </w:pPr>
          </w:p>
        </w:tc>
        <w:tc>
          <w:tcPr>
            <w:tcW w:w="3240" w:type="dxa"/>
            <w:vAlign w:val="bottom"/>
            <w:gridSpan w:val="2"/>
          </w:tcPr>
          <w:p>
            <w:pPr>
              <w:ind w:left="400"/>
              <w:spacing w:after="0"/>
              <w:rPr>
                <w:sz w:val="20"/>
                <w:szCs w:val="20"/>
                <w:color w:val="auto"/>
              </w:rPr>
            </w:pPr>
            <w:r>
              <w:rPr>
                <w:rFonts w:ascii="Arial" w:cs="Arial" w:eastAsia="Arial" w:hAnsi="Arial"/>
                <w:sz w:val="18"/>
                <w:szCs w:val="18"/>
                <w:color w:val="auto"/>
              </w:rPr>
              <w:t>reporting company)</w:t>
            </w:r>
          </w:p>
        </w:tc>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2"/>
        </w:trPr>
        <w:tc>
          <w:tcPr>
            <w:tcW w:w="7540" w:type="dxa"/>
            <w:vAlign w:val="bottom"/>
            <w:gridSpan w:val="4"/>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Act).</w:t>
            </w:r>
          </w:p>
        </w:tc>
        <w:tc>
          <w:tcPr>
            <w:tcW w:w="122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NYSE MKT on June 30, 2012, was $58,100,581.</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March 20, 2013, 82,451,074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94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Borders>
              <w:bottom w:val="single" w:sz="8" w:color="CCFFCC"/>
            </w:tcBorders>
          </w:tcPr>
          <w:p>
            <w:pPr>
              <w:spacing w:after="0"/>
              <w:rPr>
                <w:sz w:val="24"/>
                <w:szCs w:val="24"/>
                <w:color w:val="auto"/>
              </w:rPr>
            </w:pPr>
          </w:p>
        </w:tc>
        <w:tc>
          <w:tcPr>
            <w:tcW w:w="9940" w:type="dxa"/>
            <w:vAlign w:val="bottom"/>
            <w:tcBorders>
              <w:bottom w:val="single" w:sz="8" w:color="CCFFCC"/>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940" w:type="dxa"/>
            <w:vAlign w:val="bottom"/>
            <w:shd w:val="clear" w:color="auto" w:fill="CCFFCC"/>
          </w:tcPr>
          <w:p>
            <w:pPr>
              <w:spacing w:after="0"/>
              <w:rPr>
                <w:sz w:val="18"/>
                <w:szCs w:val="18"/>
                <w:color w:val="auto"/>
              </w:rPr>
            </w:pP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Business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1A:</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Risk Factors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1B:</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Unresolved Staff Comments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Properties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3:</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Legal Proceedings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Mine Safety Disclosures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940" w:type="dxa"/>
            <w:vAlign w:val="bottom"/>
            <w:shd w:val="clear" w:color="auto" w:fill="CCFFCC"/>
          </w:tcPr>
          <w:p>
            <w:pPr>
              <w:spacing w:after="0"/>
              <w:rPr>
                <w:sz w:val="18"/>
                <w:szCs w:val="18"/>
                <w:color w:val="auto"/>
              </w:rPr>
            </w:pP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Selected Financial Data</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7A:</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9A:</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Controls and Procedures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9B:</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Information</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III</w:t>
            </w:r>
          </w:p>
        </w:tc>
        <w:tc>
          <w:tcPr>
            <w:tcW w:w="9940" w:type="dxa"/>
            <w:vAlign w:val="bottom"/>
            <w:shd w:val="clear" w:color="auto" w:fill="CCFFCC"/>
          </w:tcPr>
          <w:p>
            <w:pPr>
              <w:spacing w:after="0"/>
              <w:rPr>
                <w:sz w:val="18"/>
                <w:szCs w:val="18"/>
                <w:color w:val="auto"/>
              </w:rPr>
            </w:pP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Executive Compensation</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14:</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Principal Accounting Fees and Services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IV</w:t>
            </w:r>
          </w:p>
        </w:tc>
        <w:tc>
          <w:tcPr>
            <w:tcW w:w="9940" w:type="dxa"/>
            <w:vAlign w:val="bottom"/>
            <w:shd w:val="clear" w:color="auto" w:fill="CCFFCC"/>
          </w:tcPr>
          <w:p>
            <w:pPr>
              <w:spacing w:after="0"/>
              <w:rPr>
                <w:sz w:val="18"/>
                <w:szCs w:val="18"/>
                <w:color w:val="auto"/>
              </w:rPr>
            </w:pP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Exhibits and Financial Statement Schedules</w:t>
            </w:r>
          </w:p>
        </w:tc>
        <w:tc>
          <w:tcPr>
            <w:tcW w:w="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(which was renamed Innovate/Protect, Inc.), and the former stockholders of I/P received shares of Vringo that constituted a majority of the outstanding shares of Vringo.</w:t>
      </w:r>
    </w:p>
    <w:p>
      <w:pPr>
        <w:spacing w:after="0" w:line="173"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As a result, the Merger has been accounted for as a reverse acquisition under which I/P was considered the acquirer of Vringo. As such, the financial statements of I/P are treated as the historical financial statements of the combined company, with the results of Vringo being included from July 19, 2012.</w:t>
      </w:r>
    </w:p>
    <w:p>
      <w:pPr>
        <w:spacing w:after="0" w:line="12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references in this Annual Report on Form 10-K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Annual Report on Form 10-K includes certain "forward-looking statements" relating to such matters as anticipated financial performance, future revenues or earnings, business prospects, projected ventures, new products and services, anticipated market performance and similar matters. The words "may", "will", “expect", “anticipate", "continue", "estimate", "project", "intend", and similar expressions are intended to identify forward-looking statements regarding events, conditions, and financial trends that may affect future plans of operations, business strategy, operating results, and financial position.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caution readers that a variety of factors could cause actual results to differ materially from anticipated results or other matters expressed in forward-looking statements. These risks and uncertainties, many of which are beyond our control, include:</w:t>
      </w:r>
    </w:p>
    <w:p>
      <w:pPr>
        <w:spacing w:after="0" w:line="170" w:lineRule="exact"/>
        <w:rPr>
          <w:sz w:val="20"/>
          <w:szCs w:val="20"/>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monetize our patents or recoup our investment;</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new intellectual property;</w:t>
      </w:r>
    </w:p>
    <w:p>
      <w:pPr>
        <w:spacing w:after="0" w:line="225" w:lineRule="exact"/>
        <w:rPr>
          <w:rFonts w:ascii="Arial" w:cs="Arial" w:eastAsia="Arial" w:hAnsi="Arial"/>
          <w:sz w:val="18"/>
          <w:szCs w:val="18"/>
          <w:color w:val="auto"/>
        </w:rPr>
      </w:pPr>
    </w:p>
    <w:p>
      <w:pPr>
        <w:ind w:left="2920" w:hanging="643"/>
        <w:spacing w:after="0" w:line="277" w:lineRule="auto"/>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legislation, regulations or court rulings related to enforcing patents, that could harm our business and operating results;</w:t>
      </w:r>
    </w:p>
    <w:p>
      <w:pPr>
        <w:spacing w:after="0" w:line="170"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realize the potential value created by the Merger with I/P for our stockholders;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of market acceptance of our products;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trends in the mobile phone and telecom infrastructure industries;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sales, profitability and other financial metrics;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expand our marketing and other operational capabilities;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raise additional capital to fund our combined operations and business plan;</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successfully compete with other providers and products;</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a major exchange; and</w:t>
      </w:r>
    </w:p>
    <w:p>
      <w:pPr>
        <w:spacing w:after="0" w:line="225" w:lineRule="exact"/>
        <w:rPr>
          <w:rFonts w:ascii="Arial" w:cs="Arial" w:eastAsia="Arial" w:hAnsi="Arial"/>
          <w:sz w:val="18"/>
          <w:szCs w:val="18"/>
          <w:color w:val="auto"/>
        </w:rPr>
      </w:pPr>
    </w:p>
    <w:p>
      <w:pPr>
        <w:ind w:left="2920" w:hanging="643"/>
        <w:spacing w:after="0"/>
        <w:tabs>
          <w:tab w:leader="none" w:pos="2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management believes the expectations reflected in these forward-looking statements are reasonable, such expectations cannot guarantee future results, levels of activity, performance or achievements. We disclaim any obligation to publicly update or release any revisions to these forward-looking statements, whether as a result of new information, future events or otherwise, after the date of this Annual Report on Form 10-K or to reflect the occurrence of unanticipated events, except as required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color w:val="auto"/>
        </w:rPr>
        <w:t>We were incorporated in Delaware on January 9, 2006 and commenced operations during the first quarter of 2006. In March 2006, we formed a wholly-owned subsidiary, Vringo (Israel) Ltd., for the primary purpose of providing research and development services, as detailed in the intercompany service agreement. On July 19, 2012, I/P merged with us through an exchange of equity instruments of I/P for those of Vringo. The Merger was accounted for as a reverse acquisition under which I/P was considered the accounting acquirer of Vringo. As such, the financial statements of I/P are treated as the historical financial statements of the combined company, with the results of Vringo being included from July 19, 2012. I/P was incorporated in Delaware on June 8, 2011, originally as Labrador Search Corporation, and holds two wholly-owned subsidiaries: I/P Engine Inc., which was formed in Virginia on June 14, 2011, originally as Smart Search Labs Inc., which operates for the purpose of realizing economic benefits of intellectual property, and I/P Labs, Inc., which was incorporated in Delaware on June 8, 2011, originally as Scottish Terrier Capital Inc., which operates for the purpose of acquiring and developing patented technologies and intellectual property. On August 31, 2012, we formed two wholly-owned subsidiaries, incorporated in Delaware: Vringo Labs, Inc. which operates for the purpose of acquiring and developing patented technologies and intellectual property and Vringo Infrastructure, Inc., which operates for the purpose of realizing economic benefits from telecommunications infrastructure patents. Vringo Infrastructure, Inc. acquired assets from Nokia Corporation (“Nokia”) upon its formation, as further described below. In addition, on October 18, 2012, we formed a wholly-owned subsidiary in Germany, Vringo Germany GmbH, for the purpose of innovating, developing, and monetizing mobile technology and intellectual property in Germany.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strives to innovate, acquire, license and protect intellectual property worldwide. Our attempts are focused on identification, acquisition and generation of economic benefits of intellectual property assets. We plan to continue to further expand our portfolio of intellectual property assets through acquisition and internal development of new technologies. We intend to monetize our intellectual property assets through a variety of value enhancing initiatives, including, but not limited to:</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We are still a development stage company. From the inception of I/P (June 8, 2011) (“Inception”) to date, we have raised approximately $95,839,000. These amounts have been used to finance our operations, as until now, we have not yet generated any significant revenues. From Inception through December 31, 2012, we recorded losses of approximately $23,595,000 and net cash outflow from operations of approximately $15,996,000. Our average monthly cash burn rate from operations for the year ended December 31, 2012 and for the period from Inception through December 31, 2011 was approximately $1,205,000 and $228,000,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Inception in June 2011, I/P acquired its initial patent assets from Lycos, Inc (“Lycos”) through its wholly-owned subsidiary, I/P Engine. Such assets were comprised of eight patents relating to information filtering and search technologies. As one means of realizing the value of the patents acquired from Lycos, on September 15, 2011, I/P initiated (through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trial, I/P Engine and Defendants filed post-trial motions with the court. The parties have now fully briefed all but one of the filed post-trial motions. I/P Engine filed motions related to the issues of laches, damages, and post-judgment royalties, which is the one motion not fully briefed. The Defendants filed motions related to issues of non-infringement, invalidity and damages. The court has denied I/P Engine’s motion related to the issue of laches. The fully briefed motions are ripe for judicial determination. The court has indicated that after the currently-briefed motions are decided, the court may consider the issue of post-judgment royalties.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15, 2012, Google submitted a request to the USPTO for ex parte reexamination of U.S. Patent No. 6,314,420, one of the two patents-in-suit. The request was deposited on March 16, 2012 and was assigned Control No. 90/009,991. This request is a standard tactic used by defendants in patent litigation cases. On July 18, 2012, the USPTO issued a determination ordering a reexamination. On September 25, 2012, the USPTO issued a first, non-final office action where it adopted the rejections proposed by Google. Our response was filed on November 26, 2012. Since then, we conducted an examiner interview and filed an Interview Summary on February 22,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32"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t>On November 28, 2012, Google submitted a request to the USPTO for ex parte reexamination of U.S. Patent No. 6,775,664, the other of the two patents-in-suit. The request was assigned Control No. 90/012,722. On January 17, 2013, the USPTO issued a determination ordering a reexamination, but found that three of the identified prior art references identified by Google were not considered prior art to the 6,775,664 patent. We expect further action from the USPTO, either a Notice of Allowance or a First, Non-Final Office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 effort to have those three prior art references considered in a reexamination request of U.S. Patent No. 6,775,664, Google filed a second reexamination request of that patent on February 8, 2013. On March 7, 2013, the USPTO issued a determination ordering a reexamination in the second requested reexamination. The reexamination was assigned Control No. 90/012,791.</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The case number is 1:13 CV 688-JGK.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agreed to sell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$22,000,000, a royalty of 35% of such excess would be payable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alleging infringement of certain European patents.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European Patents (UK) 1,212,919; 1,166,589; and 1,808,029. ZTE (UK) Ltd.’s formal response to the complaint was received on November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A case management conference where among other matters, the schedule for the UK lawsuits will be set, is anticipated in April or May, 2013.</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 and the Patents Court are heard by distinct appellate courts. The final appeals from those appeal courts are combined and heard together in German Federal Supreme Court. Infringement actions are typically decided by the trial court within 8 to 13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European Patent (DE) 1,212,919. ZTE Corporation and ZTE Deutschland GmbH formally responded to the complaint on February, 15, 2013. The lawsuit was expanded to include a second patent on February 21, 2013, alleging infringement of European Patent (DE) 1,186,119. At the Mannheim Court’s request a consolidated trial is scheduled to be held on October 15, 2013. On February 14, 2013, ZTE filed its first defensive infringement pleading with respect to European Patent (DE) 1,186,119. The Mannheim Court has set the due date for Vringo Germany’s reply brief on May 31, 2013 and ZTE’s rejoinder brief on August 30, 2013. No further briefing before trial is currently anticipated.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 xml:space="preserve">To date, ZTE has not made an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offer with respect to European Patent (DE) 1,186,119. Under German law, where a defendant alleges:</w:t>
      </w:r>
    </w:p>
    <w:p>
      <w:pPr>
        <w:spacing w:after="0" w:line="46" w:lineRule="exact"/>
        <w:rPr>
          <w:sz w:val="20"/>
          <w:szCs w:val="20"/>
          <w:color w:val="auto"/>
        </w:rPr>
      </w:pPr>
    </w:p>
    <w:p>
      <w:pPr>
        <w:jc w:val="both"/>
        <w:ind w:firstLine="8"/>
        <w:spacing w:after="0" w:line="270"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plaintiff has a dominant position under the relevant competition (a/k/a anti-trust) laws, for example, because of plaintiff’s assertion of a patent that is essential to a technical standard, and (b) plaintiff has failed to offer a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15, 2013, ZTE filed a nullity suit with respect to European Patent (DE) 1,212,919 in the Federal Court, Munich, Germany, alleging invalidity of the patent. We anticipate a trial in the nullity suit to occur in the second half of 2014.</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and December 2012, ZTE Corporation initiated invalidity proceedings in China against Chinese Patents ZL00806049.5; ZL 00812876.6; and ZL200480044232.1, the Chinese equivalents of European Patents 1,212,919; 1,166,589; and 1,808,029. Vringo Infrastructure has begun defending these actions by filing responses in January and February 2013. The oral hearing for ZL200480044232.1 has been scheduled for April 2013. An oral hearing for ZL00806049.5, has been scheduled for May 2013. A hearing for ZL00812876.6 has not yet been scheduled.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Applications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continue to grow our technology portfolio. In the second half of 2012, as part of our efforts to develop new technology assets in the mobile and social media space, inventors working for us filed nine provisional patent applications covering technologies including: determining content relevance based on a user’s relationships; using mobile technologies as sleep aids; combining social media and on-line videos; improving mobile security using facial recognition technology; monitoring usage patterns of mobile devices and computers to make recommendations; technology that allows to post call information to social media; technology to assist in prioritizing electronic communications; technology that rewards a user’s specific wireless device activity. Additionally, our existing mobile portfolio continues to mature; including the grant on August 1, 2012 of European Patent 1,982,549 and on October 23, 2012 of U.S. Patent No. 8,295,205.</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part of our efforts to develop new technology in the telecom infrastructure space, we filed 12 continuation applications in the United States. In addition, we filed a continuation-in-part application that combines internally developed innovation in the Digital Rights Management space with telecom infrastructure. Further, through our wholly-owned subsidiary, Vringo Labs, Inc., we filed a patent application relating to wireless energy charging.</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2012, I/P Engine entered into a patent purchase agreement, pursuant to which we issued the seller 160,600 unregistered shares of our common stock, as well as a payment of 20% of collected future revenue attributable to the acquired patents and applications. The portfolio comprises U.S. Patent numbers 7,831,512 and 8,315,949, and U.S. application number 13/653,894. This intellectual property relates to the placement of advertisements on web pages when there is a vacancy for an advertisement, and such advertisement is placed via a bidding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Social Applications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developed a platform for the distribution of mobile applications. We continue to develop this platform and integrate it with mobile operators and content providers. Our product, which encompasses a suite of mobile and PC-based tools, enables users to create, download and share video ringtones and provides our business partners with a consumer-friendly and easy-to-integrate monetization platform. The standard revenue model for our video ringtone service offered through the carriers is a subscription-based model where users pay a monthly fee for access to our service and additional fees for premium content. Our Vringo video ringtone mobile application also functions as a standalone direct-to-consumer offering. Our free version has been released as an advertisement-supported application on the Google Play marketplace and is available in markets where we have not entered into commercial arrangements with carriers or other partners. As of March 21, 2013, we have commercial video ringtone services with nine carriers and partners.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Facetones® social ringtone application generates social visual ringtone content automatically by aggregating and displaying a user’s friends’ pictures from social networks and then displaying the pictures as a video ringtone, as well as a video ringback tone. These ringtones do not replace, but rather enhance, standard ringtone and ringback tones with relevant, current social content that is visually displayed. The product is available to consumers on several operating systems, most notably Android and is delivered in various configurations, with a variety of monetization methods. As of March 21, 2013, the Facetones® free ad-supported version had more than 2,000,000 total downloads across all platforms and is generating more than 2,500,000 advertising impressions on a weekly basis, primarily in North America. Facetones® is offered directly to consumers via leading mobile application stores and download sites where both freemium and ad-supported versions are available. Our revenue model is based on proceeds received from advertising networks, as well as from related development projects and potential payment of royalties. We have developed five separate versions of Facetones, including our most recent partnership with Nokia for the Asha Full Touch 311 devices.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Merger</w:t>
      </w:r>
    </w:p>
    <w:p>
      <w:pPr>
        <w:spacing w:after="0" w:line="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July 19, 2012, we consummated the Merger with I/P. I/P merged with and into VIP Merger Sub, Inc., a wholly-owned subsidiary of Vringo (“Merger Sub”), with Merger Sub being the surviving corporation through an exchange of capital stock of I/P for our capital stock. Upon completion of the Merger, (i) all of the 6,169,661 outstanding shares of common stock of I/P, par value $0.0001 per share were converted into 18,617,569 shares of our common stock, par value $0.01 per share; and (ii) all of the 6,673 shares of I/P’s Series A Preferred Stock, par value $0.0001 per share, converted into 6,673 shares of our Series A Convertible Preferred Stock, par value $0.01 per share, which converted into an aggregate of 20,136,445 shares of our common stock. The preferred stock issued had the powers, designations, preferences and other rights as set forth in a Certificate of Designations, Preferences and Rights of Series A Convertible Preferred Stock filed by us at closing. In addition, we issued to the holders of I/P capital stock (on a pro rata as-converted basis) an aggregate of 15,959,838 warrants to purchase an aggregate of 15,959,838 shares of our common stock with an exercise price of $1.76 per share.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Immediately following the completion of the Merger, the former stockholders of I/P owned approximately 55.04% of the outstanding common stock of the combined company, and our pre-merger stockholders owned approximately 44.96% of the outstanding common stock of the combined company. On a fully diluted basis, the former stockholders of I/P owned approximately 67.61% of the outstanding common stock of the combined company, and our pre-merger stockholders owned approximately 32.39% of the outstanding common stock of the combined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accounting purposes, I/P was identified as the accounting “acquirer”, as it is defined in </w:t>
      </w:r>
      <w:r>
        <w:rPr>
          <w:rFonts w:ascii="Arial" w:cs="Arial" w:eastAsia="Arial" w:hAnsi="Arial"/>
          <w:sz w:val="18"/>
          <w:szCs w:val="18"/>
          <w:i w:val="1"/>
          <w:iCs w:val="1"/>
          <w:color w:val="auto"/>
        </w:rPr>
        <w:t>FASB Topic ASC 805</w:t>
      </w:r>
      <w:r>
        <w:rPr>
          <w:rFonts w:ascii="Arial" w:cs="Arial" w:eastAsia="Arial" w:hAnsi="Arial"/>
          <w:sz w:val="18"/>
          <w:szCs w:val="18"/>
          <w:color w:val="auto"/>
        </w:rPr>
        <w:t>. As a result, in the post-combination consolidated financial statements, as presented beginning with the third quarter of 2012, I/P’s assets and liabilities are presented at its pre-combination amounts, and our assets and liabilities are recognized and measured in accordance with the guidance for business combinations in ASC 805. See also Note 8 to the accompanying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I/P, Legal Parent and their wholly-owned subsidiaries, and are presented in accordance with generally accepted accounting principles in the United States of America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December 31, 2012. Moreover, common stock amounts presented for comparative periods differ from those previously presented by I/P, due to application of accounting requirements applicable to a reverse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innovate, acquire, license and protect intellectual property worldwide. We continually strive to expand our portfolio of intellectual property both through acquisition and development. Our goal is to partner with inventors who own the rights on compelling technologies. As of today, we manage an intellectual property portfolio consisting of over 500 patents and patent applications, covering telecom infrastructure, internet search, and mobile technologies. These patents and patent applications have been developed internally and acquired from third parties. To date we have filed 24 patents and had three issued in the United States and one notice of allowance in Europe. We believe that licenses to certain of our patents will be of interest to other application developers, infrastructure providers and manufacturers, and hardware manufacturers.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seek to purchase all of, or interests in, intellectual property in exchange for cash and/or securities of our company and/or interests in the monetization of those assets. Our revenue from this business can be generated through licensing and litigation efforts. We engage in robust due diligence and a principled risk underwriting process to evaluate the merits and potential value of these assets. We seek to structure the terms of our acquisitions in a manner that will achieve the highest risk-adjusted returns possible. We believe that our capital resources and potential access to capital, together with the experience of our management team and board, will allow us to assemble a portfolio of quality assets with short and long-term revenue opportunities.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our core technology and business relationships will allow us to distribute applications and services through mobile operators, handset makers, and application storefronts. Our video ringtone platform remains the primary source of revenues among our mobile products and we continue to develop business for this product with mobile operators and content providers. Our solution, which encompasses a suite of mobile and PC-based tools, enables users to create, download and share video ringtones and provides our business partners with a consumer-friendly and easy-to-integrate monetization platform. Our Vringo video ringtone mobile app also functions as a standalone direct-to-consumer offering. As of March 21, 2013, we have commercial video ringtone services with seven carriers and partners. Separately, we seek to continue to expand the distribution of our free, ad-supported, mobile application.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Our business, financial condition and results of operations and the trading price of our common stock could be materially adversely affected by any of the following risks as well as the other risks highlighted elsewhere in this Annual Report on Form 10-K, particularly the discussions about regulation, competition and intellectual property. Additional risks and uncertainties not presently known to us or that we currently deem immaterial also may impair our business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focused on the assertion of these patents.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 license or otherwise monetize the patent assets we own, we commenced legal proceedings against the owners of online search engines and other companies (including Microsoft Corp, ZTE (UK) Ltd., AOL, Inc., Google, Inc., IAC Search &amp; Media, Inc., Gannett Company, Inc., and Target Corporation), pursuant to which we allege that such companies infringe on one or more of our patents. Our viability is highly dependent on the outcome of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others to enforce or defend our intellectual property rights or to determine the validity and scope of other parties’ proprietary rights. The defendants or other third parties involved in the lawsuits in which we are involved may allege defenses and/or file counterclaims in an effort to avoid or limit liability and damages for patent infringement. If such defenses or counterclaims are successful, they may preclude our ability to derive licensing revenue from the patents. A negative outcome of any such litigation, or one or more claims contained within any such litigation, could materially and adversely impact our business. Additionally, we anticipate that our legal fees and other expenses will be material and will negatively impact our financial condition and results of operations and may result in our inability to continue our business. Expenses are also dependent on the outcome of current proceedings. Our failure to monetize our patent assets would significantly harm our business and financial position.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While we believe that the patents we own are being infringed by certain major online search engines and communications companies, there is a risk that a court will find the patents invalid, not infringed or unenforceable and/or that the U.S. Patent Office (USPTO) will either invalidate the patents or materially narrow the scope of their claims during the course of a re-examination.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companies infringe our patents, but recognize that obtaining and collecting a judgment against such companies may be difficult or impossible. Patent litigation is inherently risky and the outcome is uncertain. Some of the parties we believe infringe on our patents are large and well-financed companies with substantially greater resources than ours. We believe that these parties would devote a substantial amount of resources in an attempt to avoid or limit a finding that they are liable for infringing our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we own.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statutory authority, regulatory authority, federal rules, local court rules, or governing standards relating to the substantive or procedural aspects of such enforcement actions. In such event, a court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There is a higher rate of appeals in patent enforcement litigation than standard business litigation. The defendants in any patent action we bring in the United States, including without limitation in the I/P Engine v. AOL et al. matter may file an appeal to the Court of Appeals to the Federal Circuit and possibly in the United States Supreme Court. Such appeals are expensive and time-consuming, and the outcomes of such appeals are sometimes unpredictable, resulting in increased costs and reduced or delayed revenue.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believe that the more prevalent patent enforcement actions become, the more difficult it will be for us to license our patents without engaging in litigation. As a result, we may need to increase the number of our patent enforcement actions to cause infringing companies to license the patent or pay damages for lost royalties. This will adversely affect our operating results due to the high costs of litigation and the uncertainty of the results.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subsidiaries, Vringo Infrastructure Inc. (“Vringo Infrastructure”) and Vringo Germany GmbH (“Vringo Germany”), have commenced legal proceedings against ZTE (UK) Ltd., ZTE Corporation, and ZTE Deutschland GmbH (collectively “ZTE”)</w:t>
      </w:r>
      <w:r>
        <w:rPr>
          <w:rFonts w:ascii="Arial" w:cs="Arial" w:eastAsia="Arial" w:hAnsi="Arial"/>
          <w:sz w:val="17"/>
          <w:szCs w:val="17"/>
          <w:color w:val="auto"/>
        </w:rPr>
        <w:t>,</w:t>
      </w:r>
      <w:r>
        <w:rPr>
          <w:rFonts w:ascii="Arial" w:cs="Arial" w:eastAsia="Arial" w:hAnsi="Arial"/>
          <w:sz w:val="17"/>
          <w:szCs w:val="17"/>
          <w:b w:val="1"/>
          <w:bCs w:val="1"/>
          <w:color w:val="auto"/>
        </w:rPr>
        <w:t xml:space="preserve"> and expects such litigation to be time-consuming and costly, which may adversely affect our financial position and our ability to operate our business.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license or otherwise monetize the patent assets we acquired from Nokia, Vringo Infrastructure and Vringo Germany have commenced legal proceedings against ZTE, pursuant to which, Vringo Infrastructure and Vringo Germany allege that ZTE infringe certain of Vringo Infrastructure and/or Vringo Germany’s patents. The defendant’s parent company is much larger than us and has substantially more resources, which could make our litigation efforts more difficult.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7"/>
          <w:szCs w:val="17"/>
          <w:color w:val="auto"/>
        </w:rPr>
        <w:t>We anticipate that the above-mentioned legal proceedings may continue for several years and may require significant expenditures for legal fees and other expenses. Disputes regarding the assertion of patents and other intellectual property rights are highly complex and technical. Once initiated, Vringo Infrastructure and Vringo Germany may be forced to litigate against others to enforce or defend their intellectual property rights or to determine the validity and scope of other parties’ proprietary rights. ZTE may allege defenses and/or file counterclaims for inter alia revocation or file collateral litigations or initiate investigations in the UK or elsewhere in an effort to avoid or limit liability and damages for patent infringement. If such actions by ZTE are successful, they may preclude our ability to derive licensing revenue from the patents currently being asserted. We anticipate that ZTE may file additional invalidity proceedings against the China equivalents of EP Nos. 1,221,212; 1,330,933 and 1,186,119.</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should we be deemed the losing party in any of our applications to the Court in the UK litigation or for the entire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$3,100,000. In Germany the amount of fees payable by a losing party is determined based on one of four possible statutory levels of “value in dispute.” The value is dispute is only very loosely correlated to the actual value of any potential final settlement or license. Under the current statute, our risk is capped at €735,000 were the court to determine that the value is dispute is at the highest tier under law.</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However, should we be successful on any court applications or the entire litigation, ZTE would be responsible for a substantial percentage of our legal fees.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Germany, should the court order an injunction, for it to be enforced, per the statutory rates, we believe the security would be for €1,000,000 for each of the two patents asserted. The statutory rate is not correlated to any actual monetary harm ZTE may suffer from the injunction. As a result, the district court judge is entitled to increase the amount of the security.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European patents (UK) would be viewed as essential and therefore infringed by all unlicensed market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 is also possible that, in light of our litigation with ZTE, it will choose to suspend or sever its Facetones® related commercial relationship with us.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assurance that we will be able to successfully monetize the patent portfolio that we have acquired from Nokia.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there is no assurance that we will be able to monetize the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interference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10" w:name="page11"/>
    <w:bookmarkEnd w:id="10"/>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Congress, the USPTO or courts implement new legislation, regulations or rulings that impact the patent enforcement process or the rights of patent holders, these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the United States patent law. These changes include provisions that affect the way patent applications will be prosecuted and may also affect patent litigation. As the regulations and procedures to govern administration of the Leahy-Smith Act, were only recently fully effective, it is too early to tell what, if any, impact the Leahy-Smith Act will have on the operation of our business. However, the Leahy-Smith Act and its implementation could increase the uncertainties and costs surrounding the prosecution of patent applications and the enforcement or defense of patents issued to us, all of which could have a material adverse effect on our business and financial condition.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of patent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 assets, there is no guarantee that we will generate sufficient revenue related to those patent assets to offset the acquisition costs. While we will seek to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identify patent or other intellectual property assets that cost more than we are prepared to spend with our own capital resources. We may incur significant costs to organize and negotiate a structured acquisition that does not ultimately result in an acquisition of any patent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our patent assets or other intellectual property rights could significantly impair our return on investment from such assets and harm our brand, business and operating results.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operate our business and compete in the intellectual property market largely depends on the superiority, uniqueness and value of our patent assets and other intellectual property. To protect our proprietary rights, we rely on and will rely on a combination of patent, trademark, copyright and trade secret laws, confidentiality agreements with our employees and third parties, and protective contractual provisions. No assurances can be given that any of the measures we undertake to protect and maintain our assets will have any measure of success.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Following the acquisition of patent assets, we will likely be required to spend significant time and resources to maintain the effectiveness of those assets by paying maintenance fees and making filings with the USPTO. We may acquire patent assets, including patent applications, which require us to spend resources to prosecute the applications with the USPTO. Further, there is a material risk that patent related claims (such as, for example, infringement claims (and/or claims for indemnification resulting therefrom), unenforceability claims, or invalidity claims) will be asserted or prosecuted against us, and such assertions or prosecutions could materially and adversely affect our business. Regardless of whether any such claims are valid or can be successfully asserted, defending such claims could cause us to incur significant costs and could divert resources away from our other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our efforts to protect our intellectual property rights, any of the following or similar occurrences may reduce the value of our intellectual property:</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applications for patents, trademarks and copyrights may not be granted and, if granted, may be challenged or invalidated;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us with any competitive advantages versus potentially infringing parties;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protect our intellectual property rights may not be effective in preventing misappropriation of our technology;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may not prevent the development and design by others of products or technologies similar to or competitive with, or superior to those we acquire and/or prosecute.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we may not be able to effectively protect our intellectual property rights in certain foreign countries where we may do business in the future or from which competitors may operate. If we fail to maintain, defend or prosecute our patent assets properly, the value of those assets would be reduced or eliminated, and our business would be harmed.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jc w:val="both"/>
        <w:ind w:firstLine="648"/>
        <w:spacing w:after="0" w:line="268" w:lineRule="auto"/>
        <w:rPr>
          <w:sz w:val="20"/>
          <w:szCs w:val="20"/>
          <w:color w:val="auto"/>
        </w:rPr>
      </w:pPr>
      <w:r>
        <w:rPr>
          <w:rFonts w:ascii="Arial" w:cs="Arial" w:eastAsia="Arial" w:hAnsi="Arial"/>
          <w:sz w:val="17"/>
          <w:szCs w:val="17"/>
          <w:color w:val="auto"/>
        </w:rPr>
        <w:t>Should our warrants outstanding as of March 20, 2013, be exercised, there would be an additional 18,769,115 shares of common stock eligible for trading in the public market. In addition, we currently have incentive equity instruments outstanding to purchase 15,219,002 shares of our common stock granted to our management, employees, directors and consultants. Certain options granted to officers, directors and certain key employees are subject to acceleration of vesting of up to 100% (according to the agreement signed with each grantee), upon a subsequent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March 20, 2013, is $3.19 per share.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20, 2013, we had 82,451,074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64" w:gutter="0" w:footer="0" w:header="0"/>
        </w:sectPr>
      </w:pPr>
    </w:p>
    <w:bookmarkStart w:id="12" w:name="page13"/>
    <w:bookmarkEnd w:id="12"/>
    <w:p>
      <w:pPr>
        <w:spacing w:after="0" w:line="9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are unable to adequately protect our intellectual property, we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in such collaborators.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our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6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unable to enter into or maintain distribution arrangements with major mobile carriers and/or other partners and develop and maintain our existing strategic relationships with mobile carriers, we will be unable to distribute our products effectively or generate significant revenue.</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our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their rights under the agreement at any time and for any reason upon 30 days’ notice. We are dependent upon the subsequent success of these partners in performing their responsibilities and sufficiently marketing our service. We cannot provide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that we currently support.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represented less than 5% of our revenue for the year ended December 31, 2012, is heavily reliant upon our Android devices users. Currently, over 96% of our Facetones® users utilize the Android operating system. In addition, our commercial agreement with ZTE is solely reliant on our ability to maintain our support for the Android operating system. Since these operating systems do not support our applications natively, any significant changes to these operating systems by their respective developers may prevent our</w:t>
      </w:r>
    </w:p>
    <w:p>
      <w:pPr>
        <w:sectPr>
          <w:pgSz w:w="11900" w:h="16933" w:orient="portrait"/>
          <w:cols w:equalWidth="0" w:num="1">
            <w:col w:w="11420"/>
          </w:cols>
          <w:pgMar w:left="240" w:top="904" w:right="239" w:bottom="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results of operations.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NYSE MKT (formerly, NYSE Amex). Should stockholders not approve such issuances, one means to raise capital would be through debt, which could have a material adverse effect on our balance sheet and overall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some of our employees, some of which are governed by Israeli law. These agreements generally prohibit our employees from competing with or working for our competitors, during their term of employment and for specified periods of time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our current revenues are, and are expected to be, generated in U.S Dollars, British Pounds and Euros, while a portion of our expenses is, and is expected to be, incurred in British Pounds, Euros and in New Israeli Shekels, our results may be significantly affected by currency exchange rate fluctuations.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revenues are, and are expected to be, generated in U.S Dollars, Euros and in the British Pound, while significant salary related expenses are paid in New Israeli Shekels and expenses related to maintaining, prosecuting and enforcing the patents acquired from Nokia are expected to be paid in British Pounds and in Euros. As a result, we are exposed to the adverse effect of increased dollar-measured cost of our operations, as value of these currencies may materially fluctuate against the U.S Dollar, as it is affected by, among other things, changes in political and economic conditions. Fluctuations in the abovementioned exchange rates, or even the appearance of instability in any such exchange rate, could adversely affect our ability to operate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Israeli subsidiary, may increase our operating costs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Our New York office, which serves as our corporate U.S. executive office, is located at 780 3rd Avenue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The annual rent for this office is approximately $137,000. The research and development facility of our subsidiary is located in the BIG Center Building, 1 Yigal Alon</w:t>
      </w:r>
    </w:p>
    <w:p>
      <w:pPr>
        <w:jc w:val="both"/>
        <w:spacing w:after="0" w:line="217" w:lineRule="auto"/>
        <w:rPr>
          <w:sz w:val="20"/>
          <w:szCs w:val="20"/>
          <w:color w:val="auto"/>
        </w:rPr>
      </w:pPr>
      <w:r>
        <w:rPr>
          <w:rFonts w:ascii="Arial" w:cs="Arial" w:eastAsia="Arial" w:hAnsi="Arial"/>
          <w:sz w:val="18"/>
          <w:szCs w:val="18"/>
          <w:color w:val="auto"/>
        </w:rPr>
        <w:t>St.,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Bet-Shemesh, Israel. The facility is subject to a one-year lease and the annual rent is approximately $72,000. The lease for the New York office and the subsidiary’s research and development facility will expire in September 2015 and May 2013, respectively. We believe that our existing facilities are adequate to accommodate our business needs.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Inception in June 2011, I/P acquired its initial patent assets from Lycos, Inc (“Lycos”) through its wholly-owned subsidiary, I/P Engine. Such assets were comprised of eight patents relating to information filtering and search technologies. As one means of realizing the value of the patents acquired from Lycos, on September 15, 2011, I/P initiated (through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w:t>
      </w:r>
    </w:p>
    <w:p>
      <w:pPr>
        <w:sectPr>
          <w:pgSz w:w="11900" w:h="16838" w:orient="portrait"/>
          <w:cols w:equalWidth="0" w:num="1">
            <w:col w:w="11420"/>
          </w:cols>
          <w:pgMar w:left="240" w:top="904" w:right="239" w:bottom="109"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jc w:val="both"/>
        <w:ind w:firstLine="648"/>
        <w:spacing w:after="0" w:line="257" w:lineRule="auto"/>
        <w:rPr>
          <w:sz w:val="20"/>
          <w:szCs w:val="20"/>
          <w:color w:val="auto"/>
        </w:rPr>
      </w:pPr>
      <w:r>
        <w:rPr>
          <w:rFonts w:ascii="Arial" w:cs="Arial" w:eastAsia="Arial" w:hAnsi="Arial"/>
          <w:sz w:val="18"/>
          <w:szCs w:val="18"/>
          <w:color w:val="auto"/>
        </w:rPr>
        <w:t>After trial, I/P Engine and Defendants filed post-trial motions with the court. The parties have now fully briefed all but one of the filed post-trial motions. I/P Engine filed motions related to the issues of laches, damages, and post-judgment royalties, which is the one motion not fully briefed. The Defendants filed motions related to issues of non-infringement, invalidity and damages. The court has denied I/P Engine’s motion related to the issue of laches. The fully briefed motions are ripe for judicial determination. The court has indicated that after the currently-briefed motions are decided, the court may consider the issue of post-judgment royalties.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15, 2012, Google submitted a request to the USPTO for ex parte reexamination of U.S. Patent No. 6,314,420, one of the two patents-in-suit. The request was deposited on March 16, 2012 and was assigned Control No. 90/009,991. This request is a standard tactic used by defendants in patent litigation cases. On July 18, 2012, the USPTO issued a determination ordering a reexamination. On September 25, 2012, the USPTO issued a first, non-final office action where it adopted the rejections proposed by Google. Our response was filed on November 26, 2012. Since then, we conducted an examiner interview and filed an Interview Summary on February 22, 2013.</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2012, Google submitted a request to the USPTO for ex parte reexamination of U.S. Patent No. 6,775,664, the other of the two patents-in-suit. The request was assigned Control No. 90/012,722. On January 17, 2013, the USPTO issued a determination ordering a reexamination, but found that three of the identified prior art references identified by Google were not considered prior art to the 6,775,664 patent. We expect further action from the USPTO, either a Notice of Allowance or a First, Non-Final Office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 effort to have those three prior art references considered in a reexamination request of U.S. Patent No. 6,775,664, Google filed a second reexamination request of that patent on February 8, 2013. On March 7, 2013, the USPTO issued a determination ordering a reexamination in the second requested reexamination. The reexamination was assigned Control No. 90/012,791.</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The case number is 1:13 CV 688-JGK.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agreed to sell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including communication management, data and signal transmission, mobility management, radio resources management and services. Declarations have been filed by Nokia indicating that thirty-one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$22,000,000, a royalty of 35% of such excess would be payable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alleging infringement of certain European patents.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European Patents (UK) 1,212,919; 1,166,589; and 1,808,029. ZTE (UK) Ltd.’s formal response to the complaint was received on November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A case management conference where among other matters, the schedule for the UK lawsuits will be set, is anticipated in April or May, 2013.</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 and the Patents Court are heard by distinct appellate courts. The final appeals from those appeal courts are combined and heard together in German Federal Supreme Court. Infringement actions are typically decided by the trial court within 8 to 13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European Patent (DE) 1,212,919. ZTE Corporation and ZTE Deutschland GmbH formally responded to the complaint on February, 15, 2013. The lawsuit was expanded to include a second patent on February 21, 2013, alleging infringement of European Patent (DE) 1,186,119. At the Mannheim Court’s request a consolidated trial is scheduled to be held on October 15, 2013. On February 14, 2013, ZTE filed its first defensive infringement pleading with respect to European Patent (DE) 1,186,119. The Mannheim Court has set the due date for Vringo Germany’s reply brief on May 31, 2013 and ZTE’s rejoinder brief on August 30, 2013. No further briefing before trial is currently anticipated.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To date, ZTE has not made an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offer with respect to European Patent (DE) 1,186,119. Under German law, where a defendant alleges:</w:t>
      </w:r>
    </w:p>
    <w:p>
      <w:pPr>
        <w:spacing w:after="0" w:line="46" w:lineRule="exact"/>
        <w:rPr>
          <w:sz w:val="20"/>
          <w:szCs w:val="20"/>
          <w:color w:val="auto"/>
        </w:rPr>
      </w:pPr>
    </w:p>
    <w:p>
      <w:pPr>
        <w:jc w:val="both"/>
        <w:ind w:firstLine="8"/>
        <w:spacing w:after="0" w:line="270"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plaintiff has a dominant position under the relevant competition (a/k/a anti-trust) laws, for example, because of plaintiff’s assertion of a patent that is essential to a technical standard, and (b) plaintiff has failed to offer a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15, 2013, ZTE filed a nullity suit with respect to European Patent (DE) 1,212,919 in the Federal Court, Munich, Germany, alleging invalidity of the patent. We anticipate a trial in the nullity suit to occur in the second half of 2014.</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and December 2012, ZTE Corporation initiated invalidity proceedings in China against Chinese Patents ZL00806049.5; ZL 00812876.6; and ZL200480044232.1, the Chinese equivalents of European Patents 1,212,919; 1,166,589; and 1,808,029. Vringo Infrastructure has begun defending these actions by filing responses in January and February 2013. The oral hearing for ZL200480044232.1 has been scheduled for April 2013. An oral hearing for ZL00806049.5, has been scheduled for May 2013. A hearing for ZL00812876.6 has not yet been scheduled.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is listed on the NYSE MKT (formerly NYSE Amex) under the symbol “VRNG.” The following table sets forth, for the periods indicated, the high and low sales prices for our common stock as reported by the NYSE MKT: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594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2012</w:t>
            </w: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3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2.19</w:t>
            </w:r>
          </w:p>
        </w:tc>
        <w:tc>
          <w:tcPr>
            <w:tcW w:w="320" w:type="dxa"/>
            <w:vAlign w:val="bottom"/>
            <w:tcBorders>
              <w:top w:val="single" w:sz="8" w:color="CCFFCC"/>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0.68</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2340" w:type="dxa"/>
            <w:vAlign w:val="bottom"/>
            <w:tcBorders>
              <w:top w:val="single" w:sz="8" w:color="CCFFCC"/>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7"/>
              </w:rPr>
              <w:t>Year ended December 31, 2011</w:t>
            </w:r>
          </w:p>
        </w:tc>
        <w:tc>
          <w:tcPr>
            <w:tcW w:w="3600" w:type="dxa"/>
            <w:vAlign w:val="bottom"/>
            <w:tcBorders>
              <w:top w:val="single" w:sz="8" w:color="CCFFCC"/>
              <w:bottom w:val="single" w:sz="8" w:color="CCFFCC"/>
            </w:tcBorders>
            <w:shd w:val="clear" w:color="auto" w:fill="CCFFCC"/>
          </w:tcPr>
          <w:p>
            <w:pPr>
              <w:spacing w:after="0"/>
              <w:rPr>
                <w:sz w:val="16"/>
                <w:szCs w:val="16"/>
                <w:color w:val="auto"/>
              </w:rPr>
            </w:pPr>
          </w:p>
        </w:tc>
        <w:tc>
          <w:tcPr>
            <w:tcW w:w="320" w:type="dxa"/>
            <w:vAlign w:val="bottom"/>
            <w:tcBorders>
              <w:top w:val="single" w:sz="8" w:color="auto"/>
              <w:bottom w:val="single" w:sz="8" w:color="CCFFCC"/>
            </w:tcBorders>
            <w:shd w:val="clear" w:color="auto" w:fill="CCFFCC"/>
          </w:tcPr>
          <w:p>
            <w:pPr>
              <w:spacing w:after="0"/>
              <w:rPr>
                <w:sz w:val="16"/>
                <w:szCs w:val="16"/>
                <w:color w:val="auto"/>
              </w:rPr>
            </w:pPr>
          </w:p>
        </w:tc>
        <w:tc>
          <w:tcPr>
            <w:tcW w:w="116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spacing w:after="0"/>
              <w:rPr>
                <w:sz w:val="16"/>
                <w:szCs w:val="16"/>
                <w:color w:val="auto"/>
              </w:rPr>
            </w:pPr>
          </w:p>
        </w:tc>
        <w:tc>
          <w:tcPr>
            <w:tcW w:w="320" w:type="dxa"/>
            <w:vAlign w:val="bottom"/>
            <w:tcBorders>
              <w:top w:val="single" w:sz="8" w:color="auto"/>
              <w:bottom w:val="single" w:sz="8" w:color="CCFFCC"/>
            </w:tcBorders>
            <w:shd w:val="clear" w:color="auto" w:fill="CCFFCC"/>
          </w:tcPr>
          <w:p>
            <w:pPr>
              <w:spacing w:after="0"/>
              <w:rPr>
                <w:sz w:val="16"/>
                <w:szCs w:val="16"/>
                <w:color w:val="auto"/>
              </w:rPr>
            </w:pPr>
          </w:p>
        </w:tc>
        <w:tc>
          <w:tcPr>
            <w:tcW w:w="114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0.99</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public warrants are listed on the NYSE MKT under the symbol "VRNGW." The following table sets forth, for the periods indicated, the high and low sales prices for our public warrants as reported by the NYSE MKT: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594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2012</w:t>
            </w: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3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0.70</w:t>
            </w:r>
          </w:p>
        </w:tc>
        <w:tc>
          <w:tcPr>
            <w:tcW w:w="320" w:type="dxa"/>
            <w:vAlign w:val="bottom"/>
            <w:tcBorders>
              <w:top w:val="single" w:sz="8" w:color="CCFFCC"/>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0.04</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0.42</w:t>
            </w: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0.85</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0.53</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22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340" w:type="dxa"/>
            <w:vAlign w:val="bottom"/>
            <w:tcBorders>
              <w:top w:val="single" w:sz="8" w:color="CCFFCC"/>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7"/>
              </w:rPr>
              <w:t>Year ended December 31, 2011</w:t>
            </w:r>
          </w:p>
        </w:tc>
        <w:tc>
          <w:tcPr>
            <w:tcW w:w="3600" w:type="dxa"/>
            <w:vAlign w:val="bottom"/>
            <w:tcBorders>
              <w:top w:val="single" w:sz="8" w:color="CCFFCC"/>
              <w:bottom w:val="single" w:sz="8" w:color="CCFFCC"/>
            </w:tcBorders>
            <w:shd w:val="clear" w:color="auto" w:fill="CCFFCC"/>
          </w:tcPr>
          <w:p>
            <w:pPr>
              <w:spacing w:after="0"/>
              <w:rPr>
                <w:sz w:val="16"/>
                <w:szCs w:val="16"/>
                <w:color w:val="auto"/>
              </w:rPr>
            </w:pPr>
          </w:p>
        </w:tc>
        <w:tc>
          <w:tcPr>
            <w:tcW w:w="320" w:type="dxa"/>
            <w:vAlign w:val="bottom"/>
            <w:tcBorders>
              <w:top w:val="single" w:sz="8" w:color="auto"/>
              <w:bottom w:val="single" w:sz="8" w:color="CCFFCC"/>
            </w:tcBorders>
            <w:shd w:val="clear" w:color="auto" w:fill="CCFFCC"/>
          </w:tcPr>
          <w:p>
            <w:pPr>
              <w:spacing w:after="0"/>
              <w:rPr>
                <w:sz w:val="16"/>
                <w:szCs w:val="16"/>
                <w:color w:val="auto"/>
              </w:rPr>
            </w:pPr>
          </w:p>
        </w:tc>
        <w:tc>
          <w:tcPr>
            <w:tcW w:w="116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spacing w:after="0"/>
              <w:rPr>
                <w:sz w:val="16"/>
                <w:szCs w:val="16"/>
                <w:color w:val="auto"/>
              </w:rPr>
            </w:pPr>
          </w:p>
        </w:tc>
        <w:tc>
          <w:tcPr>
            <w:tcW w:w="320" w:type="dxa"/>
            <w:vAlign w:val="bottom"/>
            <w:tcBorders>
              <w:top w:val="single" w:sz="8" w:color="auto"/>
              <w:bottom w:val="single" w:sz="8" w:color="CCFFCC"/>
            </w:tcBorders>
            <w:shd w:val="clear" w:color="auto" w:fill="CCFFCC"/>
          </w:tcPr>
          <w:p>
            <w:pPr>
              <w:spacing w:after="0"/>
              <w:rPr>
                <w:sz w:val="16"/>
                <w:szCs w:val="16"/>
                <w:color w:val="auto"/>
              </w:rPr>
            </w:pPr>
          </w:p>
        </w:tc>
        <w:tc>
          <w:tcPr>
            <w:tcW w:w="114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22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First quarter</w:t>
            </w:r>
          </w:p>
        </w:tc>
        <w:tc>
          <w:tcPr>
            <w:tcW w:w="392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0.26</w:t>
            </w:r>
          </w:p>
        </w:tc>
        <w:tc>
          <w:tcPr>
            <w:tcW w:w="320" w:type="dxa"/>
            <w:vAlign w:val="bottom"/>
            <w:tcBorders>
              <w:top w:val="single" w:sz="8" w:color="CCFFCC"/>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0.04</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0.01</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0.12</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0.01</w:t>
            </w:r>
          </w:p>
        </w:tc>
        <w:tc>
          <w:tcPr>
            <w:tcW w:w="2280" w:type="dxa"/>
            <w:vAlign w:val="bottom"/>
          </w:tcPr>
          <w:p>
            <w:pPr>
              <w:spacing w:after="0"/>
              <w:rPr>
                <w:sz w:val="18"/>
                <w:szCs w:val="18"/>
                <w:color w:val="auto"/>
              </w:rPr>
            </w:pPr>
          </w:p>
        </w:tc>
      </w:tr>
      <w:tr>
        <w:trPr>
          <w:trHeight w:val="648"/>
        </w:trPr>
        <w:tc>
          <w:tcPr>
            <w:tcW w:w="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03"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20, 2013, we had 21 stockholders of record of the 82,451,074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10, 2012, I/P Engine entered into a patent purchase agreement, pursuant to which we issued the seller 160,600 unregistered shares of our common stock, as well as a payment of 20% of collected future revenue attributable to the acquired patents and applications. The issuance of the shares was made in reliance on the exemption from registration provided under Section 4(2) of the Securities Act of 1933, as amended.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12, 2012, we entered into an agreement with certain of our warrant holders, pursuant to which such warrant holders exercised in cash an aggregate of 3,721,062 of their outstanding warrants, with an exercise price of $1.76 per share, and we issued to such warrant holders warrants to purchase up to an aggregate of 3,000,000 unregistered shares of the Company’s common stock, at an exercise price of $5.06 per share. The issuance was made in reliance on the exemption from registration provided under Section 4(2) of the Securities Act of 1933,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as we are as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color w:val="auto"/>
        </w:rPr>
        <w:t>We were incorporated in Delaware on January 9, 2006 and commenced operations during the first quarter of 2006. In March 2006, we formed a wholly-owned subsidiary, Vringo (Israel) Ltd., for the primary purpose of providing research and development services, as detailed in the intercompany service agreement. On July 19, 2012, I/P merged with us through an exchange of equity instruments of I/P for those of Vringo. The Merger was accounted for as a reverse acquisition under which I/P was considered the accounting acquirer of Vringo. As such, the financial statements of I/P are treated as the historical financial statements of the combined company, with the results of Vringo being included from July 19, 2012. I/P was incorporated in Delaware on June 8, 2011, originally as Labrador Search Corporation, which holds two wholly-owned subsidiaries: I/P Engine Inc., which was formed in Virginia on June 14, 2011, originally as Smart Search Labs Inc., which operates for the purpose of realizing economic benefits of intellectual property, and I/P Labs, Inc., which was incorporated in Delaware on June 8, 2011 originally as Scottish Terrier Capital Inc., which operates to acquire and develop patented technologies and intellectual property. On August 31, 2012, we formed two wholly-owned subsidiaries, incorporated in Delaware: Vringo Labs, Inc. which operates to acquire and develop patented technologies and intellectual property and Vringo Infrastructure, Inc., which operates for the purpose of realizing economic benefits from telecommunications infrastructure patents. Vringo Infrastructure, Inc. acquired assets from Nokia Corporation (“Nokia”) upon its formation, as further described below. In addition, on October 18, 2012, we formed a wholly-owned subsidiary in Germany, Vringo Germany GmbH, for the purpose of innovating, developing, and monetizing mobile technology and intellectual property in Germany.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strives to innovate, acquire, license and protect intellectual property worldwide. Our attempts are focused on identification, acquisition and generation of economic benefits of owned intellectual property assets. We plan to continue to further expand our existing portfolio through acquisition, as well as through internal development of new innovative technologies. We intend to monetize our intellectual property assets through a variety of value enhancing initiatives, including, but not limited to:</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20" w:name="page21"/>
    <w:bookmarkEnd w:id="2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38"/>
        <w:spacing w:after="0" w:line="302" w:lineRule="auto"/>
        <w:rPr>
          <w:sz w:val="20"/>
          <w:szCs w:val="20"/>
          <w:color w:val="auto"/>
        </w:rPr>
      </w:pPr>
      <w:r>
        <w:rPr>
          <w:rFonts w:ascii="Arial" w:cs="Arial" w:eastAsia="Arial" w:hAnsi="Arial"/>
          <w:sz w:val="16"/>
          <w:szCs w:val="16"/>
          <w:color w:val="auto"/>
        </w:rPr>
        <w:t>We are still a development stage company. From Inception to date, we have raised approximately $95,839,000. These amounts have been used to finance our operations, as until now, we have not yet generated any significant revenues. From Inception through December 31, 2012, we recorded losses of approximately $23,595,000 and net cash outflow from operations of approximately $15,996,000. Our average monthly cash burn rate from operations for the year ended December 31, 2012 and for the period from Inception through December 31, 2011 was approximately $1,205,000 and $228,000, respectively.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2012, we had 28 full time employees and two part-time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Revenue from subscription services, software development and intellectual property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w:t>
      </w:r>
      <w:r>
        <w:rPr>
          <w:rFonts w:ascii="Arial" w:cs="Arial" w:eastAsia="Arial" w:hAnsi="Arial"/>
          <w:sz w:val="18"/>
          <w:szCs w:val="18"/>
          <w:i w:val="1"/>
          <w:iCs w:val="1"/>
          <w:color w:val="auto"/>
        </w:rPr>
        <w:t>SAB Topic 13.A.3.f.</w:t>
      </w:r>
      <w:r>
        <w:rPr>
          <w:rFonts w:ascii="Arial" w:cs="Arial" w:eastAsia="Arial" w:hAnsi="Arial"/>
          <w:sz w:val="18"/>
          <w:szCs w:val="18"/>
          <w:color w:val="auto"/>
        </w:rPr>
        <w:t xml:space="preserve"> As these up-front fees relate to the hosting of the service over a period of the contract, the Company recognizes these up-front fees over the life time of the contract. According to </w:t>
      </w:r>
      <w:r>
        <w:rPr>
          <w:rFonts w:ascii="Arial" w:cs="Arial" w:eastAsia="Arial" w:hAnsi="Arial"/>
          <w:sz w:val="18"/>
          <w:szCs w:val="18"/>
          <w:i w:val="1"/>
          <w:iCs w:val="1"/>
          <w:color w:val="auto"/>
        </w:rPr>
        <w:t>ASU 2009-13, Revenue Recognition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605), </w:t>
      </w:r>
      <w:r>
        <w:rPr>
          <w:rFonts w:ascii="Arial" w:cs="Arial" w:eastAsia="Arial" w:hAnsi="Arial"/>
          <w:sz w:val="18"/>
          <w:szCs w:val="18"/>
          <w:color w:val="auto"/>
        </w:rPr>
        <w:t>the Company uses management's best estimate of selling price for individual elements in multiple-element arrangements, where other sources of</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are unavailable.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revenues mainly include the costs and expenses incurred in connection with our patent licensing and enforcement activities, contingent legal fees paid to external patent counsels, other patent-related legal expenses paid to external patent counsel, licensing and enforcement related research, consulting and other expenses paid to third parties, the amortization of patent-related acquisition costs and of the acquired technology. Cost of revenue also includes third party expenses directly related to providing our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consist primarily of salary expenses of our development and quality assurance engineers in our research and development facility in Israel, outsourcing of certain development activities, server and support functions for our development environment.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general and administrative expenses include the cost of marketing, management and administrative personnel, public relations, advertising, overhead/office cost and various professional fees, as well as insurance,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which are highly influenced by our stock price at the period end (revaluation date). In addition, warrants granted, in lieu of an agreement with certain of its warrant holders whereby outstanding warrants were exercised, (the “October 2012 Warrants”), have been recorded as a non-operating expense </w:t>
      </w:r>
      <w:r>
        <w:rPr>
          <w:rFonts w:ascii="Arial" w:cs="Arial" w:eastAsia="Arial" w:hAnsi="Arial"/>
          <w:sz w:val="18"/>
          <w:szCs w:val="18"/>
          <w:color w:val="181818"/>
        </w:rPr>
        <w:t>(see also Note 10 to the accompanying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wholly-owned subsidiary in Israel. At December 31, 2012, deferred tax assets generated from our U.S. activities were offset by a valuation allowance because realization depends on generating future taxable income, which, in our estimation, is not more likely than not to be generated. The deferred tax assets and liabilities generated from our subsidiary in Israel’s operations are not offset by an allowance, as in our estimation, they are more likely than not to be realized.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subsidiary in Israel generates net taxable income from services it provides to us. The subsidiary in Israel charges us for research, development, certain management and other services provided to us, plus a profit margin on such costs, which is currently 8%. In the zone where the production facilities of the subsidiary in Israel are located, the statutory tax rate is 15% in 2011 and 2012 and expected to be 12.5% in 2013 and 2014, and 12% in 2015 and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Year ended December 31, 2012 compared to the period from Inception through December 31, 2011 and the development stage period (cumulative from Inception through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91"/>
              </w:rPr>
              <w:t>Period from</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9"/>
              </w:rPr>
              <w:t>Inception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8"/>
              </w:rPr>
              <w:t>through</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4"/>
          </w:tcPr>
          <w:p>
            <w:pPr>
              <w:jc w:val="center"/>
              <w:ind w:right="325"/>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During the year ended December 31, 2012, following the consummation of the Merger, for the first time since Inception, we recorded total revenues of $369,000. The recognized revenue consisted of: (i) subscription and content sales based revenue of $169,000, which represents legacy Vringo revenue from July 19, 2012, the date of the Merger, (ii) revenue from a development project with Nokia of $100,000, completed in 2012, and (iii) proceeds from partial settlement with AOL in the total amount of $100,000.</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On November 6, 2012, we received a verdict in a patent infringement action against AOL, Inc., Google, Inc., IAC Search &amp; Media, Inc., Gannett Company, Inc. and Target Corporation (collectively, "Defendants") with respect to the Defendants' infringement of the asserted claims of U.S. Patent Nos. 6,314,420 and 6,775,664 (collectively, the "Patents").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as follows: Google: $15,800,000, AOL: $7,943,000, IAC: $6,650,000, Gannett: $4,000 Target: $99,000. I/P Engine and Defendants have filed post-trial motions with the Court. Both sides have the right to an appeal. In spite of the verdict, as of December 31, 2012, we did not record any revenue related to this litigation, as timing of collection, if any, or the amounts due to it, cannot be determined.</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We seek to generate revenue through licensing or litigation, when required, which may be resolved through a settlement or collection. We also intend to continue to expand our planned operations through acquisitions and monetization of additional patents, other intellectual property or operating business. In particular, following the incorporation of our subsidiary in Germany and the acquisition of a patent portfolio from Nokia, we intend to expand our intellectual property monetization efforts in Europe. In October and November 2012, we filed litigation against the UK and German subsidiaries of ZTE, respectively, with a goal of achieving a positive verdict or settlement, including, potentially, a licensing arrangement on terms beneficial to us. In addition, in January 2013, we filed an action asserting infringement on the patents acquired from Lycos, against Microsoft Corporation.</w:t>
      </w:r>
    </w:p>
    <w:p>
      <w:pPr>
        <w:spacing w:after="0" w:line="18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expect to monetize our intellectual property through licensing, strategic partnerships and litigation. In addition we expect to maintain a portion of our future revenues from mobile applications and services.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Inception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w w:val="97"/>
              </w:rPr>
              <w:t>from Inception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Cost of services provided</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47,000</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47,000</w:t>
            </w: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328,000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2,127,000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Operating legal</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10,010,000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1,233,000</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8,777,000</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11,243,000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12,512,000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10,951,000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14,073,000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During the year ended December 31, 2012, our cost of revenue was $12,512,000, which represents an increase of $10,951,000 (702%) from cost of revenue recorded in the period ended December 31, 2011. The increase in cost of revenue, compared to 2011, was mainly related to increased amortization expenses related to patents acquired ($1,692,000, compared to $328,000 in 2011), as well as due to amortization of technology, the value to which was allocated upon consummation of the Merger ($763,000, compared to $0 in 2011). In addition, we incurred significant consulting and litigation costs, mainly connected to the commencement of the I/P Engine patent trial and our proceedings against ZTE ($9,237,000, compared to $1,233,000 in 2011) and stock-based compensation costs ($523,000, compared to $0 in 2011) of our legal department. Finally, the increase of $47,000 in cost of revenue relates to cost of Vringo mobile products, recorded in our books pursuant to the Merger with I/P.</w:t>
      </w:r>
    </w:p>
    <w:p>
      <w:pPr>
        <w:spacing w:after="0" w:line="16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December 31, 2012, cost of revenue expenses amounted to $14,073,000. Of this amount, $47,000 was attributed to the cost of mobile services provided to our clients, $523,000 to stock-based compensation expense, $763,000 was attributed to amortization of the acquired technology, $10,720,000 was attributed to operating legal expenses, mainly related to I/P Engine patent litigation, and $2,020,000 was attributed to patent amortization.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07" w:gutter="0" w:footer="0" w:header="0"/>
        </w:sectPr>
      </w:pPr>
    </w:p>
    <w:bookmarkStart w:id="22" w:name="page23"/>
    <w:bookmarkEnd w:id="22"/>
    <w:p>
      <w:pPr>
        <w:jc w:val="both"/>
        <w:ind w:left="660" w:firstLine="648"/>
        <w:spacing w:after="0" w:line="264" w:lineRule="auto"/>
        <w:rPr>
          <w:sz w:val="20"/>
          <w:szCs w:val="20"/>
          <w:color w:val="auto"/>
        </w:rPr>
      </w:pPr>
      <w:r>
        <w:rPr>
          <w:rFonts w:ascii="Arial" w:cs="Arial" w:eastAsia="Arial" w:hAnsi="Arial"/>
          <w:sz w:val="18"/>
          <w:szCs w:val="18"/>
          <w:color w:val="auto"/>
        </w:rPr>
        <w:t>We expect that our cost of revenue will increase over time, as we diversify the portfolio of our products and increase our intellectual property. With the goal of monetizing our intellectual property, we intend on commencing new licensing and litigation campaigns which are expected to be costly. In addition, we intend to continue to expand our staff of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vMerge w:val="restart"/>
          </w:tcPr>
          <w:p>
            <w:pPr>
              <w:jc w:val="center"/>
              <w:ind w:right="425"/>
              <w:spacing w:after="0"/>
              <w:rPr>
                <w:sz w:val="20"/>
                <w:szCs w:val="20"/>
                <w:color w:val="auto"/>
              </w:rPr>
            </w:pPr>
            <w:r>
              <w:rPr>
                <w:rFonts w:ascii="Arial" w:cs="Arial" w:eastAsia="Arial" w:hAnsi="Arial"/>
                <w:sz w:val="18"/>
                <w:szCs w:val="18"/>
                <w:b w:val="1"/>
                <w:bCs w:val="1"/>
                <w:color w:val="auto"/>
                <w:w w:val="91"/>
              </w:rPr>
              <w:t>Period from</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9"/>
              </w:rPr>
              <w:t>Inception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8"/>
              </w:rPr>
              <w:t>through</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4"/>
          </w:tcPr>
          <w:p>
            <w:pPr>
              <w:jc w:val="center"/>
              <w:ind w:right="325"/>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1,740,000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1,740,000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1,740,000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0" w:firstLine="648"/>
        <w:spacing w:after="0" w:line="342" w:lineRule="auto"/>
        <w:rPr>
          <w:sz w:val="20"/>
          <w:szCs w:val="20"/>
          <w:color w:val="auto"/>
        </w:rPr>
      </w:pPr>
      <w:r>
        <w:rPr>
          <w:rFonts w:ascii="Arial" w:cs="Arial" w:eastAsia="Arial" w:hAnsi="Arial"/>
          <w:sz w:val="16"/>
          <w:szCs w:val="16"/>
          <w:color w:val="auto"/>
        </w:rPr>
        <w:t>Research and development expenses, in the total amount of $1,740,000, recorded following the Merger with I/P, consist primarily of the cost of our development team ($809,000, compared to $0 in 2011) and related stock-based compensation cost ($691,000, compared to $0 in 2011).</w:t>
      </w:r>
    </w:p>
    <w:p>
      <w:pPr>
        <w:spacing w:after="0" w:line="124"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We anticipate that research and development costs incurred in connection with our core mobile service will decrease over time. In particular, in March 2013, we began the process of reducing our research and development personnel in Israel and shift our focus to supporting our current products, its marketing, as well as expanding our intellectual property initiatives in Israel. We expect that following the above mentioned reorganization, should we seek to introduce new products, or new business opportunities, such as a merger or acquisition relating to our technology, our research and development costs would be expected to increase.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Marketing, general and administrative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Period from</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Inception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through</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Marketing, general and administrative</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   10,885,000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1,185,000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9,700,000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   12,070,000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During the year ended December 31, 2012, marketing, general and administrative expenses increased by $9,700,000 (or 819%), to $10,885,000, from $1,185,000 during the period from Inception through December 31, 2011. Marketing, general and administrative expenses increased mostly due to the increase in payroll expense ($1,583,000, compared to $219,000 in 2011), as well as due to an increase in stock-based compensation expense ($6,873,000, compared to $474,000 in 2011), increased merger and acquisition expenses ($284,000, compared to $0 in 2011) and increased corporate legal expenses ($575,000, compared to $234,000 in 2011).</w:t>
      </w:r>
    </w:p>
    <w:p>
      <w:pPr>
        <w:spacing w:after="0" w:line="173"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December 31, 2012, marketing, general and administrative expenses amounted to $12,070,000. Of that amount, $1,802,000 was attributed to salaries and related expenses, $7,344,000 was attributed to stock-based payments, $284,000 was attributed to merger and acquisition activity and $1,511,000 was attributed to various professional fees.</w:t>
      </w:r>
    </w:p>
    <w:p>
      <w:pPr>
        <w:spacing w:after="0" w:line="181"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We expect that our general and administrative expenses will increase, as our expenses will incorporate full costs of the new management, on a post-Merger basis (accounted herein from July 19, 2012), as well as increased administration, rent, office, accounting, legal and insurance costs. New merger and acquisition opportunities, should such arise, may significantly increase our marketing, general and administrative costs.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Non-operating income (expense), net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vMerge w:val="restart"/>
          </w:tcPr>
          <w:p>
            <w:pPr>
              <w:jc w:val="center"/>
              <w:ind w:right="425"/>
              <w:spacing w:after="0"/>
              <w:rPr>
                <w:sz w:val="20"/>
                <w:szCs w:val="20"/>
                <w:color w:val="auto"/>
              </w:rPr>
            </w:pPr>
            <w:r>
              <w:rPr>
                <w:rFonts w:ascii="Arial" w:cs="Arial" w:eastAsia="Arial" w:hAnsi="Arial"/>
                <w:sz w:val="18"/>
                <w:szCs w:val="18"/>
                <w:b w:val="1"/>
                <w:bCs w:val="1"/>
                <w:color w:val="auto"/>
                <w:w w:val="91"/>
              </w:rPr>
              <w:t>Period from</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9"/>
              </w:rPr>
              <w:t>Inception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8"/>
              </w:rPr>
              <w:t>through</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4"/>
          </w:tcPr>
          <w:p>
            <w:pPr>
              <w:jc w:val="center"/>
              <w:ind w:right="325"/>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Non-operating income (expense), net</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3,982,000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Borders>
              <w:top w:val="single" w:sz="8" w:color="CCFFCC"/>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3,990,000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3,974,000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Following the Merger, our non-operating income, net, included mainly the impact of changes in fair value of derivative warrants, the fair value of which is highly affected by our share price at the measurement date. Consequently, as of December 31, 2012, we recorded income of $6,847,000 due to the decrease of our share price, compared to the share price on the date of the Merger.</w:t>
      </w:r>
    </w:p>
    <w:p>
      <w:pPr>
        <w:spacing w:after="0" w:line="166"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 The newly issued warrants do not bear down-round protection clauses. As a result of this issuance, additional non-operational expense in the total amount of $2,883,000 was recorded (see also Note 10 to the accompanying financial statements). In 2011, and prior to the Merger, our non-operating expense consisted of bank charges, as well as of interest expense related to our then outstanding note payable (see also Note 6 to the accompanying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69" w:gutter="0" w:footer="0" w:header="0"/>
        </w:sectPr>
      </w:pPr>
    </w:p>
    <w:bookmarkStart w:id="23" w:name="page24"/>
    <w:bookmarkEnd w:id="23"/>
    <w:p>
      <w:pPr>
        <w:jc w:val="both"/>
        <w:ind w:left="660" w:firstLine="648"/>
        <w:spacing w:after="0" w:line="273" w:lineRule="auto"/>
        <w:rPr>
          <w:sz w:val="20"/>
          <w:szCs w:val="20"/>
          <w:color w:val="auto"/>
        </w:rPr>
      </w:pPr>
      <w:r>
        <w:rPr>
          <w:rFonts w:ascii="Arial" w:cs="Arial" w:eastAsia="Arial" w:hAnsi="Arial"/>
          <w:sz w:val="17"/>
          <w:szCs w:val="17"/>
          <w:color w:val="auto"/>
        </w:rPr>
        <w:t>We expect that our non-operating income (expenses) will remain highly volatile, as we may choose to fund our operations through additional financing. In particular, non-operating income (expenses) will be affected by the adjustments to fair value of our derivative instruments. Fair value of these derivative instruments depends on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 Also see Note 9 to the accompanying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Taxes on Income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91"/>
              </w:rPr>
              <w:t>Period from</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9"/>
              </w:rPr>
              <w:t>Inception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4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8"/>
              </w:rPr>
              <w:t>through</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4"/>
          </w:tcPr>
          <w:p>
            <w:pPr>
              <w:jc w:val="center"/>
              <w:ind w:right="325"/>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Taxes on income</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55,000</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2012, we recorded an income tax expense in the total amount of $55,000, compared to $0 in 2011.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percent profit. For financial statements purposes, these profits are eliminated upon consolidation.</w:t>
      </w:r>
    </w:p>
    <w:p>
      <w:pPr>
        <w:spacing w:after="0" w:line="17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As of December 31, 2012, the Legal Parent and I/P have an aggregate total net tax loss carryforwards ("NOL") for U.S. federal state and local purposes in the amount of approximately $55,728,000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the Company's initial public offering, financing activities, as well as the Merger, may significantly limit our ability to utilize such NOL’s and credit carryforwards, although we have not yet determined to what extent.</w:t>
      </w:r>
    </w:p>
    <w:p>
      <w:pPr>
        <w:spacing w:after="0" w:line="193"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We file our tax returns in the U.S. federal jurisdiction, as well as in various state &amp; local jurisdictions. Vringo Inc has open tax assessments for the years 2009 through 2012. As of December 31, 2012, all tax assessments for I/P are still open. The Israeli subsidiary files its income tax returns in Israel. As of December 31, 2012, the Israeli subsidiary has open tax assessments for the years 2009 through 2012.</w:t>
      </w:r>
    </w:p>
    <w:p>
      <w:pPr>
        <w:spacing w:after="0" w:line="166"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As part of the Merger purchase price allocation, the Company recorded a deferred tax liability in connection with the acquired technology (see also Note 8 to the accompanying financial statements).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 No valuation allowance has been provided for the deferred tax assets of the Israeli subsidiary, since as of December 31, 2012 they are more likely than not to be realized. As of December 31, 2011, no deferred tax assets were created, as it was not more likely than not that those tax assets will be realized.</w:t>
      </w:r>
    </w:p>
    <w:p>
      <w:pPr>
        <w:spacing w:after="0" w:line="178" w:lineRule="exact"/>
        <w:rPr>
          <w:sz w:val="20"/>
          <w:szCs w:val="20"/>
          <w:color w:val="auto"/>
        </w:rPr>
      </w:pPr>
    </w:p>
    <w:p>
      <w:pPr>
        <w:jc w:val="both"/>
        <w:ind w:left="660" w:right="20" w:firstLine="648"/>
        <w:spacing w:after="0" w:line="259" w:lineRule="auto"/>
        <w:rPr>
          <w:sz w:val="20"/>
          <w:szCs w:val="20"/>
          <w:color w:val="auto"/>
        </w:rPr>
      </w:pPr>
      <w:r>
        <w:rPr>
          <w:rFonts w:ascii="Arial" w:cs="Arial" w:eastAsia="Arial" w:hAnsi="Arial"/>
          <w:sz w:val="18"/>
          <w:szCs w:val="18"/>
          <w:color w:val="auto"/>
        </w:rPr>
        <w:t>We expect that our tax expense in Israel to decrease in 2013, as the scope of services provided to the Company is expected to decrease, mainly due to reduction in operating and support personnel, which is expected to take effect in April 2013. We also expect our income tax expenses in the U.S. to increase in 2013, partially due to the potential increase in future revenues, as well as due to increase in local taxes influenced by the increased equity and our total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As of December 31, 2012, we had a cash balance of $56,960,000 and $55,587,000 in net working capital. The increase of $51,748,000 in our cash balance from December 31, 2011, was mainly due to $76,110,000 received in two registered direct financings and $12,784,000 received from the exercise of options and warrants, offset by net cash used by us in our business operations, in the total amount of approximately $14,468,000, $22,548,000 used to acquire Nokia patents, as well as $3,200,000 used to repay outstanding notes to Hudson Bay Master Fund Ltd., as also described in Note 6 to the accompanying financial statements. As of December 31, 2012, our total stockholders' equity was $148,332,000, mainly increased by the net assets of Vringo recorded upon consummation of the Merger, offset by continued operating deficits from Inception to date.</w:t>
      </w:r>
    </w:p>
    <w:p>
      <w:pPr>
        <w:spacing w:after="0" w:line="189"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On August 8, 2012, we entered into subscription agreements with several investors with respect to the registered direct offering and sale by us of an aggregate of 9,600,000 shares of our common stock, par value $0.01 per share, at a purchase price of $3.25 per share in a privately negotiated transaction in which no party acted as an underwriter or placement agent. The net proceeds were approximately $31,148,000.</w:t>
      </w:r>
    </w:p>
    <w:p>
      <w:pPr>
        <w:spacing w:after="0" w:line="147"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On October 4, 2012, we entered into subscription agreements with several investors with respect to the registered direct offering and sale by us of an aggregate of 10,344,998 shares of our common stock, par value $0.01 per share, at a purchase price of $4.35 per share in a privately negotiated transaction in which no party acted as an underwriter or placement agent. The net proceeds to us were approximately $44,962,000 after deducting offering expenses payable by us. We intend to use the net proceeds from these offerings for general corporate working capital purposes.</w:t>
      </w:r>
    </w:p>
    <w:p>
      <w:pPr>
        <w:spacing w:after="0" w:line="154"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181818"/>
        </w:rPr>
        <w:t>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 The newly issued warrants do not bear down-round protection clauses. As a result of this issuance, additional non-operational expense in the total amount of $2,883,000 was recorded (see also Note 10 to the accompanying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181818"/>
        </w:rPr>
        <w:t>Overall, since the Merger and through December 31, 2012, a total of 6,832,150 warrants to purchase an aggregate of 6,832,150 shares of our common stock, at an exercise price of $1.76 per share, were exercised by our warrant holders, pursuant to which we received an additional $12,024,584. In addition, 711,346 to purchase 711,346 shares of our common stock, issued to consultants, employees, directors and management, were exercised. As a result, we received an additional $514,256.</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81818"/>
        </w:rPr>
        <w:t xml:space="preserve">In addition, during 2013 to date, 94,147 warrants to purchase an aggregate of 94,147 shares of our common stock, at an exercise price of </w:t>
      </w:r>
      <w:r>
        <w:rPr>
          <w:rFonts w:ascii="Arial" w:cs="Arial" w:eastAsia="Arial" w:hAnsi="Arial"/>
          <w:sz w:val="18"/>
          <w:szCs w:val="18"/>
          <w:color w:val="000000"/>
        </w:rPr>
        <w:t>$1.76 per share, were exercised by our warrant holders, pursuant to which we received an additional $165,699.</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21, 2013, we had approximately $54,000,000 in cash and cash equivalents.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Inception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7"/>
              </w:rPr>
              <w:t>from Inception</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(14,468,000)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(1,528,000)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4"/>
              </w:rPr>
              <w:t>(12,940,000)</w:t>
            </w: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(15,996,000)</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(19,476,000)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(3,405,000)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(16,071,000)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(22,881,000)</w:t>
            </w:r>
          </w:p>
        </w:tc>
        <w:tc>
          <w:tcPr>
            <w:tcW w:w="0" w:type="dxa"/>
            <w:vAlign w:val="bottom"/>
          </w:tcPr>
          <w:p>
            <w:pPr>
              <w:spacing w:after="0"/>
              <w:rPr>
                <w:sz w:val="1"/>
                <w:szCs w:val="1"/>
                <w:color w:val="auto"/>
              </w:rPr>
            </w:pP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85,694,000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10,145,000</w:t>
            </w: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75,549,000</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95,839,000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December 31, 2012, net cash used in operating activities totaled $14,468,000. During the period from Inception through December 31, 2011, net cash used in operating activities totaled $1,528,000. The $12,940,000 increase in net cash used in operating activities was mainly due to I/P’s incorporation in June 2011, the Merger with Vringo, and further development of our business. Operating activities include merger and acquisition related payments of $284,000 that reflect I/P’s and post-merger Vringo’s non-capitalized 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development of our products and enhancement of our intellectual property. As we move towards greater revenue generation, we expect that these amounts will be offset over time by collection of funds generated by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2012, net cash used in investing activities totaled $19,476,000. During the period from Inception through December 31, 2011, net cash used in investing activities totaled $3,405,000. The increase in cash used in investing activities, in the total amount of $16,071,000, was primarily due to the purchase of the patent portfolio from Nokia, in the total amount of $22,548,000, compared to the cost of patents acquired from Lycos in 2011, for $3,396,000. Fixed asset purchases in the year ended December 31, 2012 amounted to $208,000 compared to $9,000 for the period from Inception through December 31, 2011, due to post-Merger relocation of our headquarters and the development of internal technology infrastructure. In addition, cash used in investing activities was offset by $3,326,000 recorded in connection with the consummation of the Merger.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that net cash used in investing activities will increase as we intend to continue to acquire additional intellectual property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2012, net cash provided by financing activities totaled $85,694,000, which relates to the August and October registered direct financings, in which we raised approximately, $31,148,000 and $44,962,000, respectively, offset by repayment of note payable to Hudson Bay Master Fund Ltd., and funds received from the exercise of warrants and options in the total amount of $12,784,000. During the period from Inception through December 31, 2011, net cash provided by financing activities totaled $10,145,000, which included the receipt of note payable from Hudson Bay Master Fund Ltd. and proceeds from the issuance of Series A Convertible Preferred Stock and shares of common stock in the total amount of $6,945,000.</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mentioned above, a significant portion of our issued and outstanding warrants are currently “in the money” and the shares of common stock underlying such warrants held by non-affiliates are freely tradable, with the potential of up to $19,293,635 of additional incoming funds. We may choose to raise additional funds in connection with any acquisition of patent portfolios or other intellectual property assets that we may pursue. There can be no assurance, however, that any such opportunity will materialize, and moreover, any such financing would likely be dilutive to our current stockholders.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8, 2012, our subsidiary filed a patent infringement lawsuit against a subsidiary of ZTE Corporation in the United Kingdom. Should we be deemed the losing party in any of our applications to the court in the UK, we may be held responsible for a substantial percentage of the defendant’s legal fees for the relevant application or for the litigation. As a result, we placed a guarantee of approximately $2,900,000 to ensure this contingent liability. However, should we be successful on any court applications or the entire litigation, ZTE would be responsible for a substantial percentage of our legal fees. In addition, we expect that additional guarantee placement will be necessary in connection with additional proceedings in Europe.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2012, we believe the following accounting policies to be the most critical in understanding the judgments and estimates we use in preparing our consolidated financial statements,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accounted for the Merger in accordance with FASB Topic ASC 805 ”Business Combinations” and for identified goodwill and technology in accordance with FASB Topic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Additionally, we review our long-lived assets for recoverability in accordance with FASB Topic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identification and valuation of intangible assets and the determination of the estimated useful lives at the time of acquisition are based on various valuation methodologies including reviews of projected future cash flows. The use of alternative estimates and assumptions could increase or decrease the estimated fair value of our goodwill and other intangible assets, and potentially result in a different impact to our results of operations. Further, changes in business strategy and/or market conditions may significantly impact these judgments thereby impacting the fair value of these assets, which could result in an impairment of the goodwill and acquired intangible assets.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at December 31, 2012, our purchase price allocation is still provisional, as existing estimations are subject to change, in certain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our long-lived tangible and intangible assets for impairment in accordance with FASB Topic ASC 350 “Intangibles - Goodwill and Other” and FASB Topic ASC 360 “Property, Plant and Equipment” whenever events or changes in circumstances indicate that the carrying amount of an asset may not be recoverable. Goodwill is subject to an annual test for impairment, or for impairment testing up on the occurrence of triggering events. If such assets are considered to be impaired, the impairment to be recognized is measured by the amount by which the carrying amount of the assets exceeds the fair value of the assets. While we use available information to prepare our estimates and to perform impairment evaluations, the completion of annual impairment tests requires significant management judgments and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19, 2012, the date of the Merger, Vringo’s outstanding warrants included: (i) 148,390 Special Bridge Warrants, at an exercise price of $0.94, with an expected remaining term of 2.44 years; (ii) 101,445 Conversion Warrants, at an exercise price of $0.94, with an expected remaining term of 2.44 years; (iii) 887,330 Preferential Reload Warrants, at an exercise price of $1.76, with an expected remaining term of 4.55 years; and (iv) 814,408 non-Preferential Reload Warrants, at an exercise price of $1.76, with an expected remaining term of 4.55 years. Following the Merger and through December 31, 2012, 169,520 non-Preferential Reload Warrants and 726,721 Preferential Reload Warrants were exercised.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As part of the Merger, on July 19, 2012, we issued to I/P’s stockholders 8,299,116 warrants at an exercise price of $1.76 and expected term of 5 years (“Series 1 Warrant”). These warrants bear down-round protection clauses, as a result, they were classified as a long-term derivative liability and recorded at fair value. In addition, I/P’s stockholders received another 7,660,722 warrants at an exercise price of $1.76 and expected term of 5 years (“Series 2 Warrant”). As these warrants do not have down-round protection clauses, they were classified as equity. Following the Merger and through December 31, 2012, 4,655,099 Series 1 Warrants and 1,280,870 Series 2 Warrants were exercised. The following table represents the assumptions, valuation models and inputs used, as of December 31,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20" w:type="dxa"/>
            <w:vAlign w:val="bottom"/>
          </w:tcPr>
          <w:p>
            <w:pPr>
              <w:spacing w:after="0"/>
              <w:rPr>
                <w:sz w:val="18"/>
                <w:szCs w:val="18"/>
                <w:color w:val="auto"/>
              </w:rPr>
            </w:pPr>
          </w:p>
        </w:tc>
        <w:tc>
          <w:tcPr>
            <w:tcW w:w="2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Unobservable</w:t>
            </w:r>
          </w:p>
        </w:tc>
        <w:tc>
          <w:tcPr>
            <w:tcW w:w="1700" w:type="dxa"/>
            <w:vAlign w:val="bottom"/>
          </w:tcPr>
          <w:p>
            <w:pPr>
              <w:spacing w:after="0"/>
              <w:rPr>
                <w:sz w:val="18"/>
                <w:szCs w:val="18"/>
                <w:color w:val="auto"/>
              </w:rPr>
            </w:pPr>
          </w:p>
        </w:tc>
      </w:tr>
      <w:tr>
        <w:trPr>
          <w:trHeight w:val="234"/>
        </w:trPr>
        <w:tc>
          <w:tcPr>
            <w:tcW w:w="41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Range</w:t>
            </w:r>
          </w:p>
        </w:tc>
      </w:tr>
      <w:tr>
        <w:trPr>
          <w:trHeight w:val="411"/>
        </w:trPr>
        <w:tc>
          <w:tcPr>
            <w:tcW w:w="4120" w:type="dxa"/>
            <w:vAlign w:val="bottom"/>
          </w:tcPr>
          <w:p>
            <w:pPr>
              <w:spacing w:after="0"/>
              <w:rPr>
                <w:sz w:val="20"/>
                <w:szCs w:val="20"/>
                <w:color w:val="auto"/>
              </w:rPr>
            </w:pPr>
            <w:r>
              <w:rPr>
                <w:rFonts w:ascii="Arial" w:cs="Arial" w:eastAsia="Arial" w:hAnsi="Arial"/>
                <w:sz w:val="18"/>
                <w:szCs w:val="18"/>
                <w:color w:val="auto"/>
              </w:rPr>
              <w:t>Special Bridge Warrants, Conversion Warrants,</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w w:val="94"/>
              </w:rPr>
              <w:t>Black-Scholes-Merton and the</w:t>
            </w: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Volatility</w:t>
            </w:r>
          </w:p>
        </w:tc>
        <w:tc>
          <w:tcPr>
            <w:tcW w:w="1700" w:type="dxa"/>
            <w:vAlign w:val="bottom"/>
          </w:tcPr>
          <w:p>
            <w:pPr>
              <w:jc w:val="right"/>
              <w:spacing w:after="0"/>
              <w:rPr>
                <w:sz w:val="20"/>
                <w:szCs w:val="20"/>
                <w:color w:val="auto"/>
              </w:rPr>
            </w:pPr>
            <w:r>
              <w:rPr>
                <w:rFonts w:ascii="Arial" w:cs="Arial" w:eastAsia="Arial" w:hAnsi="Arial"/>
                <w:sz w:val="18"/>
                <w:szCs w:val="18"/>
                <w:color w:val="auto"/>
              </w:rPr>
              <w:t>65.96% – 68.01%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1"/>
              </w:rPr>
              <w:t>Preferential Reload Warrants and the Series 1 Warrants</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Monte-Carlo models</w:t>
            </w: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0.36% – 0.66%</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Expected term, in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1.99 – 4.55</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Probability and timing of down-round</w:t>
            </w:r>
          </w:p>
        </w:tc>
        <w:tc>
          <w:tcPr>
            <w:tcW w:w="1700" w:type="dxa"/>
            <w:vAlign w:val="bottom"/>
          </w:tcPr>
          <w:p>
            <w:pPr>
              <w:jc w:val="right"/>
              <w:spacing w:after="0"/>
              <w:rPr>
                <w:sz w:val="20"/>
                <w:szCs w:val="20"/>
                <w:color w:val="auto"/>
              </w:rPr>
            </w:pPr>
            <w:r>
              <w:rPr>
                <w:rFonts w:ascii="Arial" w:cs="Arial" w:eastAsia="Arial" w:hAnsi="Arial"/>
                <w:sz w:val="18"/>
                <w:szCs w:val="18"/>
                <w:color w:val="auto"/>
              </w:rPr>
              <w:t>15% occurrence in</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rPr>
              <w:t>triggering event</w:t>
            </w:r>
          </w:p>
        </w:tc>
        <w:tc>
          <w:tcPr>
            <w:tcW w:w="1700" w:type="dxa"/>
            <w:vAlign w:val="bottom"/>
          </w:tcPr>
          <w:p>
            <w:pPr>
              <w:jc w:val="right"/>
              <w:spacing w:after="0"/>
              <w:rPr>
                <w:sz w:val="20"/>
                <w:szCs w:val="20"/>
                <w:color w:val="auto"/>
              </w:rPr>
            </w:pPr>
            <w:r>
              <w:rPr>
                <w:rFonts w:ascii="Arial" w:cs="Arial" w:eastAsia="Arial" w:hAnsi="Arial"/>
                <w:sz w:val="18"/>
                <w:szCs w:val="18"/>
                <w:color w:val="auto"/>
              </w:rPr>
              <w:t>December 2013</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stock-based awards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determine the fair value of stock options granted to employees, directors and consultants using the Black-Scholes-Merton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incorporating historical stock volatility from comparable companies.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made different assumptions about risk-free interest rate, volatility, or the estimated time that the options will be outstanding before they are ultimately exercised, the recorded expense, our net loss and net loss per share amounts could have been significantly different. Had we used different assumptions, our results may have been significantly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December 31, 2012,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740, “Income Taxes”,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2012, the FASB issued ASU 2012-02, Balance Sheet (Topic 350) “Intangibles-Goodwill and Other”, which allows an organization to first assess qualitative factors to determine whether it is necessary to perform the quantitative impairment test for indefinite-lived intangible assets. An organization that elects to perform a qualitative assessment is required to perform the quantitative impairment test for an indefinite-lived intangible asset if it is more likely than not that the asset is impaired. This is effective for annual and interim impairment tests performed for fiscal years beginning after September 15, 2012. Early adoption is permitted. The Company does not expect the adoption of ASU 2012-02 to have a material impact on its financial position, results of operations, or cash flows.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w:t>
      </w:r>
    </w:p>
    <w:p>
      <w:pPr>
        <w:sectPr>
          <w:pgSz w:w="11900" w:h="16838" w:orient="portrait"/>
          <w:cols w:equalWidth="0" w:num="1">
            <w:col w:w="11420"/>
          </w:cols>
          <w:pgMar w:left="240" w:top="908" w:right="239" w:bottom="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auto"/>
        </w:rPr>
        <w:t>The Company does not expect the adoption of ASU No. 2011-11 to have a material impact on its financial position, results of operations, or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as we are as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required by this Item are set forth in Item 15 beginning on page F-1 of this Annual Report on Form 10-K.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December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2012, our Chief Executive Officer and Chief Financial Officer concluded that, as of such date, our disclosure controls and procedures were ineffective for the reasons set forth below.</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has identified a material weakness in our disclosure controls and procedures relating to insufficient controls in connection with valuation and accounting for equity, debt and derivative instruments. In January 2013, we have added an additional member to our accounting department, in addition, we are enhancing our proficiency of the professional literature on these subjects and broadened external oversight, however due to the complexity of the area there remains an ongoing exposure</w:t>
      </w:r>
      <w:r>
        <w:rPr>
          <w:rFonts w:ascii="Arial" w:cs="Arial" w:eastAsia="Arial" w:hAnsi="Arial"/>
          <w:sz w:val="18"/>
          <w:szCs w:val="18"/>
          <w:b w:val="1"/>
          <w:bCs w:val="1"/>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responsible for establishing and maintaining adequate internal control over financial reporting in accordance with Exchange Act Rule 13a-</w:t>
      </w:r>
    </w:p>
    <w:p>
      <w:pPr>
        <w:spacing w:after="0" w:line="46" w:lineRule="exact"/>
        <w:rPr>
          <w:sz w:val="20"/>
          <w:szCs w:val="20"/>
          <w:color w:val="auto"/>
        </w:rPr>
      </w:pPr>
    </w:p>
    <w:p>
      <w:pPr>
        <w:jc w:val="both"/>
        <w:ind w:firstLine="8"/>
        <w:spacing w:after="0" w:line="252"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the participation of our Chief Executive Officer (principal executive officer) and our Chief Financial Officer (principal financial officer), our management conducted an evaluation of the effectiveness of our internal control over financial reporting as of December 31, 2012, based on the criteria established in Internal Control-Integrated Framework issued by the Committee of Sponsoring Organizations of the Treadway Commission. Based on this evaluation, management concluded that our internal control over financial reporting was not effective as of December 31, 2012,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that occurred during the fourth quarter of 2012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70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Position</w:t>
            </w:r>
          </w:p>
        </w:tc>
      </w:tr>
      <w:tr>
        <w:trPr>
          <w:trHeight w:val="210"/>
        </w:trPr>
        <w:tc>
          <w:tcPr>
            <w:tcW w:w="4120" w:type="dxa"/>
            <w:vAlign w:val="bottom"/>
            <w:tcBorders>
              <w:top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Andrew D. Perlman</w:t>
            </w:r>
          </w:p>
        </w:tc>
        <w:tc>
          <w:tcPr>
            <w:tcW w:w="2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35</w:t>
            </w:r>
          </w:p>
        </w:tc>
        <w:tc>
          <w:tcPr>
            <w:tcW w:w="220" w:type="dxa"/>
            <w:vAlign w:val="bottom"/>
            <w:tcBorders>
              <w:top w:val="single" w:sz="8" w:color="CCFFCC"/>
            </w:tcBorders>
            <w:shd w:val="clear" w:color="auto" w:fill="CCFFCC"/>
          </w:tcPr>
          <w:p>
            <w:pPr>
              <w:spacing w:after="0"/>
              <w:rPr>
                <w:sz w:val="18"/>
                <w:szCs w:val="18"/>
                <w:color w:val="auto"/>
              </w:rPr>
            </w:pPr>
          </w:p>
        </w:tc>
        <w:tc>
          <w:tcPr>
            <w:tcW w:w="5700" w:type="dxa"/>
            <w:vAlign w:val="bottom"/>
            <w:tcBorders>
              <w:top w:val="single" w:sz="8" w:color="auto"/>
            </w:tcBorders>
            <w:shd w:val="clear" w:color="auto" w:fill="CCFFCC"/>
          </w:tcPr>
          <w:p>
            <w:pPr>
              <w:jc w:val="center"/>
              <w:ind w:left="50"/>
              <w:spacing w:after="0"/>
              <w:rPr>
                <w:sz w:val="20"/>
                <w:szCs w:val="20"/>
                <w:color w:val="auto"/>
              </w:rPr>
            </w:pPr>
            <w:r>
              <w:rPr>
                <w:rFonts w:ascii="Arial" w:cs="Arial" w:eastAsia="Arial" w:hAnsi="Arial"/>
                <w:sz w:val="18"/>
                <w:szCs w:val="18"/>
                <w:color w:val="auto"/>
                <w:w w:val="93"/>
              </w:rPr>
              <w:t>Chief Executive Officer and director</w:t>
            </w:r>
          </w:p>
        </w:tc>
      </w:tr>
      <w:tr>
        <w:trPr>
          <w:trHeight w:val="216"/>
        </w:trPr>
        <w:tc>
          <w:tcPr>
            <w:tcW w:w="4360" w:type="dxa"/>
            <w:vAlign w:val="bottom"/>
            <w:gridSpan w:val="2"/>
          </w:tcPr>
          <w:p>
            <w:pPr>
              <w:ind w:left="160"/>
              <w:spacing w:after="0"/>
              <w:rPr>
                <w:sz w:val="20"/>
                <w:szCs w:val="20"/>
                <w:color w:val="auto"/>
              </w:rPr>
            </w:pPr>
            <w:r>
              <w:rPr>
                <w:rFonts w:ascii="Arial" w:cs="Arial" w:eastAsia="Arial" w:hAnsi="Arial"/>
                <w:sz w:val="18"/>
                <w:szCs w:val="18"/>
                <w:color w:val="auto"/>
              </w:rPr>
              <w:t>Ellen Cohl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5700" w:type="dxa"/>
            <w:vAlign w:val="bottom"/>
          </w:tcPr>
          <w:p>
            <w:pPr>
              <w:jc w:val="center"/>
              <w:ind w:left="5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43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Andrew Kennedy Lang</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FFCC"/>
          </w:tcPr>
          <w:p>
            <w:pPr>
              <w:spacing w:after="0"/>
              <w:rPr>
                <w:sz w:val="18"/>
                <w:szCs w:val="18"/>
                <w:color w:val="auto"/>
              </w:rPr>
            </w:pPr>
          </w:p>
        </w:tc>
        <w:tc>
          <w:tcPr>
            <w:tcW w:w="570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1"/>
              </w:rPr>
              <w:t>President, Chief Technology Officer and director</w:t>
            </w:r>
          </w:p>
        </w:tc>
      </w:tr>
      <w:tr>
        <w:trPr>
          <w:trHeight w:val="216"/>
        </w:trPr>
        <w:tc>
          <w:tcPr>
            <w:tcW w:w="4360" w:type="dxa"/>
            <w:vAlign w:val="bottom"/>
            <w:gridSpan w:val="2"/>
          </w:tcPr>
          <w:p>
            <w:pPr>
              <w:ind w:left="160"/>
              <w:spacing w:after="0"/>
              <w:rPr>
                <w:sz w:val="20"/>
                <w:szCs w:val="20"/>
                <w:color w:val="auto"/>
              </w:rPr>
            </w:pPr>
            <w:r>
              <w:rPr>
                <w:rFonts w:ascii="Arial" w:cs="Arial" w:eastAsia="Arial" w:hAnsi="Arial"/>
                <w:sz w:val="18"/>
                <w:szCs w:val="18"/>
                <w:color w:val="auto"/>
              </w:rPr>
              <w:t>Alexander R. Berger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18"/>
                <w:szCs w:val="18"/>
                <w:color w:val="auto"/>
              </w:rPr>
            </w:pPr>
          </w:p>
        </w:tc>
        <w:tc>
          <w:tcPr>
            <w:tcW w:w="5700" w:type="dxa"/>
            <w:vAlign w:val="bottom"/>
          </w:tcPr>
          <w:p>
            <w:pPr>
              <w:jc w:val="center"/>
              <w:ind w:left="50"/>
              <w:spacing w:after="0"/>
              <w:rPr>
                <w:sz w:val="20"/>
                <w:szCs w:val="20"/>
                <w:color w:val="auto"/>
              </w:rPr>
            </w:pPr>
            <w:r>
              <w:rPr>
                <w:rFonts w:ascii="Arial" w:cs="Arial" w:eastAsia="Arial" w:hAnsi="Arial"/>
                <w:sz w:val="18"/>
                <w:szCs w:val="18"/>
                <w:color w:val="auto"/>
                <w:w w:val="91"/>
              </w:rPr>
              <w:t>Chief Operating Officer, Secretary and director</w:t>
            </w:r>
          </w:p>
        </w:tc>
      </w:tr>
      <w:tr>
        <w:trPr>
          <w:trHeight w:val="216"/>
        </w:trPr>
        <w:tc>
          <w:tcPr>
            <w:tcW w:w="43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Seth M. Siegel *(1)(3)</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FFCC"/>
          </w:tcPr>
          <w:p>
            <w:pPr>
              <w:spacing w:after="0"/>
              <w:rPr>
                <w:sz w:val="18"/>
                <w:szCs w:val="18"/>
                <w:color w:val="auto"/>
              </w:rPr>
            </w:pPr>
          </w:p>
        </w:tc>
        <w:tc>
          <w:tcPr>
            <w:tcW w:w="57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1"/>
              </w:rPr>
              <w:t>Chairman of the board of directors</w:t>
            </w:r>
          </w:p>
        </w:tc>
      </w:tr>
      <w:tr>
        <w:trPr>
          <w:trHeight w:val="216"/>
        </w:trPr>
        <w:tc>
          <w:tcPr>
            <w:tcW w:w="4360" w:type="dxa"/>
            <w:vAlign w:val="bottom"/>
            <w:gridSpan w:val="2"/>
          </w:tcPr>
          <w:p>
            <w:pPr>
              <w:ind w:left="160"/>
              <w:spacing w:after="0"/>
              <w:rPr>
                <w:sz w:val="20"/>
                <w:szCs w:val="20"/>
                <w:color w:val="auto"/>
              </w:rPr>
            </w:pPr>
            <w:r>
              <w:rPr>
                <w:rFonts w:ascii="Arial" w:cs="Arial" w:eastAsia="Arial" w:hAnsi="Arial"/>
                <w:sz w:val="18"/>
                <w:szCs w:val="18"/>
                <w:color w:val="auto"/>
              </w:rPr>
              <w:t>John Engelman * (1)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5700" w:type="dxa"/>
            <w:vAlign w:val="bottom"/>
          </w:tcPr>
          <w:p>
            <w:pPr>
              <w:jc w:val="center"/>
              <w:ind w:left="50"/>
              <w:spacing w:after="0"/>
              <w:rPr>
                <w:sz w:val="20"/>
                <w:szCs w:val="20"/>
                <w:color w:val="auto"/>
              </w:rPr>
            </w:pPr>
            <w:r>
              <w:rPr>
                <w:rFonts w:ascii="Arial" w:cs="Arial" w:eastAsia="Arial" w:hAnsi="Arial"/>
                <w:sz w:val="18"/>
                <w:szCs w:val="18"/>
                <w:color w:val="auto"/>
                <w:w w:val="95"/>
              </w:rPr>
              <w:t>Director</w:t>
            </w:r>
          </w:p>
        </w:tc>
      </w:tr>
      <w:tr>
        <w:trPr>
          <w:trHeight w:val="216"/>
        </w:trPr>
        <w:tc>
          <w:tcPr>
            <w:tcW w:w="43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H. Van Sinclair * (2)(3)</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FFCC"/>
          </w:tcPr>
          <w:p>
            <w:pPr>
              <w:spacing w:after="0"/>
              <w:rPr>
                <w:sz w:val="18"/>
                <w:szCs w:val="18"/>
                <w:color w:val="auto"/>
              </w:rPr>
            </w:pPr>
          </w:p>
        </w:tc>
        <w:tc>
          <w:tcPr>
            <w:tcW w:w="570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5"/>
              </w:rPr>
              <w:t>Director</w:t>
            </w:r>
          </w:p>
        </w:tc>
      </w:tr>
      <w:tr>
        <w:trPr>
          <w:trHeight w:val="216"/>
        </w:trPr>
        <w:tc>
          <w:tcPr>
            <w:tcW w:w="4360" w:type="dxa"/>
            <w:vAlign w:val="bottom"/>
            <w:gridSpan w:val="2"/>
          </w:tcPr>
          <w:p>
            <w:pPr>
              <w:ind w:left="160"/>
              <w:spacing w:after="0"/>
              <w:rPr>
                <w:sz w:val="20"/>
                <w:szCs w:val="20"/>
                <w:color w:val="auto"/>
              </w:rPr>
            </w:pPr>
            <w:r>
              <w:rPr>
                <w:rFonts w:ascii="Arial" w:cs="Arial" w:eastAsia="Arial" w:hAnsi="Arial"/>
                <w:sz w:val="18"/>
                <w:szCs w:val="18"/>
                <w:color w:val="auto"/>
              </w:rPr>
              <w:t>Donald E. Stout *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18"/>
                <w:szCs w:val="18"/>
                <w:color w:val="auto"/>
              </w:rPr>
            </w:pPr>
          </w:p>
        </w:tc>
        <w:tc>
          <w:tcPr>
            <w:tcW w:w="5700" w:type="dxa"/>
            <w:vAlign w:val="bottom"/>
          </w:tcPr>
          <w:p>
            <w:pPr>
              <w:jc w:val="center"/>
              <w:ind w:left="50"/>
              <w:spacing w:after="0"/>
              <w:rPr>
                <w:sz w:val="20"/>
                <w:szCs w:val="20"/>
                <w:color w:val="auto"/>
              </w:rPr>
            </w:pPr>
            <w:r>
              <w:rPr>
                <w:rFonts w:ascii="Arial" w:cs="Arial" w:eastAsia="Arial" w:hAnsi="Arial"/>
                <w:sz w:val="18"/>
                <w:szCs w:val="18"/>
                <w:color w:val="auto"/>
                <w:w w:val="95"/>
              </w:rPr>
              <w:t>Director</w:t>
            </w:r>
          </w:p>
        </w:tc>
      </w:tr>
      <w:tr>
        <w:trPr>
          <w:trHeight w:val="216"/>
        </w:trPr>
        <w:tc>
          <w:tcPr>
            <w:tcW w:w="43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Ashley C. Keller * (1)(2)(4)</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33</w:t>
            </w:r>
          </w:p>
        </w:tc>
        <w:tc>
          <w:tcPr>
            <w:tcW w:w="220" w:type="dxa"/>
            <w:vAlign w:val="bottom"/>
            <w:shd w:val="clear" w:color="auto" w:fill="CCFFCC"/>
          </w:tcPr>
          <w:p>
            <w:pPr>
              <w:spacing w:after="0"/>
              <w:rPr>
                <w:sz w:val="18"/>
                <w:szCs w:val="18"/>
                <w:color w:val="auto"/>
              </w:rPr>
            </w:pPr>
          </w:p>
        </w:tc>
        <w:tc>
          <w:tcPr>
            <w:tcW w:w="570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5"/>
              </w:rPr>
              <w:t>Director</w:t>
            </w: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2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Keller’s committee membership commenced on December 31, 2012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our Chief Executive Officer since March 2012, as our President from April 2010 to July 2012 and on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since September 2009.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our United States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Mr. Perlman's prior experience in licensing intellectual property and deal structuring qualifies him to serve on our board of directors. His additional experience and insights gained over the past three years at Vringo are a significant contribution to us and the board of directors.</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Ellen Cohl </w:t>
      </w:r>
      <w:r>
        <w:rPr>
          <w:rFonts w:ascii="Arial" w:cs="Arial" w:eastAsia="Arial" w:hAnsi="Arial"/>
          <w:sz w:val="16"/>
          <w:szCs w:val="16"/>
          <w:color w:val="auto"/>
        </w:rPr>
        <w:t>has served as Chief Financial Officer, and previously as Vice President of Finance &amp; Governance since October 2009, including the role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Compliance Officer as of our initial public offering (in 2010).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Ms. Cohl served as an internal auditor for Bank Leumi Trust Company. From August 1995 to July 1997 and from July 1988 to September 1991, Ms. Cohl served as a senior auditor for Arthur Andersen &amp; Co. in the Tel Aviv and New York offices.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Ms. Cohl received a Bachelor of Science degree in Accounting from New York University and a Masters in Business Administration from Baruch College. Ms. Cohl is a Ph.D. candidate in Sustainability and Corporate Governance with the University of Paris - Sorbonne. Ms. Cohl is a Certified Public Accountant.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Andrew Kennedy Lang </w:t>
      </w:r>
      <w:r>
        <w:rPr>
          <w:rFonts w:ascii="Arial" w:cs="Arial" w:eastAsia="Arial" w:hAnsi="Arial"/>
          <w:sz w:val="18"/>
          <w:szCs w:val="18"/>
          <w:color w:val="auto"/>
        </w:rPr>
        <w:t>has served as our President, Chief Technology Officer and a director since July 19, 2012 (date of the Merger)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Executive Officer, Chief Technology Officer and a director of I/P from June 22, 2011 to July 19, 2012.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Melon University.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Lang’s experience gained as founder of WiseWire Corporation, and Chief Executive Officer of Innovate/Protect and Lightspace Corporation qualifies him to serve on our board of directors.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Alexander R. Berger </w:t>
      </w:r>
      <w:r>
        <w:rPr>
          <w:rFonts w:ascii="Arial" w:cs="Arial" w:eastAsia="Arial" w:hAnsi="Arial"/>
          <w:sz w:val="17"/>
          <w:szCs w:val="17"/>
          <w:color w:val="auto"/>
        </w:rPr>
        <w:t>has served as our Chief Operating Officer, Secretary and a director since July 19, 2012, the consummation of the Merger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I/P’s Chief Operating Officer, Chief Financial Officer, Secretary and Treasurer and a director from June 8, 2011 to July 19, 2012.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ectPr>
          <w:pgSz w:w="11900" w:h="16838" w:orient="portrait"/>
          <w:cols w:equalWidth="0" w:num="1">
            <w:col w:w="11420"/>
          </w:cols>
          <w:pgMar w:left="240" w:top="904" w:right="239" w:bottom="0" w:gutter="0" w:footer="0" w:header="0"/>
        </w:sectPr>
      </w:pPr>
    </w:p>
    <w:bookmarkStart w:id="30" w:name="page31"/>
    <w:bookmarkEnd w:id="30"/>
    <w:p>
      <w:pPr>
        <w:jc w:val="both"/>
        <w:ind w:firstLine="648"/>
        <w:spacing w:after="0" w:line="308" w:lineRule="auto"/>
        <w:rPr>
          <w:sz w:val="20"/>
          <w:szCs w:val="20"/>
          <w:color w:val="auto"/>
        </w:rPr>
      </w:pPr>
      <w:r>
        <w:rPr>
          <w:rFonts w:ascii="Arial" w:cs="Arial" w:eastAsia="Arial" w:hAnsi="Arial"/>
          <w:sz w:val="17"/>
          <w:szCs w:val="17"/>
          <w:color w:val="auto"/>
        </w:rPr>
        <w:t>We believe Mr. Berger’s experience as a vice president at a private investment fund, and subsequently as founder, Chief Operating Officer and Chief Financial Officer of Innovate/Protect, as well as his expertise in business transactions, qualifies him to serve on our board of directors.</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and entertainment licensing industry since 1982. Mr. Siegel is a co-founder of The Beanstalk Group, a leading brand licensing agency and consultancy and a part of Omnicom Group Inc. (NYSE: OMC). He continues his relationship with both The Beanstalk Group (as a Vice Chairman) and Omnicom (as a consultant on special projects). He is also, since 2007, co-founder and Vice Chairman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Mr. Siegel is also a member of the Council on Foreign Relations.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We believe Mr. Siegel's knowledge of consumer brands and marketing, as well as his leadership experience at The Beanstalk Group and Sixpoint Partners qualifies him to serve on our board of directors.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served as a director of Vringo since December 2010. Mr. Engelman is a co-founder of Boomerang Media LLC (“Boomerang”),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founded in January 2008, which specializes in the acquisition and global licensing of entertainment brands comprised of evergreen television and motion picture libraries and underlying character-based intellectual property. Mr. Engelman currently serves as Co-Chief Executive Officer of Classic Media LLC which was acquired by Boomerang in 2009. In July, 2012 DreamWorks Animation SKG acquired Boomerang. He was also the Co-Chief Executive Officer of Classic Media from May 2000 to November 2007.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 Acquisition Corporation, a NASDAQ traded special purpose acquisition company focused on the acquisition of trans-border and Hispanic businesses. From 1997 to 2001, Mr. Engelman was an operating partner with Pegasus.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Boomerang Media and Classic Media are contributions to us and the board of directors.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 Van Sinclair </w:t>
      </w:r>
      <w:r>
        <w:rPr>
          <w:rFonts w:ascii="Arial" w:cs="Arial" w:eastAsia="Arial" w:hAnsi="Arial"/>
          <w:sz w:val="17"/>
          <w:szCs w:val="17"/>
          <w:color w:val="auto"/>
        </w:rPr>
        <w:t>has been our director since July 19, 2012 and a director of I/P since November 7, 2011 and until the consummation of the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2003, Mr. Sinclair has served as President, Chief Executive Officer and General Counsel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of RLJ portfolio investment companies.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and represented both public and private entities. In the late 1990s, Mr. Sinclair became the partner in charge of litigation at Arent Fox, and today remains a counsel to the firm. Mr. Sinclair holds a Bachelor’s degree in Mathematics and a Master’s degree in business administration from the University of Rochester, and a Juris Doctor degree from The George Washington University.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Sinclair’s experiences in commercial disputes, litigation, and board service on other public companies qualify him to serve on our board of directors.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19, 2012 and a director of I/P since August 15, 2011 and until the consummation of the Merger.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career spanning over forty years, Mr. Stout 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Ashley C. Keller </w:t>
      </w:r>
      <w:r>
        <w:rPr>
          <w:rFonts w:ascii="Arial" w:cs="Arial" w:eastAsia="Arial" w:hAnsi="Arial"/>
          <w:sz w:val="18"/>
          <w:szCs w:val="18"/>
          <w:color w:val="auto"/>
        </w:rPr>
        <w:t>has been a director since December 31, 2012. Ashley Keller is co-founder and Chief Investment Officer of Gerchen Keller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 private investment firm formed to invest in complex commercial legal claims. Prior to co-founding Gerchen Keller Capital, Mr. Keller was a special situations Analyst at Alyeska Investment Group,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 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Keller’s experience in commercial litigation matters and involvement in securities and patent cases qualifies him to serve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Messrs. Siegel, Engelman, Sinclair, Stout and Keller qualify as independent directors in accordance with the standards set by the NYSE MKT as well as Rule 10A-3 promulgated under the Securities Exchange Act of 1934, as amended, or the Exchange Act. Accordingly, our board of directors is comprised of a majority of independent directors as required by the NYSE MKT.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is available on our website at http://ir.vringo.com.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established a Compensation Committee, comprised of Messrs. Siegel, Engelman and Keller, all of whom are independent directors. Mr. Engelman serves as chairman of the Compensation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is authorized to:</w:t>
      </w:r>
    </w:p>
    <w:p>
      <w:pPr>
        <w:spacing w:after="0" w:line="225" w:lineRule="exact"/>
        <w:rPr>
          <w:sz w:val="20"/>
          <w:szCs w:val="20"/>
          <w:color w:val="auto"/>
        </w:rPr>
      </w:pPr>
    </w:p>
    <w:p>
      <w:pPr>
        <w:ind w:left="1620" w:hanging="64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recommend the compensation arrangements for management to our board of directors, including the compensation for our chief executive officer; and</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established an Audit Committee, comprised of Messrs. Sinclair, Stout and Keller, all of whom are independent directors. Mr. Sinclair serves as chairman of the Audit Committee. Our board of directors has determined that Mr. Sinclair is an "audit committee financial expert" as defined in Item 407(d)(5)(ii) of Regulation S-K.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is authorized to:</w:t>
      </w:r>
    </w:p>
    <w:p>
      <w:pPr>
        <w:spacing w:after="0" w:line="225" w:lineRule="exact"/>
        <w:rPr>
          <w:sz w:val="20"/>
          <w:szCs w:val="20"/>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Messrs. Siegel and Sinclair, both of whom are independent directors. Mr. Siegel serves as chairman of the Nominating and Corporate Governance Committee. The Nominating and Corporate Governance Committee is authorized to:</w:t>
      </w:r>
    </w:p>
    <w:p>
      <w:pPr>
        <w:spacing w:after="0" w:line="18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Perlman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or other independent director, will preside over executive sessions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adopted a code of ethics that applies to our officers, directors and employees. Copy of our code of ethics is accessible on our website at http://ir.vringo.com. Disclosure regarding any amendments to, or waivers from, provisions of the code of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the NYSE MKT.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holders of more than 10% of our common stock complied with all applicable filing requirements during the fiscal year ended December 31,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summarizes the total compensation paid or accrued during the last two fiscal years ended December 31, 2012 and 2011 to (i) our Chief Executive Officer, (ii) our two next most highly compensated executive officers who earned more than $100,000 during the fiscal year ended 2012 and were serving as executive officers as of such date, and (iii) our former Chief Executive Officer that served as our principal executive officer until March 7, 2012.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Option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60" w:type="dxa"/>
            <w:vAlign w:val="bottom"/>
          </w:tcPr>
          <w:p>
            <w:pPr>
              <w:spacing w:after="0"/>
              <w:rPr>
                <w:sz w:val="18"/>
                <w:szCs w:val="18"/>
                <w:color w:val="auto"/>
              </w:rPr>
            </w:pPr>
          </w:p>
        </w:tc>
        <w:tc>
          <w:tcPr>
            <w:tcW w:w="15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500"/>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Salary($)</w:t>
            </w:r>
          </w:p>
        </w:tc>
        <w:tc>
          <w:tcPr>
            <w:tcW w:w="400" w:type="dxa"/>
            <w:vAlign w:val="bottom"/>
          </w:tcPr>
          <w:p>
            <w:pPr>
              <w:spacing w:after="0"/>
              <w:rPr>
                <w:sz w:val="20"/>
                <w:szCs w:val="20"/>
                <w:color w:val="auto"/>
              </w:rPr>
            </w:pPr>
          </w:p>
        </w:tc>
        <w:tc>
          <w:tcPr>
            <w:tcW w:w="1420" w:type="dxa"/>
            <w:vAlign w:val="bottom"/>
            <w:gridSpan w:val="2"/>
          </w:tcPr>
          <w:p>
            <w:pPr>
              <w:jc w:val="right"/>
              <w:ind w:right="290"/>
              <w:spacing w:after="0"/>
              <w:rPr>
                <w:sz w:val="20"/>
                <w:szCs w:val="20"/>
                <w:color w:val="auto"/>
              </w:rPr>
            </w:pPr>
            <w:r>
              <w:rPr>
                <w:rFonts w:ascii="Arial" w:cs="Arial" w:eastAsia="Arial" w:hAnsi="Arial"/>
                <w:sz w:val="18"/>
                <w:szCs w:val="18"/>
                <w:b w:val="1"/>
                <w:bCs w:val="1"/>
                <w:u w:val="single" w:color="auto"/>
                <w:color w:val="auto"/>
                <w:w w:val="96"/>
              </w:rPr>
              <w:t>awards($</w:t>
            </w:r>
            <w:r>
              <w:rPr>
                <w:rFonts w:ascii="Arial" w:cs="Arial" w:eastAsia="Arial" w:hAnsi="Arial"/>
                <w:sz w:val="18"/>
                <w:szCs w:val="18"/>
                <w:b w:val="1"/>
                <w:bCs w:val="1"/>
                <w:color w:val="auto"/>
                <w:w w:val="96"/>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u w:val="single" w:color="auto"/>
                <w:color w:val="auto"/>
                <w:w w:val="92"/>
              </w:rPr>
              <w:t>awards($</w:t>
            </w:r>
            <w:r>
              <w:rPr>
                <w:rFonts w:ascii="Arial" w:cs="Arial" w:eastAsia="Arial" w:hAnsi="Arial"/>
                <w:sz w:val="18"/>
                <w:szCs w:val="18"/>
                <w:b w:val="1"/>
                <w:bCs w:val="1"/>
                <w:color w:val="auto"/>
                <w:w w:val="92"/>
              </w:rPr>
              <w:t>)(1)</w:t>
            </w:r>
          </w:p>
        </w:tc>
        <w:tc>
          <w:tcPr>
            <w:tcW w:w="1640" w:type="dxa"/>
            <w:vAlign w:val="bottom"/>
            <w:gridSpan w:val="3"/>
          </w:tcPr>
          <w:p>
            <w:pPr>
              <w:jc w:val="right"/>
              <w:ind w:right="230"/>
              <w:spacing w:after="0"/>
              <w:rPr>
                <w:sz w:val="20"/>
                <w:szCs w:val="20"/>
                <w:color w:val="auto"/>
              </w:rPr>
            </w:pPr>
            <w:r>
              <w:rPr>
                <w:rFonts w:ascii="Arial" w:cs="Arial" w:eastAsia="Arial" w:hAnsi="Arial"/>
                <w:sz w:val="18"/>
                <w:szCs w:val="18"/>
                <w:b w:val="1"/>
                <w:bCs w:val="1"/>
                <w:u w:val="single" w:color="auto"/>
                <w:color w:val="auto"/>
                <w:w w:val="90"/>
              </w:rPr>
              <w:t>compensation($</w:t>
            </w:r>
            <w:r>
              <w:rPr>
                <w:rFonts w:ascii="Arial" w:cs="Arial" w:eastAsia="Arial" w:hAnsi="Arial"/>
                <w:sz w:val="18"/>
                <w:szCs w:val="18"/>
                <w:b w:val="1"/>
                <w:bCs w:val="1"/>
                <w:color w:val="auto"/>
                <w:w w:val="90"/>
              </w:rPr>
              <w:t>)</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240,289</w:t>
            </w:r>
          </w:p>
        </w:tc>
        <w:tc>
          <w:tcPr>
            <w:tcW w:w="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4,289,556</w:t>
            </w:r>
          </w:p>
        </w:tc>
        <w:tc>
          <w:tcPr>
            <w:tcW w:w="32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4"/>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2,511,000</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169,080</w:t>
            </w:r>
          </w:p>
        </w:tc>
        <w:tc>
          <w:tcPr>
            <w:tcW w:w="32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0"/>
              </w:rPr>
              <w:t>(3)</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7,209,925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116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195,000</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156,325</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Ellen Cohl</w:t>
            </w:r>
          </w:p>
        </w:tc>
        <w:tc>
          <w:tcPr>
            <w:tcW w:w="11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137,553</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0"/>
              </w:rPr>
              <w:t>(2)</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965,209(*)</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372,000</w:t>
            </w:r>
          </w:p>
        </w:tc>
        <w:tc>
          <w:tcPr>
            <w:tcW w:w="164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38,394(4)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16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127,988</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0"/>
              </w:rPr>
              <w:t>(2)</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58,180</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36,841(4)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Alexander R. Berger (5)</w:t>
            </w:r>
          </w:p>
        </w:tc>
        <w:tc>
          <w:tcPr>
            <w:tcW w:w="11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102,836</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3,419,870</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2,511,000</w:t>
            </w:r>
          </w:p>
        </w:tc>
        <w:tc>
          <w:tcPr>
            <w:tcW w:w="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6,033,706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16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Jonathan Medved</w:t>
            </w:r>
          </w:p>
        </w:tc>
        <w:tc>
          <w:tcPr>
            <w:tcW w:w="11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62,918</w:t>
            </w:r>
          </w:p>
        </w:tc>
        <w:tc>
          <w:tcPr>
            <w:tcW w:w="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0"/>
              </w:rPr>
              <w:t>(2)</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208,088(7)</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196,714(6)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Former Chief Executive Officer</w:t>
            </w:r>
          </w:p>
        </w:tc>
        <w:tc>
          <w:tcPr>
            <w:tcW w:w="116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215,255</w:t>
            </w:r>
          </w:p>
        </w:tc>
        <w:tc>
          <w:tcPr>
            <w:tcW w:w="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0"/>
              </w:rPr>
              <w:t>(2)</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104,177(6)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319,432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2(m) and 10 to the accompanying consolidated financial statements.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an average exchange rate of 3.85 and 3.58 between the NIS and U.S. Dollar for 2012 and 2011, respectively.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compensation represents amounts reimbursed by us for taxes incurred in respect of options granted with below fair market value exercise prices not in compliance with Section 409A of the Internal Revenue Code.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contributions to: (a) continued savings fund (Keren Hishtalmut), (b) retirement plan feature of Managers' Insurance (Kupat Gemel),</w:t>
      </w:r>
    </w:p>
    <w:p>
      <w:pPr>
        <w:spacing w:after="0" w:line="34" w:lineRule="exact"/>
        <w:rPr>
          <w:rFonts w:ascii="Arial" w:cs="Arial" w:eastAsia="Arial" w:hAnsi="Arial"/>
          <w:sz w:val="17"/>
          <w:szCs w:val="17"/>
          <w:color w:val="auto"/>
        </w:rPr>
      </w:pPr>
    </w:p>
    <w:p>
      <w:pPr>
        <w:ind w:left="340" w:hanging="8"/>
        <w:spacing w:after="0" w:line="290" w:lineRule="auto"/>
        <w:tabs>
          <w:tab w:leader="none" w:pos="585"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disability insurance (Ovdan Kosher Avoda) and (d) statutory national insurance (Bituach Leumi) in the aggregate total amount of $32,694 in 2012 and $30,898 in 2011. Additionally, includes local travel reimbursement in the aggregate amount of $5,700 in 2012 and $5,943 in 2011.</w:t>
      </w:r>
    </w:p>
    <w:p>
      <w:pPr>
        <w:spacing w:after="0" w:line="161"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July 19, 2012, pursuant to the consummation of the Merger, Mr. Berger joined as our Chief Operating Officer. The amounts disclosed above exclude compensation paid to Mr. Berger, by I/P, prior to the Merger. In the period from January 1, 2012 to the Merger date, total contributions made by I/P for salary were $83,829. In the period from Inception through December 31, 2011, I/P paid $56,804 for salary.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other compensation represents contributions made towards severance in the total amount of $120,310 (a) continued savings fund (Keren Hishtalmut),</w:t>
      </w:r>
    </w:p>
    <w:p>
      <w:pPr>
        <w:spacing w:after="0" w:line="46" w:lineRule="exact"/>
        <w:rPr>
          <w:rFonts w:ascii="Arial" w:cs="Arial" w:eastAsia="Arial" w:hAnsi="Arial"/>
          <w:sz w:val="16"/>
          <w:szCs w:val="16"/>
          <w:color w:val="auto"/>
        </w:rPr>
      </w:pPr>
    </w:p>
    <w:p>
      <w:pPr>
        <w:jc w:val="both"/>
        <w:ind w:left="340" w:hanging="8"/>
        <w:spacing w:after="0" w:line="254" w:lineRule="auto"/>
        <w:tabs>
          <w:tab w:leader="none" w:pos="609"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retirement plan feature of Managers' Insurance (Kupat Gemel), (c) disability insurance (Ovdan Kosher Avoda) and (d) statutory national insurance (Bituach Leumi) in the aggregate total amount of $60,366 in 2012 and $67,580 in 2011. In addition, includes payments associated with possession of company-leased vehicle in the amount of $12,883 in 2012 and $19,578 in 2011. Additionally, includes life insurance (Keyman insurance) in the aggregate amount of $3,155 in 2012 and $17,019 in 2011.</w:t>
      </w:r>
    </w:p>
    <w:p>
      <w:pPr>
        <w:spacing w:after="0" w:line="18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$102,324 of the amount listed above relates to the incremental expense incurred in connection with extension of expiration of certain options, as part of Mr. Medved’s separation agreement.</w:t>
      </w:r>
    </w:p>
    <w:p>
      <w:pPr>
        <w:spacing w:after="0" w:line="170" w:lineRule="exact"/>
        <w:rPr>
          <w:sz w:val="20"/>
          <w:szCs w:val="20"/>
          <w:color w:val="auto"/>
        </w:rPr>
      </w:pPr>
    </w:p>
    <w:p>
      <w:pPr>
        <w:jc w:val="both"/>
        <w:ind w:left="340" w:hanging="332"/>
        <w:spacing w:after="0" w:line="28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the consummation of the Merger, the vesting of all pre-Merger granted options was fully accelerated. As a result, 343,323 unvested options granted to Mr. Perlman and 114,583 unvested options granted to Ms. Cohl became fully vested and an additional incremental expense of $372,058 and $178,025, respectively, was incurred by us. See also Note 10 to the accompanying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December 31, 2012, Mr. Perlman's annual base salary was $175,000. In addition, he was eligible to receive $5,000 at the end of each quarter.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13, 2013, we entered into a new employment agreement with Mr. Perlman. Mr. Perlman’s employment agreement has a term of three</w:t>
      </w:r>
    </w:p>
    <w:p>
      <w:pPr>
        <w:spacing w:after="0" w:line="46" w:lineRule="exact"/>
        <w:rPr>
          <w:sz w:val="20"/>
          <w:szCs w:val="20"/>
          <w:color w:val="auto"/>
        </w:rPr>
      </w:pPr>
    </w:p>
    <w:p>
      <w:pPr>
        <w:jc w:val="both"/>
        <w:ind w:firstLine="8"/>
        <w:spacing w:after="0" w:line="269"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is entitled to receive a base salary of $385,000 effective January 1, 2013 until December 31, 2013. From January 1, 2014 to December 31, 2014, Mr. Perlman will be entitled to receive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Mr. Perlman’s current employment agreement, may be terminated upon death, disability, by us with or without Cause (as defined below), by Mr. Perlman with or without Good Reason (as defined below) or on the last day of the term of the employment agreement. In the event the employment agreement is terminated for (i) Good Reason by Mr. Perlman, or (ii) by us without Cause, Mr. Perlman shall be entitled to receive (A) the payment of any base salary earned but unpaid through the date of termination and any other payment or benefit to which he is entitled under the applicable terms of any other arrangement with us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us for up to a maximum of twelve months following the date of termination. In the event the employment agreement is terminated by us for Cause, without Good Reason by Mr. Perlman, or the parties elect not to renew the agreement, Mr. Perlman will be entitled to payment of any base salary earned but unpaid through the date of termination and any other payment or benefit to which he is entitled under the applicable terms of any other arrangement with the Company.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 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3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Both employment agreements requires Mr. Perlman to assign inventions and other intellectual property which he conceived or reduced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9, 2012, we granted Mr. Perlman 100,000 options, at an exercise price of $0.96, vesting quarterly over four years, with a one year cliff. In addition, on March 13, 2012, we granted Mr. Perlman 450,000 options, at an exercise price of $1.65, vesting quarterly over three years. On July 26, 2012, we granted Mr. Perlman 1,275,000 options and 675,000 RSUs, vesting quarterly over three and four years, respectively. In addition, pursuant to the consummation of the Merger, the vesting of all pre-Merger granted options was fully accelerated. As a result, an additional 343,323 options were vested. See Note 10 to the accompanying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Ellen Cohl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Ellen Cohl entered into an employment agreement with us on October 20, 2010, to act as our principal financial officer. Her agreement requires us to provide her with 90 days’ notice of termination other than for cause and for her to provide us with 90 days’ notice of resignation. In January 2011, Ms. Cohl's gross annual salary was NIS 480,000 (approximately $134,110). In August 2012, following the completion of the Merger, Ms. Cohl’s annual salary was increased to NIS 600,000 (approximately $155,520). Ms. Cohl shall be reimbursed for all pre-approved expenses, and travel expenses, incurred in connection with her duties pursuant to the employment agreement. In addition, on February 1, 2013, we entered into an indemnification agreement with Ms. Cohl.</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is deposited each year towards such Manager's Policy, which amount is split among an account for severance pay, disability insurance and a pension fund. Pursuant to a resolution by the board of directors on February 14, 2013, Ms. Cohl’s severance fund was to be brought in line with Israel's Severance Pay Law, 1963, in which the rate of compensation is the most recent salary multiplied by the years of work (or any part thereof). Except in circumstances that would not require the payment of severance pursuant to Israeli law, in the event of the termination of Ms. Cohl's employment, the Manager's Policy will be transferred to her personally. The Manager's Policy would not be transferred to Ms. Cohl in certain circumstances, including breach of confidentiality and non-competition provisions or the breach of fiduciary duties. During the term of</w:t>
      </w:r>
    </w:p>
    <w:p>
      <w:pPr>
        <w:sectPr>
          <w:pgSz w:w="11900" w:h="16933" w:orient="portrait"/>
          <w:cols w:equalWidth="0" w:num="1">
            <w:col w:w="11420"/>
          </w:cols>
          <w:pgMar w:left="240" w:top="904" w:right="239" w:bottom="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Ms. Cohl's employment, the Company will contribute an amount equal to 7.5% of her base salary into a Further Savings Fund recognized by Israeli income tax authorities, which will continue only up to the applicable tax-exempt “ceiling” under the income tax regulations in effect from time to time. The funds may be released to Ms. Cohl upon her written request.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us and to maintain our confidential information during employment and thereafter. Ms. Cohl is also subject to a non-competition and a non-solicitation provision that extends for a period of twelve months following termination of her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9, 2012, we granted Ms. Cohl 85,000 options, at an exercise price of $0.96 vesting quarterly over four years, with a one year cliff. On February 22, 2012, we granted Ms. Cohl 20,000 options, at an exercise price of $0.01 vesting immediately. In addition, on March 13, 2012, we granted Ms. Cohl 185,000 options, at an exercise price of $1.65, vesting quarterly over three years. On July 26, 2012, we granted Ms. Cohl 200,000 options and 100,000 RSUs, vesting quarterly over three and four years, respectively. In addition, pursuant to the consummation of the Merger, the vesting of all pre-Merger granted options was fully accelerated. As a result, an additional 114,583 options were vested. See Note 10 to the accompanying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Alexander R. Berger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19, 2012, we assumed all of the duties, obligations and liabilities of I/P under the employment agreement with Alexander R. Berger. Mr. Berger’s employment agreement had an initial term of eighteen months, with an option to either renegotiate the terms of the employment agreement prior to the expiration of the initial term, which term is subject to automatic one-year extensions unless either party gives notice of non-renewal to the other party three months prior to the expiration of the applicable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13, 2013, we entered into a new employment agreement with Mr. Berger. Mr. Berger’s prior employment agreement with us expired by its terms on February 9, 2013. Mr. Berger’s new employment agreement has a term of three years. We and Mr. Berger have agreed to commence negotiations to enter into a new employment agreement at least six months prior to the expiration of the three-year term and to conclude those negotiations no later than the date that is three months prior to the expiration of the term of the employment agreement. Under the terms of his employment agreement, Mr. Berger is currently entitled to receive a base salary of $385,000 effective January 1, 2013 until December 31, 2013. From January 1, 2014 to December 31, 2104, Mr. Berger will be entitled to receive a base salary of $400,000. From January 1, 2015 through the remainder of the term of the employment agreement, Mr. Berger will be entitled to receive a base salary of $415,000. In addition, Mr. Berger will be eligible to participate in any annual bonus or other incentive compensation program that we may adopt from time to time for its executive officers. In addition, on February 1, 2013, we entered into an indemnification agreement with Mr. Berger.</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Mr. Berger’s employment agreement, may be terminated upon death, disability, by us with or without Cause (as defined below), by Mr. Berger with or without Good Reason (as defined below) or on the last day of the term of the employment agreement. In the event the employment agreement is terminated for (i) Good Reason by Mr. Berger, or (ii) by the Company without Cause, Mr. Berger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the Company for up to a maximum of twelve months following the date of termination. In the event the employment agreement is terminated by the Company for Cause, without Good Reason by Mr. Berger, or the parties elect not to renew the agreement, Mr. Berger will be entitled to payment of any base salary earned but unpaid through the date of termination and any other payment or benefit to which he is entitled under the applicable terms of any other arrangement with the Company. “Cause” as used Mr. Berger’s employment agreement means: (a) the willful and continued failure of Mr. Berger to perform substantially his duties and responsibilities for the Company (other than any such failure resulting from his death or disability) after a written demand by the board of directors for substantial performance is delivered to Mr. Berger by the Company, which specifically identifies the manner in which the board of directors believes that Mr. Berger has not substantially performed his duties and responsibilities, which willful and continued failure is not cured by Mr. Berger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Berger has engaged in fraud, dishonesty, gross negligence or misconduct which, if curable, has not been cured within thirty days after his receipt of a written notice from the board of directors stating with reasonable specificity the basis of such finding. “Good Reason” as used Mr. Berger’s employment agreement means (a) the assignment, without Mr. Berger’s consent, to Mr. Berger of duties that result in a substantial diminution of the duties that he assumed; provided, however, the failure of Mr. Berger to be reelected to the board of directors shall not be deemed to be a diminution of duties; (b) the assignment, without Mr. Berger’s consent, of a title that is subordinate to the title Chief Operating Officer; (c) a reduction in Mr. Berger’s base salary; (d) the Company's requirement that Mr. Berger regularly report to work in a location that is more than fifty miles from the Company's current New York office, without the Mr. Berger’s consent; (e) a change in reporting relationship, provided however, that Good Reason does not include a change in the reporting relationship whereby Mr. Berger will report to the board of directors of an acquiring company after a change of control (as that term is defined in the Company’s 2012 Employee, Director and Consultant Equity Incentive Plan); or (f) a material breach by the Company of Mr. Berger’s employment agreement.</w:t>
      </w:r>
    </w:p>
    <w:p>
      <w:pPr>
        <w:spacing w:after="0" w:line="3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Berger’s employment agreement also includes a covenant not to compete with the Company or solicit any material commercial relationships of the Company for a period of two years after Mr. Berger is actually no longer employed by the Company.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26, 2012, we granted Mr. Berger 1,275,000 options at an exercise price of $3.72 and 675,000 RSUs, vesting quarterly over three and four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Medved Separation Agreement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2012, we signed a separation agreement with our former Chief Executive Officer, Jonathan Medved. According to the terms of the separation agreement, and consistent with Mr. Medved’s employment agreement, Mr. Medved received salary and benefits during a ninety day notice period and a nine month severance period, and continued to vest stock options after his termination. In addition, options granted to Mr. Medved at $0.01 fully vested as of June 21, 2012 and the expiration date for exercising all vested options was extended to September 21, 2013. Furthermore, an additional 100,000 options at $1.65, were granted to Mr. Medved, subject to good faith compliance upon separation from us. These options will vest quarterly over a three year period.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Outstanding Equity Awards at 2012 Fiscal Year 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2012, to each of our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Options Awards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82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Market value of</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unexercised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or units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or units</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options (#)</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 un-</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Option exercise</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Option expiration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that have not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that have not</w:t>
            </w:r>
          </w:p>
        </w:tc>
      </w:tr>
      <w:tr>
        <w:trPr>
          <w:trHeight w:val="234"/>
        </w:trPr>
        <w:tc>
          <w:tcPr>
            <w:tcW w:w="2640" w:type="dxa"/>
            <w:vAlign w:val="bottom"/>
            <w:gridSpan w:val="2"/>
          </w:tcPr>
          <w:p>
            <w:pPr>
              <w:ind w:left="1040"/>
              <w:spacing w:after="0"/>
              <w:rPr>
                <w:sz w:val="20"/>
                <w:szCs w:val="20"/>
                <w:color w:val="auto"/>
              </w:rPr>
            </w:pPr>
            <w:r>
              <w:rPr>
                <w:rFonts w:ascii="Arial" w:cs="Arial" w:eastAsia="Arial" w:hAnsi="Arial"/>
                <w:sz w:val="18"/>
                <w:szCs w:val="18"/>
                <w:b w:val="1"/>
                <w:bCs w:val="1"/>
                <w:color w:val="auto"/>
              </w:rPr>
              <w:t>Name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exercisable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exercisable</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price($)</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date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vested (#)</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 ($)</w:t>
            </w:r>
          </w:p>
        </w:tc>
      </w:tr>
      <w:tr>
        <w:trPr>
          <w:trHeight w:val="210"/>
        </w:trPr>
        <w:tc>
          <w:tcPr>
            <w:tcW w:w="2520" w:type="dxa"/>
            <w:vAlign w:val="bottom"/>
            <w:tcBorders>
              <w:top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rPr>
              <w:t>Andrew D. Perlman (1)(*)</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October 9, 2013</w:t>
            </w:r>
          </w:p>
        </w:tc>
        <w:tc>
          <w:tcPr>
            <w:tcW w:w="1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Andrew D. Perlman (1)(*)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76,000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0.96</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9, 2018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D. Perlman (1)(*)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January 1, 2015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Andrew D. Perlman (1)(*)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17, 2016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D. Perlman (2)(*)</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90,000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January 31, 2017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Andrew D. Perlman (4)(*)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June 25, 2013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D. Perlman (5)</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675,000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1,937,250</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Andrew D. Perlman (6)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1,062,500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July 26, 2022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Andrew D. Perlman (6)(*)</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450,000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March 13, 2018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Alexander R. Berger (5)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675,000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1,937,250</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Alexander R. Berger (6)</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212,500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1,062,500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July 26, 2022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Ellen Cohl (1) (*)</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0.96</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9, 2018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 (1) (*)</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March 17, 2016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Ellen Cohl (1) (*)</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31, 2017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 (2) (*)</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6,924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March 17, 2016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Ellen Cohl (3) (*)</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31, 2017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 (5)</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100,000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287,000</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Ellen Cohl (6) (*)</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13, 2018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Ellen Cohl (6)</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33,333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167,667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July 26, 2022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Jonathan Medved (1)</w:t>
            </w:r>
          </w:p>
        </w:tc>
        <w:tc>
          <w:tcPr>
            <w:tcW w:w="1280" w:type="dxa"/>
            <w:vAlign w:val="bottom"/>
          </w:tcPr>
          <w:p>
            <w:pPr>
              <w:jc w:val="right"/>
              <w:spacing w:after="0"/>
              <w:rPr>
                <w:sz w:val="20"/>
                <w:szCs w:val="20"/>
                <w:color w:val="auto"/>
              </w:rPr>
            </w:pPr>
            <w:r>
              <w:rPr>
                <w:rFonts w:ascii="Arial" w:cs="Arial" w:eastAsia="Arial" w:hAnsi="Arial"/>
                <w:sz w:val="18"/>
                <w:szCs w:val="18"/>
                <w:color w:val="auto"/>
              </w:rPr>
              <w:t>11,688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September 21, 2013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Jonathan Medved (1)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362,500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5.50</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September 21, 2013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Jonathan Medved (3)</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March 13, 2018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Jonathan Medved (4)</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20,833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September 21, 2013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the option vests in arrears on the date which is twelve months after the applicable vesting commencement date, subject to the optionee's continuous service status on such date. The remaining 75% of the option vests in twelve equal quarterly increments (6.25% per quarter) over the subsequent three years, subject to the optionee's continuous service on the relevant vesting date.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33% of the option vests in arrears on the date which is twelve months after the applicable vesting commencement date, subject to the optionee's continuous service on such date. The remaining 67% of the option vests in equal quarterly increments (8.33% per quarter) over the subsequent two years, subject to the optionee's continuous service on the relevant vesting date.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33% of the option vests in arrears on the date which is twelve months after the applicable vesting commencement date, subject to the optionee's continuous service on such date. The remaining 67% of the option vests in two equal annual increments (33% per year) over the subsequent two years, subject to the optionee's continuous service on the relevant vesting date.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12.5% of the option vests on the date which is six months after the applicable vesting commencement date, subject to the optionee's continuous service on such date. The remaining 87.5% of the option vests in fourteen equal quarterly increments (6.25% per quarter) over the subsequent three and a half years, subject to the optionee's continuous service on the relevant vesting date.</w:t>
      </w:r>
    </w:p>
    <w:p>
      <w:pPr>
        <w:spacing w:after="0" w:line="18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RSU awards vest over 4 years, with 12.5% vesting on January 26, 2013 and the remaining 87.5% of the RSUs vesting in fourteen equal quarterly increments (6.25% per quarter) over the subsequent three and a half years, subject to the participant's continuous service on the relevant vesting date.</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option vests in twelve equal quarterly increments (8.33% per quarter) over the three years, subject to the optionee's continuous service on the relevant vesting date.</w:t>
      </w:r>
    </w:p>
    <w:p>
      <w:pPr>
        <w:spacing w:after="0" w:line="170" w:lineRule="exact"/>
        <w:rPr>
          <w:sz w:val="20"/>
          <w:szCs w:val="20"/>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the consummation of the Merger, the vesting of all pre-Merger options granted to Mr. Perlman and Ms. Cohl was accelerated, as a result, 343,323 and 114,583 options, respectively, at an exercise price range of $0.01-$5.50 were accelerated. See also Note 10 to the accompanying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summarizes the potential payments to each named executive officer as of December 31, 2012, except for Mr. Medved who terminated employment with us in March 2012. The discussion assumes that, with the exception of Mr. Medved, the event occurred on December 31, 2012, the last business day of our fiscal year, at which time the closing price of our common stock as listed on the NYSE MKT was $2.87 per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08" w:gutter="0" w:footer="0" w:header="0"/>
        </w:sectPr>
      </w:pPr>
    </w:p>
    <w:bookmarkStart w:id="39" w:name="page40"/>
    <w:bookmarkEnd w:id="39"/>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D. Perlman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Based on the employment arrangement in effect as of December 31, 2012, we were required to provide Mr. Perlman 90 days’ notice in the event of termination other than for cause which as of December 31, 2012, would have required us to pay Mr. Perlman $62,500 had we terminated him without any notice. In addition, all of his unvested equity instruments would have vested under their normal vesting schedule without any further condition of employment. As a result, the intrinsic value of all unvested equity instruments as of December 31, 2012, would have been $1,937,250. In the event a change of control had occurred on December 31, 2012 and Mr. Perlman had not continued as the CEO (other than a result of Mr. Perlman’s resignation without good reason or his termination for cause), he would have been entitled to one times his base salary or $250,000 and 75% acceleration of certain equity instruments granted after the Merger, which for such unvested awards, would have been $1,452,938 as of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Ellen Cohl</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the employment arrangement in effect as of December 31, 2012, we were required to provide Ms. Cohl 90 days’ notice in the event of termination other than for cause which as of December 31, 2012, would have required us to pay Ms. Cohl $38,880 had we terminated her without notice..</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is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the Manager's Policy will be transferred to her personally, which amount would have been $123,657 as of December 31, 2012. The severance portion of the Manager's Policy would not be transferred to Ms. Cohl in certain circumstances, including breach of confidentiality and non-competition provisions or the breach of fiduciary duties. In addition, upon change of control, Ms. Cohl would be entitled to receive 75% acceleration of certain equity instruments granted after the Merger, which for such unvested awards, would have been $215,250 as of December 31,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Alexander R. Berger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employment arrangement in effect as of December 31, 2012, we were required to provide Mr. Berger 30 days’ notice in the event of termination other than for cause which as of December 31, 2012, would have required us to pay Mr. Berger $20,833 had we terminated him without any notice. In the event of termination for good reason (as defined in his employment contract), Mr. Berger was entitled to receive up to one year of base salary and benefits as severance, which would have been $266,250, as of December 31, 2012.</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Mr. Berger’s employment agreement if we had terminated him for any reason other than cause, all of his unvested incentive equity instruments shall continue to vest under their normal vesting schedule without any further condition of employment. As a result, the intrinsic value of all unvested equity instruments as of December 31, 2012 would have been $1,937,250. In addition, upon change of control, Mr. Berger would be entitled to receive 75% acceleration of certain equity instruments granted after the Merger, which for such unvested awards, would have been $1,452,938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Medved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Mr. Medved’s termination he received total cash severance payments of $120,310, and benefits of $50,718. In addition, the intrinsic value of all unvested equity instruments which vested as a result of his termination was $1,937,250.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compensation of persons who served as non-employee members of our board of directors during all or part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All other</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Paid in Cash</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700" w:type="dxa"/>
            <w:vAlign w:val="bottom"/>
          </w:tcPr>
          <w:p>
            <w:pPr>
              <w:ind w:left="1620"/>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 xml:space="preserve">Awards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 (1)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Awards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 (1)</w:t>
            </w:r>
          </w:p>
        </w:tc>
        <w:tc>
          <w:tcPr>
            <w:tcW w:w="1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 xml:space="preserve">compensation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 ($)</w:t>
            </w:r>
          </w:p>
        </w:tc>
      </w:tr>
      <w:tr>
        <w:trPr>
          <w:trHeight w:val="210"/>
        </w:trPr>
        <w:tc>
          <w:tcPr>
            <w:tcW w:w="37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Seth M. Siegel (2)</w:t>
            </w:r>
          </w:p>
        </w:tc>
        <w:tc>
          <w:tcPr>
            <w:tcW w:w="12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1,116,000</w:t>
            </w:r>
          </w:p>
        </w:tc>
        <w:tc>
          <w:tcPr>
            <w:tcW w:w="2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773,025</w:t>
            </w:r>
          </w:p>
        </w:tc>
        <w:tc>
          <w:tcPr>
            <w:tcW w:w="22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119,000</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2,008,025</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John Engelman (3)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837,000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657,606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10,827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1,510,433</w:t>
            </w:r>
          </w:p>
        </w:tc>
        <w:tc>
          <w:tcPr>
            <w:tcW w:w="120" w:type="dxa"/>
            <w:vAlign w:val="bottom"/>
          </w:tcPr>
          <w:p>
            <w:pPr>
              <w:spacing w:after="0"/>
              <w:rPr>
                <w:sz w:val="18"/>
                <w:szCs w:val="18"/>
                <w:color w:val="auto"/>
              </w:rPr>
            </w:pPr>
          </w:p>
        </w:tc>
      </w:tr>
      <w:tr>
        <w:trPr>
          <w:trHeight w:val="216"/>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Donald E. Stout (4)</w:t>
            </w: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837,000</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335,281</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42,563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1,214,844</w:t>
            </w:r>
          </w:p>
        </w:tc>
        <w:tc>
          <w:tcPr>
            <w:tcW w:w="120" w:type="dxa"/>
            <w:vAlign w:val="bottom"/>
            <w:shd w:val="clear" w:color="auto" w:fill="CCFFC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H. Van Sinclair (5)</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837,000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335,281</w:t>
            </w:r>
          </w:p>
        </w:tc>
        <w:tc>
          <w:tcPr>
            <w:tcW w:w="2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1,172,281</w:t>
            </w:r>
          </w:p>
        </w:tc>
        <w:tc>
          <w:tcPr>
            <w:tcW w:w="120" w:type="dxa"/>
            <w:vAlign w:val="bottom"/>
          </w:tcPr>
          <w:p>
            <w:pPr>
              <w:spacing w:after="0"/>
              <w:rPr>
                <w:sz w:val="18"/>
                <w:szCs w:val="18"/>
                <w:color w:val="auto"/>
              </w:rPr>
            </w:pPr>
          </w:p>
        </w:tc>
      </w:tr>
      <w:tr>
        <w:trPr>
          <w:trHeight w:val="216"/>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Philip Serlin (6)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157,897</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208,447</w:t>
            </w:r>
          </w:p>
        </w:tc>
        <w:tc>
          <w:tcPr>
            <w:tcW w:w="120" w:type="dxa"/>
            <w:vAlign w:val="bottom"/>
            <w:shd w:val="clear" w:color="auto" w:fill="CCFFC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Edo Segal (7)</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34,932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85,863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120,795</w:t>
            </w:r>
          </w:p>
        </w:tc>
        <w:tc>
          <w:tcPr>
            <w:tcW w:w="120" w:type="dxa"/>
            <w:vAlign w:val="bottom"/>
          </w:tcPr>
          <w:p>
            <w:pPr>
              <w:spacing w:after="0"/>
              <w:rPr>
                <w:sz w:val="18"/>
                <w:szCs w:val="18"/>
                <w:color w:val="auto"/>
              </w:rPr>
            </w:pPr>
          </w:p>
        </w:tc>
      </w:tr>
      <w:tr>
        <w:trPr>
          <w:trHeight w:val="216"/>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Geoffrey M. Skolnik (8)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61,037</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67,287</w:t>
            </w:r>
          </w:p>
        </w:tc>
        <w:tc>
          <w:tcPr>
            <w:tcW w:w="120" w:type="dxa"/>
            <w:vAlign w:val="bottom"/>
            <w:shd w:val="clear" w:color="auto" w:fill="CCFFCC"/>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Ashley C. Keller (9)</w:t>
            </w: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Notes 2(m) and 10 of the accompanying consolidated financial statements for the year ended December 31, 2012, for the assumptions made in the valuation of the equity awards.</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2012, 300,000 RSUs were outstanding and additionally 550,000 options were outstanding, of which 445,833 options were exercisable. All other compensation represents amounts reimbursed by us for taxes incurred in respect of options granted with below fair market value exercise prices not in compliance with Section 409A of the Internal Revenue Code.</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Fees earned by Mr. Engelman were for director services and committee membership for the period until Merger, after which time no cash fees were paid for director services. As of December 31, 2012, 225,000 RSUs were outstanding and additionally 352,500 options were outstanding, of which 248,333 options were exercisable. All other compensation represents amounts reimbursed by us for taxes incurred in respect of options granted with below fair market value exercise prices not in compliance with Section 409A of the Internal Revenue Code.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cash fees were paid for director services from the Merger to December 31, 2012. As of December 31, 2012, 225,000 RSUs were outstanding and</w:t>
      </w:r>
    </w:p>
    <w:p>
      <w:pPr>
        <w:sectPr>
          <w:pgSz w:w="11900" w:h="16864" w:orient="portrait"/>
          <w:cols w:equalWidth="0" w:num="1">
            <w:col w:w="11420"/>
          </w:cols>
          <w:pgMar w:left="240" w:top="908" w:right="239" w:bottom="0" w:gutter="0" w:footer="0" w:header="0"/>
        </w:sectPr>
      </w:pPr>
    </w:p>
    <w:bookmarkStart w:id="40" w:name="page41"/>
    <w:bookmarkEnd w:id="40"/>
    <w:p>
      <w:pPr>
        <w:ind w:left="332" w:right="20"/>
        <w:spacing w:after="0" w:line="277" w:lineRule="auto"/>
        <w:rPr>
          <w:sz w:val="20"/>
          <w:szCs w:val="20"/>
          <w:color w:val="auto"/>
        </w:rPr>
      </w:pPr>
      <w:r>
        <w:rPr>
          <w:rFonts w:ascii="Arial" w:cs="Arial" w:eastAsia="Arial" w:hAnsi="Arial"/>
          <w:sz w:val="18"/>
          <w:szCs w:val="18"/>
          <w:color w:val="auto"/>
        </w:rPr>
        <w:t>additionally 166,178 options were outstanding, of which 62,011 options were exercisable. Furthermore, we paid $42,563 to the law firm in which Mr. Stout is a partner.</w:t>
      </w:r>
    </w:p>
    <w:p>
      <w:pPr>
        <w:spacing w:after="0" w:line="170" w:lineRule="exact"/>
        <w:rPr>
          <w:sz w:val="20"/>
          <w:szCs w:val="20"/>
          <w:color w:val="auto"/>
        </w:rPr>
      </w:pPr>
    </w:p>
    <w:p>
      <w:pPr>
        <w:ind w:left="332" w:right="20" w:hanging="332"/>
        <w:spacing w:after="0" w:line="277"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cash fees were paid for director services from the Merger to December 31, 2012. As of December 31, 2012, 225,000 RSUs were outstanding and additionally 125,000 options were outstanding, of which 20,833 options were exercisable.</w:t>
      </w:r>
    </w:p>
    <w:p>
      <w:pPr>
        <w:spacing w:after="0" w:line="170"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were earned by Mr. Serlin for director services and for Audit Committee Chairmanship for the period until Merger, at which time his service as director ceased. As of December 31, 2012, 15,000 RSUs were outstanding and additionally 115,000 options were outstanding, of which 107,500 options were exercisable.</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41" w:name="page42"/>
    <w:bookmarkEnd w:id="41"/>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Segal did not receive cash fees for director services for the period until Merger, at which time his service as director ceased. As of December 31, 2012, 81,667 options were outstanding and exercisable. All other compensation includes $66,363 reimbursed by us for taxes incurred in respect of options granted with below fair market value exercise prices not in compliance with Section 409A of the Internal Revenue Code. Furthermore, we paid $19,500 to two corporations under Mr. Segal's control.</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were earned by Mr. Skolnik for director services and for the period until Merger, at which time his service as director ceased. As of December 31, 2012, 72,500 options were outstanding and exercisable.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Keller joined our board of directors on December 31, 2012. Mr. Keller did not earn nor receive any cash payment in 2012.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reimburse each member of our board of directors for reasonable travel and other expenses in connection with attending meetings of the board of directors.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Director Compensation Table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Seth M. Siegel </w:t>
      </w:r>
      <w:r>
        <w:rPr>
          <w:rFonts w:ascii="Arial" w:cs="Arial" w:eastAsia="Arial" w:hAnsi="Arial"/>
          <w:sz w:val="17"/>
          <w:szCs w:val="17"/>
          <w:color w:val="auto"/>
        </w:rPr>
        <w:t>has served as a director since May 2006 and as chairman of the board since March 2010. In 2012, Mr. Siegel did not receive any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for any of his duties on the board of directors. On January 9, 2012, we granted Mr. Siegel 50,000 options, at an exercise price of $0.96, vesting quarterly over four years, with a one year cliff. In addition, on March 13, 2012, we granted Mr. Siegel 225,000 options, at an exercise price of $1.65, vesting quarterly over three years. On July 26, 2012, we granted Mr. Siegel 125,000 options and 300,000 RSUs, vesting quarterly over three years. In addition, pursuant to the consummation of the Merger, the vesting of all pre-Merger granted options was accelerated. As a result, an additional 145,833 options have vested. See Note 10 to the accompanying consolidated financial statements.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served as a director and member of the Compensation Committee since December 2010. On January 9, 2012, we granted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Engelman 20,000 options, at an exercise price of $0.96, vesting quarterly over four years, with a one year cliff. In addition, on March 13, 2012, we granted Mr. Engelman 175,000 options, at an exercise price of $1.65, vesting quarterly over three years. On July 26, 2012, we granted Mr. Engelman 125,000 options and 225,000 RSUs, vesting quarterly over three years. In addition, pursuant to the consummation of the Merger, the vesting of all pre-Merger granted options was accelerated. As a result, an additional 73,958 options have vested. See Note 10 to the accompanying consolidated financial statements.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Donald E. Stout </w:t>
      </w:r>
      <w:r>
        <w:rPr>
          <w:rFonts w:ascii="Arial" w:cs="Arial" w:eastAsia="Arial" w:hAnsi="Arial"/>
          <w:sz w:val="18"/>
          <w:szCs w:val="18"/>
          <w:color w:val="auto"/>
        </w:rPr>
        <w:t>has been a director since July 19, 2012 and was a director of I/P prior to the Merger. In 2012, Mr. Stout did not receive any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for his duties as an independent director and member of the Audit Committee. On July 26, 2012, we granted Mr. Stout 125,000 options and 225,000 RSUs, vesting quarterly over three and four years, respectively.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H. Van Sinclair </w:t>
      </w:r>
      <w:r>
        <w:rPr>
          <w:rFonts w:ascii="Arial" w:cs="Arial" w:eastAsia="Arial" w:hAnsi="Arial"/>
          <w:sz w:val="17"/>
          <w:szCs w:val="17"/>
          <w:color w:val="auto"/>
        </w:rPr>
        <w:t>has been a director since July 19, 2012 and was a director of I/P prior to the Merger. In 2012, Mr. Sinclair did not receive any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for his duties as an independent director, member of Nominating, Corporate Governance Committee and Audit Committee. On July 26, 2012, we granted Mr. Sinclair 125,000 options and 225,000 RSUs, vesting quarterly over three and four years, respectively.</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Philip Serlin </w:t>
      </w:r>
      <w:r>
        <w:rPr>
          <w:rFonts w:ascii="Arial" w:cs="Arial" w:eastAsia="Arial" w:hAnsi="Arial"/>
          <w:sz w:val="17"/>
          <w:szCs w:val="17"/>
          <w:color w:val="auto"/>
        </w:rPr>
        <w:t>served as a director from May 2010 through July 19, 2012. On January 9, 2012, we granted Mr. Serlin 25,000 options, at an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of $0.96, vesting quarterly over four years, with a one year cliff. In addition, on March 13, 2012, we granted Mr. Serlin 115,000 options, at an exercise price of $1.65, vesting quarterly over three years. On July 26, 2012, we granted Mr. Serlin 15,000 options and 15,000 RSUs, vesting over a one year period, pursuant to a consulting arrangement. In addition, pursuant to the consummation of the Merger, the vesting of all pre-Merger granted options was accelerated. As a result, an additional 156,667 options have vested. See Note 10 to the accompanying consolidated financial statements.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Edo Segal </w:t>
      </w:r>
      <w:r>
        <w:rPr>
          <w:rFonts w:ascii="Arial" w:cs="Arial" w:eastAsia="Arial" w:hAnsi="Arial"/>
          <w:sz w:val="17"/>
          <w:szCs w:val="17"/>
          <w:color w:val="auto"/>
        </w:rPr>
        <w:t>has served as a director since July 2008 and through July 19, 2012. In 2012, Mr. Segal has not received any cash payment for his duties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independent director. On January 9, 2012, we granted Mr. Segal 20,000 options, at an exercise price of $0.96, vesting quarterly over four years, with a one year cliff. In addition, on March 13, 2012, we granted Mr. Segal 25,000 options, at an exercise price of $1.65, vesting quarterly over three years. In addition, pursuant to the consummation of the Merger, the vesting of all pre-Merger granted options was accelerated. As a result, an additional 69,702 options have vested. See Note 10 to the accompanying consolidated financial statements.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Geoffrey M. Skolnik </w:t>
      </w:r>
      <w:r>
        <w:rPr>
          <w:rFonts w:ascii="Arial" w:cs="Arial" w:eastAsia="Arial" w:hAnsi="Arial"/>
          <w:sz w:val="18"/>
          <w:szCs w:val="18"/>
          <w:color w:val="auto"/>
        </w:rPr>
        <w:t>has served as our director and member of the Audit Committee since June 2011 and through July 19, 2012. On January 9,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granted Mr. Skolnik 22,500 options, at an exercise price of $0.96, vesting quarterly over four years, with a one year cliff. In addition, on March 13, 2012, we granted Mr. Skolnik 50,000 options, at an exercise price of $1.65, vesting quarterly over three years. In addition, pursuant to the consummation of the Merger, the vesting of all pre-Merger granted options was accelerated. As a result, an additional 62,708 options have vested. See Note 10 to the accompanying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Ashley C. Keller </w:t>
      </w:r>
      <w:r>
        <w:rPr>
          <w:rFonts w:ascii="Arial" w:cs="Arial" w:eastAsia="Arial" w:hAnsi="Arial"/>
          <w:sz w:val="18"/>
          <w:szCs w:val="18"/>
          <w:color w:val="auto"/>
        </w:rPr>
        <w:t>has been a Director since December 31, 2012. In February 2013, the board of directors approved the grant of 20,000 RSUs,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quarterly vesting.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2013, the board of directors approved a $35,000 annual fee for all non-executive directors. In addition, 80,000 options, with a one year quarterly vesting were granted to all non-executive directors. According to the term of the agreements, in case of change of control, all the then unvested options shall immediately vest.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aggregate information, as of December 31, 2012, with respect to all of our equity compensation plans then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720"/>
              <w:spacing w:after="0"/>
              <w:rPr>
                <w:sz w:val="20"/>
                <w:szCs w:val="20"/>
                <w:color w:val="auto"/>
              </w:rPr>
            </w:pPr>
            <w:r>
              <w:rPr>
                <w:rFonts w:ascii="Arial" w:cs="Arial" w:eastAsia="Arial" w:hAnsi="Arial"/>
                <w:sz w:val="18"/>
                <w:szCs w:val="18"/>
                <w:b w:val="1"/>
                <w:bCs w:val="1"/>
                <w:color w:val="auto"/>
              </w:rPr>
              <w:t>(c)</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 of securities</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Weighted-average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issued upon exercise</w:t>
            </w:r>
          </w:p>
        </w:tc>
        <w:tc>
          <w:tcPr>
            <w:tcW w:w="1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outstanding</w:t>
            </w: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options, warrants and</w:t>
            </w: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warrants and rights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 column</w:t>
            </w:r>
          </w:p>
        </w:tc>
      </w:tr>
      <w:tr>
        <w:trPr>
          <w:trHeight w:val="234"/>
        </w:trPr>
        <w:tc>
          <w:tcPr>
            <w:tcW w:w="4920" w:type="dxa"/>
            <w:vAlign w:val="bottom"/>
          </w:tcPr>
          <w:p>
            <w:pPr>
              <w:ind w:left="1920"/>
              <w:spacing w:after="0"/>
              <w:rPr>
                <w:sz w:val="20"/>
                <w:szCs w:val="20"/>
                <w:color w:val="auto"/>
              </w:rPr>
            </w:pPr>
            <w:r>
              <w:rPr>
                <w:rFonts w:ascii="Arial" w:cs="Arial" w:eastAsia="Arial" w:hAnsi="Arial"/>
                <w:sz w:val="18"/>
                <w:szCs w:val="18"/>
                <w:b w:val="1"/>
                <w:bCs w:val="1"/>
                <w:color w:val="auto"/>
              </w:rPr>
              <w:t>Plan Category</w:t>
            </w:r>
          </w:p>
        </w:tc>
        <w:tc>
          <w:tcPr>
            <w:tcW w:w="86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rights</w:t>
            </w: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r>
      <w:tr>
        <w:trPr>
          <w:trHeight w:val="210"/>
        </w:trPr>
        <w:tc>
          <w:tcPr>
            <w:tcW w:w="4920" w:type="dxa"/>
            <w:vAlign w:val="bottom"/>
            <w:tcBorders>
              <w:top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Equity compensation plans approved by security holders</w:t>
            </w:r>
          </w:p>
        </w:tc>
        <w:tc>
          <w:tcPr>
            <w:tcW w:w="860" w:type="dxa"/>
            <w:vAlign w:val="bottom"/>
            <w:tcBorders>
              <w:top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(1), (2)</w:t>
            </w:r>
          </w:p>
        </w:tc>
        <w:tc>
          <w:tcPr>
            <w:tcW w:w="1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12,232,926</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top w:val="single" w:sz="8" w:color="CCFFCC"/>
            </w:tcBorders>
            <w:shd w:val="clear" w:color="auto" w:fill="CCFFCC"/>
          </w:tcPr>
          <w:p>
            <w:pPr>
              <w:spacing w:after="0"/>
              <w:rPr>
                <w:sz w:val="18"/>
                <w:szCs w:val="18"/>
                <w:color w:val="auto"/>
              </w:rPr>
            </w:pPr>
          </w:p>
        </w:tc>
        <w:tc>
          <w:tcPr>
            <w:tcW w:w="1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7,031,895</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860" w:type="dxa"/>
            <w:vAlign w:val="bottom"/>
          </w:tcPr>
          <w:p>
            <w:pPr>
              <w:ind w:left="220"/>
              <w:spacing w:after="0"/>
              <w:rPr>
                <w:sz w:val="20"/>
                <w:szCs w:val="20"/>
                <w:color w:val="auto"/>
              </w:rPr>
            </w:pPr>
            <w:r>
              <w:rPr>
                <w:rFonts w:ascii="Arial" w:cs="Arial" w:eastAsia="Arial" w:hAnsi="Arial"/>
                <w:sz w:val="18"/>
                <w:szCs w:val="18"/>
                <w:color w:val="auto"/>
              </w:rPr>
              <w:t>(3)</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41,178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340" w:hanging="332"/>
        <w:spacing w:after="0" w:line="270"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plans consist of the 2012 Employee, Director and Consultant Equity Incentive Plan “2012 Plan” and the 2006 Stock Option Plan. On July 19, 2012, following the Merger, the Company’s stockholders approved the 2012 Plan, replacing the existing 2006 Stock Option Plan, which was terminated with the remaining 9.1 million authorized shares thereunder cancelled and assumed by the 2012 Plan. The number of shares authorized under the 2012 Plan is the sum of: (i) 15.6 million shares of common stock, which constitutes 6.5 million new shares and 9.1 million previously authorized but unissued shares under the 2006 Stock Option Plan and (ii) any shares of common stock that are represented by awards granted under the 2006 Stock Option Plan that are forfeited, expire or are cancelled without delivery of shares of common stock or which result in the forfeiture of shares of common stock back to the Company after the date of adoption of the 2012 Plan,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181"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numbers of securities to be issued upon exercise of outstanding equities are 8,601,666 and 3,631,260 respectively for the 2012 Plan and the 2006 Stock Option Plan. The weighted-average exercise prices of outstanding options are $3.70 and $2.74, respectively for the 2012 Plan and the 2006 Stock Option Plan.</w:t>
      </w:r>
    </w:p>
    <w:p>
      <w:pPr>
        <w:spacing w:after="0" w:line="181"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plan consists of I/P's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I/P and its affiliates, as defined in the plan. As of the Merger, no further issuances may be made under this plan and any forfeitures may not be reused.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20, 2013 for (a) each stockholder known by us to own beneficially more than 5% of our common stock (b)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March 12, 2013 pursuant to the exercise of options or warrants or Restricted Stock Units that vest within 60 days of March 12, 2013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82,451,074 shares of common stock outstanding on March 20,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Shares of Common Stock</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0"/>
              </w:rPr>
              <w:t>Percentage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ind w:left="1160"/>
              <w:spacing w:after="0"/>
              <w:rPr>
                <w:sz w:val="20"/>
                <w:szCs w:val="20"/>
                <w:color w:val="auto"/>
              </w:rPr>
            </w:pPr>
            <w:r>
              <w:rPr>
                <w:rFonts w:ascii="Arial" w:cs="Arial" w:eastAsia="Arial" w:hAnsi="Arial"/>
                <w:sz w:val="18"/>
                <w:szCs w:val="18"/>
                <w:b w:val="1"/>
                <w:bCs w:val="1"/>
                <w:color w:val="auto"/>
              </w:rPr>
              <w:t>Name and Address of beneficial owner (1)</w:t>
            </w:r>
          </w:p>
        </w:tc>
        <w:tc>
          <w:tcPr>
            <w:tcW w:w="80" w:type="dxa"/>
            <w:vAlign w:val="bottom"/>
          </w:tcPr>
          <w:p>
            <w:pPr>
              <w:spacing w:after="0"/>
              <w:rPr>
                <w:sz w:val="20"/>
                <w:szCs w:val="20"/>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Beneficially Owned</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80" w:type="dxa"/>
            <w:vAlign w:val="bottom"/>
            <w:tcBorders>
              <w:top w:val="single" w:sz="8" w:color="CCFFCC"/>
            </w:tcBorders>
            <w:shd w:val="clear" w:color="auto" w:fill="CCFFCC"/>
          </w:tcPr>
          <w:p>
            <w:pPr>
              <w:spacing w:after="0"/>
              <w:rPr>
                <w:sz w:val="18"/>
                <w:szCs w:val="18"/>
                <w:color w:val="auto"/>
              </w:rPr>
            </w:pPr>
          </w:p>
        </w:tc>
        <w:tc>
          <w:tcPr>
            <w:tcW w:w="1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Hudson Bay Master Fund Ltd. (2)</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6,402,366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8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8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Andrew Kennedy Lang (3)</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7,730,473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Alexander R. Berger (4)</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2,939,278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Andrew D. Perlman (5)</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1,391,459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Donald E. Stout (6)</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1,166,363</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Seth M. Siegel (7)</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781,013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Ellen Cohl (8)</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485,674</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John Engelman (9)</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412,933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H. Van Sinclair (10)</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269,580</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Ashley C. Keller (11)</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Jonathan Medved (12)</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447,521</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 current directors and officers as a group (9 individuals):</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15,644,294</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Inc., 780 3rd Ave. 15th Floor, New York, NY 10017.</w:t>
      </w:r>
    </w:p>
    <w:p>
      <w:pPr>
        <w:spacing w:after="0" w:line="225"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Based on our records, consists of warrants to purchase up to 6,402,366 shares of our common stock that are exercisable within the next 60 days. In accordance with the terms of the warrants, Hudson Bay Master Fund Ltd. may not exercise its warrants to purchase our common stock to the extent that after giving effect to such conversion or exercise, as the case may be, Hudson Bay Master Fund Ltd. (together with its affiliates) would have acquired, through the exercise of Vringo warrants or otherwise, beneficial ownership of a number of shares of our common stock that exceeds 9.99% of the number of shares of our common stock outstanding immediately after giving effect to such exercise, excluding for purposes of such determination, shares of our common stock issuable upon exercise of the warrants that have not been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our common stock.</w:t>
      </w:r>
    </w:p>
    <w:p>
      <w:pPr>
        <w:spacing w:after="0" w:line="166"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90,278 shares of our common stock and warrants to purchase 2,052,419 shares of our common stock exercisable within the next 60 days. Also includes 7,812 restricted stock units. 2,931,752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3,896,791 shares held by Innovation Spring LLC.</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475,000 shares of our common stock and warrants to purchase 545,621 shares of our common stock exercisable within the next 60 days. Also includes 42,187 restricted stock units 1,834,282 shares and 545,621 shares issuable upon exercise of warrants are held by ARB-A Investment Trust, of which Mr. Berger is the trustee.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1,191,919 shares of our common stock and warrants to purchase 40,000 shares of our common stock exercisable within the next 60 days. Also includes 42,187 restricted stock units.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92,845 shares of our common stock exercisable within the next 60 days. Also includes 18,750 restricted stock units. 733,815 shares of common stock are held by the Donald E. and Mary Stout Trust.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486,667 shares of our common stock exercisable within the next 60 days. Also includes 25,000 restricted stock units. 19,165 shares of common stock are held by the Seth Mitchell Siegel Family Trust.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431,924 shares of our common stock exercisable within the next 60 days. Also includes 6,250 restricted stock units.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289,167 shares of our common stock exercisable within the next 60 days. Also includes 18,750 restricted stock units.</w:t>
      </w:r>
    </w:p>
    <w:p>
      <w:pPr>
        <w:sectPr>
          <w:pgSz w:w="11900" w:h="16838" w:orient="portrait"/>
          <w:cols w:equalWidth="0" w:num="1">
            <w:col w:w="11420"/>
          </w:cols>
          <w:pgMar w:left="240" w:top="905" w:right="239" w:bottom="0" w:gutter="0" w:footer="0" w:header="0"/>
        </w:sectPr>
      </w:pPr>
    </w:p>
    <w:bookmarkStart w:id="44" w:name="page45"/>
    <w:bookmarkEnd w:id="44"/>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options to purchase 61,667 shares of our common stock exercisable within the next 60 days. Also includes 18,750 restricted stock units.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20,000 shares of our common stock exercisable within the next 60 days.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440,855 shares of our common stock exercisable within the next 60 days. Mr. Medved ceased to serve as our Chief Executive Officer and as a director as of March 7, 2012. Address of Mr. Medved is Zrubabel 6, Jerusalem, Israel 93511.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Hudson Bay Master Fund Ltd., one of I/P’s principal stockholders prior to the Merger and currently a greater than 5% beneficial owner of Vringo, was issued a senior secured note payable (the “Note”), on June 22, 2011, in the total amount of $3,200,000.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I/P had granted Hudson Bay Master Fund Ltd. a security interest in all of its tangible and intangible assets, in order to secure I/P’s obligations under the senior secured note. After the consummation of the Merger, the Note became our obligation, as it is to guarantee I/P’s obligations. On August 15, 2012, the outstanding balance of the Note was repaid in full. </w:t>
      </w:r>
      <w:r>
        <w:rPr>
          <w:rFonts w:ascii="Arial" w:cs="Arial" w:eastAsia="Arial" w:hAnsi="Arial"/>
          <w:sz w:val="17"/>
          <w:szCs w:val="17"/>
          <w:color w:val="181818"/>
        </w:rPr>
        <w:t>See also Note 6 to the accompanying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00" w:firstLine="648"/>
        <w:spacing w:after="0" w:line="312" w:lineRule="auto"/>
        <w:rPr>
          <w:sz w:val="20"/>
          <w:szCs w:val="20"/>
          <w:color w:val="auto"/>
        </w:rPr>
      </w:pPr>
      <w:r>
        <w:rPr>
          <w:rFonts w:ascii="Arial" w:cs="Arial" w:eastAsia="Arial" w:hAnsi="Arial"/>
          <w:sz w:val="16"/>
          <w:szCs w:val="16"/>
          <w:color w:val="auto"/>
        </w:rPr>
        <w:t>Donald E. Stout, an independent director, is a partner at Antonelli, Terry, Stout and Kraus, LLP, which was engaged by I/P (and after the consummation of the Merger by Vringo) in connection with Lycos patent litigation. During the year ended December 31, 2012 and the period from Inception through December 31, 2011, both Vringo and I/P collectively paid Antonelli, Terry, Stout and Kraus, LLP total of $42,563 and $3,019, respectively.</w:t>
      </w:r>
    </w:p>
    <w:p>
      <w:pPr>
        <w:spacing w:after="0" w:line="14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Edo Segal, who served on the board of directors of Vringo through July 18, 2012, is the chief executive officer of two consulting firms which Vringo paid approximately $19,500 and $53,000 during the year ended December 31, 2012 and the period from Inception through December 31, 2011,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auditors from the inception of Vringo in 2006 and through the year ended December 31, 2012 were Somekh Chaikin, Certified Public Accountants (Israel), a member firm of KPMG International. All of the services described in the following fee table were pre-approved by our Audit Committee. The following table sets forth the aggregate fees billed to us for the fiscal years ended December 31, 2012 and 2011 by Somekh Chaikin, a member firm of KPMG International: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CCFFCC"/>
            </w:tcBorders>
          </w:tcPr>
          <w:p>
            <w:pPr>
              <w:spacing w:after="0"/>
              <w:rPr>
                <w:sz w:val="20"/>
                <w:szCs w:val="20"/>
                <w:color w:val="auto"/>
              </w:rPr>
            </w:pPr>
          </w:p>
        </w:tc>
        <w:tc>
          <w:tcPr>
            <w:tcW w:w="196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FFCC"/>
            </w:tcBorders>
          </w:tcPr>
          <w:p>
            <w:pPr>
              <w:spacing w:after="0"/>
              <w:rPr>
                <w:sz w:val="20"/>
                <w:szCs w:val="20"/>
                <w:color w:val="auto"/>
              </w:rPr>
            </w:pPr>
          </w:p>
        </w:tc>
      </w:tr>
      <w:tr>
        <w:trPr>
          <w:trHeight w:val="21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Audit Fees (1)</w:t>
            </w:r>
          </w:p>
        </w:tc>
        <w:tc>
          <w:tcPr>
            <w:tcW w:w="196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184,000</w:t>
            </w:r>
          </w:p>
        </w:tc>
        <w:tc>
          <w:tcPr>
            <w:tcW w:w="18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172,000</w:t>
            </w:r>
          </w:p>
        </w:tc>
        <w:tc>
          <w:tcPr>
            <w:tcW w:w="80" w:type="dxa"/>
            <w:vAlign w:val="bottom"/>
            <w:shd w:val="clear" w:color="auto" w:fill="CCFFC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Audit Related Fees (2)</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44,000</w:t>
            </w: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Tax Fees (3)</w:t>
            </w:r>
          </w:p>
        </w:tc>
        <w:tc>
          <w:tcPr>
            <w:tcW w:w="22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FFCC"/>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223,000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224,000</w:t>
            </w: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category includes audit related fees paid in connection with merger and acquisition activities in the respective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the above, Grant Thornton LLP were the auditors of I/P from Inception through December 31, 2011. Amounts paid to Grant Thornton during the year ended December 31, 2012 and for the period from Inception through December 31, 2011 were $208,645 and $121,625, respectively, and were in connection with the annual audit for 2011, filing of registration statements for I/P and review of comparative figures in 2012, as reflected in 2012 (post-Merger) financial statements.</w:t>
      </w:r>
    </w:p>
    <w:p>
      <w:pPr>
        <w:spacing w:after="0" w:line="187" w:lineRule="exact"/>
        <w:rPr>
          <w:sz w:val="20"/>
          <w:szCs w:val="20"/>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principal independent accountants on a case-by-case basis. Our Audit Committee has established a policy regarding approval of all audit and permissible non-audit services provided by our principal independent accountants. Our Audit Committee pre-approves these services by category and service. Our Audit Committee has pre-approved all of the services provided by our principal independent accountants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audit and non-audit services provided by KPMG International to us must be pre-approved in advance by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80" w:type="dxa"/>
            <w:vAlign w:val="bottom"/>
            <w:tcBorders>
              <w:bottom w:val="single" w:sz="8" w:color="CCFFCC"/>
            </w:tcBorders>
          </w:tcPr>
          <w:p>
            <w:pPr>
              <w:spacing w:after="0"/>
              <w:rPr>
                <w:sz w:val="20"/>
                <w:szCs w:val="20"/>
                <w:color w:val="auto"/>
              </w:rPr>
            </w:pPr>
          </w:p>
        </w:tc>
        <w:tc>
          <w:tcPr>
            <w:tcW w:w="538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F-2-F-3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F-4-F-5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Statements of Changes in Stockholders' Equity</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F-8-F-9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53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F-10-F-26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 of Vringo, Inc. and subsidiaries (a development stage company) as of December 31, 2012, and the related consolidated statements of operations, stockholders’ equity, and cash flows for the year ended December 31, 2012 and for the period from June 8, 2011 (inception) to December 31, 2012. These consolidated financial statements are the responsibility of the Company’s management. Our responsibility is to express an opinion on these consolidated financial statements based on our audits. The accompanying consolidated financial statements as of December 31, 2012 and the consolidated statements of operations, stockholders’ equity, and cash flows for the period June 8, 2011 (inception) to December 31, 2012 include amounts for the period from June 8, 2011 (inception) to December 31, 2011, which were audited by other auditors whose report thereon dated March 2, 2012 expressed an unqualified opinion on those statements, before the adjustments described in Note 2(a) and Note 2(t) to the consolidated financial statements. Such report has been furnished to us, and our opinion, insofar as it relates to the amounts included for the period June 8, 2011 (inception) through December 31, 2011 is based solely on the report of other auditors.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opinion, based on our audits and the report of the other auditors, the consolidated financial statements referred to above present fairly, in all material respects, the financial position of Vringo, Inc. and subsidiaries (a development stage company) as of December 31, 2012, and the results of their operations and their cash flows for the year ended December 31, 2012 and for the cumulative period from June 8, 2011 (date of inception) to December 31, 2012, in conformity with U.S. generally accepted accounting principles. As discussed in Note 1 to the consolidated financial statements, the consolidated financial statements reflect the effect of a merger transaction that took place on July 19, 2012 and was accounted for as a reverse acquisition. Consequently, the consolidated financial statements for periods prior to the merger reflect the historical results of the accounting acquirer, which is the legal acquiree, and the consolidated financial statements for the period from the merger date through December 31, 2012 reflect the results of the combined company.</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have audited the adjustments described in Note 2(a) and Note 2(t) that were applied to restate the 2011 consolidated financial statements to retrospectively reflect the effect of the merger transaction on equity and net loss per share, and to present certain items in accordance with current year presentation. In our opinion, such adjustments are appropriate and have been properly applied. We were not engaged to audit, review, or apply any procedures to the 2011 consolidated financial statements of the Company other than with respect to the adjustments and, accordingly, we do not express an opinion or any other form of assurance on the 2011 consolidated financial statements taken as a whole.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before the effects of the adjustments to retrospectively apply the accounting requirements applicable to reverse acquisitions described in Note 2(a), the consolidated balance sheet of Innovate/Protect, Inc. (a Delaware corporation) and subsidiaries (predecessor company to Vringo, Inc. and subsidiaries) as of December 31, 2011, and the related consolidated statements of operations, shareholders’ equity and cash flows for the period from June 8, 2011 (inception) to December 31, 2011 (the 2011 consolidated financial statements before the effects of the adjustments discussed in Note 2(a) are not presented herein). These 2011 consolidated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our opinion, the 2011 consolidated financial statements referred to above, which are before the effects of the adjustments to retrospectively apply the accounting requirements applicable to reverse acquisitions described in Note 2(a), present fairly, in all material respects, the financial position of Innovate/Protect, Inc. and subsidiaries as of December 31, 2011, and the results of their operations and their cash flows for the period from June 8, 2011 (inception) to December 31, 2011, in conformity with accounting principles generally accepted in the United States of America.</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not engaged to audit, review, or apply any procedures to the adjustments to retrospectively apply the accounting requirements applicable to reverse acquisitions described in Note 2(a), and accordingly, we do not express an opinion or any other form of assurance about whether such adjustments are appropriate and have been properly applied. Those adjustments were audited by other auditors.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56,960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57,429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Long-term deposit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34,044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65,965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157,786</w:t>
            </w: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20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F-4</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Accrued employee compensation</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398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Current portion, note payable—related party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9,10</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7,612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Note payable—related party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00" w:type="dxa"/>
            <w:vAlign w:val="bottom"/>
          </w:tcPr>
          <w:p>
            <w:pPr>
              <w:spacing w:after="0" w:line="201" w:lineRule="exact"/>
              <w:rPr>
                <w:sz w:val="20"/>
                <w:szCs w:val="20"/>
                <w:color w:val="auto"/>
              </w:rPr>
            </w:pPr>
            <w:r>
              <w:rPr>
                <w:rFonts w:ascii="Arial" w:cs="Arial" w:eastAsia="Arial" w:hAnsi="Arial"/>
                <w:sz w:val="18"/>
                <w:szCs w:val="18"/>
                <w:color w:val="auto"/>
                <w:w w:val="93"/>
              </w:rPr>
              <w:t>Series A Convertible Preferred stock, $0.0001 par value per share; 0 and 10,000,000 authorized;</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w w:val="97"/>
              </w:rPr>
              <w:t>0 and 6,968 issued; 0 and 6,968 outstanding, as of December 31, 2012 and December 31,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2011,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Series A Convertible Preferred stock, $0.01 par value per share; 5,000,000 and 0 authorized;</w:t>
            </w: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8"/>
              </w:rPr>
              <w:t>6,673 and 0 issued; none outstanding, as of December 31, 2012 and December 31, 2011,</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respectively</w:t>
            </w:r>
          </w:p>
        </w:tc>
        <w:tc>
          <w:tcPr>
            <w:tcW w:w="11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44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per share 150,000,000 and 100,000,000 authorized; 81,889,226</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w w:val="97"/>
              </w:rPr>
              <w:t>and 16,972,977 issued and outstanding as of December 31, 2012 and December 31, 2011,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819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171,108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(23,595)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148,332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157,786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20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June 8, 2011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June 8, 2011</w:t>
            </w:r>
          </w:p>
        </w:tc>
      </w:tr>
      <w:tr>
        <w:trPr>
          <w:trHeight w:val="216"/>
        </w:trPr>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(Inception)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through</w:t>
            </w:r>
          </w:p>
        </w:tc>
      </w:tr>
      <w:tr>
        <w:trPr>
          <w:trHeight w:val="230"/>
        </w:trPr>
        <w:tc>
          <w:tcPr>
            <w:tcW w:w="5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23"/>
        </w:trPr>
        <w:tc>
          <w:tcPr>
            <w:tcW w:w="57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top w:val="single" w:sz="8" w:color="auto"/>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tcBorders>
              <w:top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ind w:left="106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FFCC"/>
            </w:tcBorders>
            <w:shd w:val="clear" w:color="auto" w:fill="CCFFCC"/>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Marketing, 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Non-operating income</w:t>
            </w:r>
          </w:p>
        </w:tc>
        <w:tc>
          <w:tcPr>
            <w:tcW w:w="21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Non-operating expenses</w:t>
            </w:r>
          </w:p>
        </w:tc>
        <w:tc>
          <w:tcPr>
            <w:tcW w:w="21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Issuance of warrants</w:t>
            </w:r>
          </w:p>
        </w:tc>
        <w:tc>
          <w:tcPr>
            <w:tcW w:w="2140" w:type="dxa"/>
            <w:vAlign w:val="bottom"/>
          </w:tcPr>
          <w:p>
            <w:pPr>
              <w:jc w:val="center"/>
              <w:ind w:left="1870"/>
              <w:spacing w:after="0"/>
              <w:rPr>
                <w:sz w:val="20"/>
                <w:szCs w:val="20"/>
                <w:color w:val="auto"/>
              </w:rPr>
            </w:pPr>
            <w:r>
              <w:rPr>
                <w:rFonts w:ascii="Arial" w:cs="Arial" w:eastAsia="Arial" w:hAnsi="Arial"/>
                <w:sz w:val="18"/>
                <w:szCs w:val="18"/>
                <w:color w:val="auto"/>
                <w:w w:val="89"/>
              </w:rPr>
              <w:t>10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Gain on revaluation of warrants</w:t>
            </w:r>
          </w:p>
        </w:tc>
        <w:tc>
          <w:tcPr>
            <w:tcW w:w="2140" w:type="dxa"/>
            <w:vAlign w:val="bottom"/>
          </w:tcPr>
          <w:p>
            <w:pPr>
              <w:jc w:val="center"/>
              <w:ind w:left="1870"/>
              <w:spacing w:after="0"/>
              <w:rPr>
                <w:sz w:val="20"/>
                <w:szCs w:val="20"/>
                <w:color w:val="auto"/>
              </w:rPr>
            </w:pPr>
            <w:r>
              <w:rPr>
                <w:rFonts w:ascii="Arial" w:cs="Arial" w:eastAsia="Arial" w:hAnsi="Arial"/>
                <w:sz w:val="18"/>
                <w:szCs w:val="18"/>
                <w:color w:val="auto"/>
                <w:w w:val="99"/>
              </w:rPr>
              <w:t>9</w:t>
            </w:r>
          </w:p>
        </w:tc>
      </w:tr>
      <w:tr>
        <w:trPr>
          <w:trHeight w:val="458"/>
        </w:trPr>
        <w:tc>
          <w:tcPr>
            <w:tcW w:w="426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2140" w:type="dxa"/>
            <w:vAlign w:val="bottom"/>
          </w:tcPr>
          <w:p>
            <w:pPr>
              <w:spacing w:after="0"/>
              <w:rPr>
                <w:sz w:val="24"/>
                <w:szCs w:val="24"/>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tcPr>
          <w:p>
            <w:pPr>
              <w:jc w:val="center"/>
              <w:ind w:left="1870"/>
              <w:spacing w:after="0"/>
              <w:rPr>
                <w:sz w:val="20"/>
                <w:szCs w:val="20"/>
                <w:color w:val="auto"/>
              </w:rPr>
            </w:pPr>
            <w:r>
              <w:rPr>
                <w:rFonts w:ascii="Arial" w:cs="Arial" w:eastAsia="Arial" w:hAnsi="Arial"/>
                <w:sz w:val="18"/>
                <w:szCs w:val="18"/>
                <w:color w:val="auto"/>
                <w:w w:val="89"/>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per common share</w:t>
      </w:r>
    </w:p>
    <w:p>
      <w:pPr>
        <w:spacing w:after="0" w:line="50" w:lineRule="exact"/>
        <w:rPr>
          <w:sz w:val="20"/>
          <w:szCs w:val="20"/>
          <w:color w:val="auto"/>
        </w:rPr>
      </w:pPr>
    </w:p>
    <w:p>
      <w:pPr>
        <w:ind w:left="180" w:right="1600" w:hanging="161"/>
        <w:spacing w:after="0" w:line="258" w:lineRule="auto"/>
        <w:rPr>
          <w:sz w:val="20"/>
          <w:szCs w:val="20"/>
          <w:color w:val="auto"/>
        </w:rPr>
      </w:pPr>
      <w:r>
        <w:rPr>
          <w:rFonts w:ascii="Arial" w:cs="Arial" w:eastAsia="Arial" w:hAnsi="Arial"/>
          <w:sz w:val="18"/>
          <w:szCs w:val="18"/>
          <w:color w:val="auto"/>
        </w:rPr>
        <w:t>Weighted average number of shares used in computing 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12,512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1,561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10,885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25,137</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27,883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(24,768</w:t>
            </w:r>
          </w:p>
        </w:tc>
        <w:tc>
          <w:tcPr>
            <w:tcW w:w="22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00" w:type="dxa"/>
            <w:vAlign w:val="bottom"/>
            <w:vMerge w:val="continue"/>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(27,514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(2,883)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6,847</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(20,786)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(23,540)</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53"/>
        </w:trPr>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(20,841)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(0.53</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(0.83</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(0.61</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(0.93</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39,111,176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8,455,618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28,465,918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41,664,676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8,455,618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30,136,219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6,873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7,347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8,087</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5" w:lineRule="exact"/>
        <w:rPr>
          <w:sz w:val="20"/>
          <w:szCs w:val="20"/>
          <w:color w:val="auto"/>
        </w:rPr>
      </w:pPr>
    </w:p>
    <w:p>
      <w:pPr>
        <w:sectPr>
          <w:pgSz w:w="11900" w:h="16838" w:orient="portrait"/>
          <w:cols w:equalWidth="0" w:num="2">
            <w:col w:w="6420" w:space="700"/>
            <w:col w:w="4300"/>
          </w:cols>
          <w:pgMar w:left="240" w:top="877"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Series A</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convertible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preferred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Additional</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stock</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Common stock</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paid-in capital</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stage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170</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line="182"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8</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68</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Preferred stock, classified as mezzanine equity</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Stock-based compensation, including grant of shares to</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520" w:type="dxa"/>
            <w:vAlign w:val="bottom"/>
            <w:gridSpan w:val="2"/>
            <w:vMerge w:val="restart"/>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8,084</w:t>
            </w: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8,087</w:t>
            </w: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consultants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Recording of equity instruments upon Merger, net of</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w w:val="97"/>
              </w:rPr>
              <w:t>fair value of issued warrants $21,954 and issuance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152</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54,809</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54,961</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cost of $463 (see Notes 8 and 9)</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 (see Note 10)</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2,883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2,883</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201</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(201)</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Preferred stock, classified as equity</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22,856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22,932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509</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96</w:t>
            </w:r>
          </w:p>
        </w:tc>
        <w:tc>
          <w:tcPr>
            <w:tcW w:w="260" w:type="dxa"/>
            <w:vAlign w:val="bottom"/>
            <w:shd w:val="clear" w:color="auto" w:fill="CCFFCC"/>
          </w:tcPr>
          <w:p>
            <w:pPr>
              <w:spacing w:after="0"/>
              <w:rPr>
                <w:sz w:val="17"/>
                <w:szCs w:val="17"/>
                <w:color w:val="auto"/>
              </w:rPr>
            </w:pPr>
          </w:p>
        </w:tc>
        <w:tc>
          <w:tcPr>
            <w:tcW w:w="14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31,052</w:t>
            </w: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31,148</w:t>
            </w: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round, net of issuance cost of $52</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vMerge w:val="continue"/>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9"/>
              </w:rPr>
              <w:t>Shares issued for acquisition of patents, see Note 5</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750</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520" w:type="dxa"/>
            <w:vAlign w:val="bottom"/>
            <w:gridSpan w:val="2"/>
            <w:vMerge w:val="restart"/>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103</w:t>
            </w:r>
          </w:p>
        </w:tc>
        <w:tc>
          <w:tcPr>
            <w:tcW w:w="14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44,859</w:t>
            </w: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44,962</w:t>
            </w: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round, net of issuance cost of $39</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(20,841)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(20,841)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819</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171,108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(23,595</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148,332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period from June</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8, 2011</w:t>
            </w:r>
          </w:p>
        </w:tc>
        <w:tc>
          <w:tcPr>
            <w:tcW w:w="22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June 8, 2011</w:t>
            </w:r>
          </w:p>
        </w:tc>
      </w:tr>
      <w:tr>
        <w:trPr>
          <w:trHeight w:val="216"/>
        </w:trPr>
        <w:tc>
          <w:tcPr>
            <w:tcW w:w="700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 the year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(Inception)</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700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ended</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through</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7000" w:type="dxa"/>
            <w:vAlign w:val="bottom"/>
          </w:tcPr>
          <w:p>
            <w:pPr>
              <w:spacing w:after="0"/>
              <w:rPr>
                <w:sz w:val="20"/>
                <w:szCs w:val="20"/>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700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Borders>
              <w:bottom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Borders>
              <w:bottom w:val="single" w:sz="8" w:color="CCFFCC"/>
            </w:tcBorders>
          </w:tcPr>
          <w:p>
            <w:pPr>
              <w:spacing w:after="0"/>
              <w:rPr>
                <w:sz w:val="18"/>
                <w:szCs w:val="18"/>
                <w:color w:val="auto"/>
              </w:rPr>
            </w:pPr>
          </w:p>
        </w:tc>
      </w:tr>
      <w:tr>
        <w:trPr>
          <w:trHeight w:val="210"/>
        </w:trPr>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(20,841)</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(2,754)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(23,595)</w:t>
            </w: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2,501</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329</w:t>
            </w:r>
          </w:p>
        </w:tc>
        <w:tc>
          <w:tcPr>
            <w:tcW w:w="13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2,830</w:t>
            </w: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8,087</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474</w:t>
            </w:r>
          </w:p>
        </w:tc>
        <w:tc>
          <w:tcPr>
            <w:tcW w:w="13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8,561</w:t>
            </w: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Issuance of warrants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2,883</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Pr>
          <w:p>
            <w:pPr>
              <w:spacing w:after="0"/>
              <w:rPr>
                <w:sz w:val="18"/>
                <w:szCs w:val="18"/>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warrants</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(6,847)</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(6,847)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Exchange rate losses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Increase in receivables, prepaid expenses and other current assets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Increase in payables and accruals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449</w:t>
            </w:r>
          </w:p>
        </w:tc>
        <w:tc>
          <w:tcPr>
            <w:tcW w:w="13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FFCC"/>
          </w:tcPr>
          <w:p>
            <w:pPr>
              <w:spacing w:after="0"/>
              <w:rPr>
                <w:sz w:val="19"/>
                <w:szCs w:val="19"/>
                <w:color w:val="auto"/>
              </w:rPr>
            </w:pPr>
          </w:p>
        </w:tc>
      </w:tr>
      <w:tr>
        <w:trPr>
          <w:trHeight w:val="210"/>
        </w:trPr>
        <w:tc>
          <w:tcPr>
            <w:tcW w:w="70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(14,468</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w:t>
            </w:r>
          </w:p>
        </w:tc>
        <w:tc>
          <w:tcPr>
            <w:tcW w:w="80" w:type="dxa"/>
            <w:vAlign w:val="bottom"/>
            <w:tcBorders>
              <w:bottom w:val="single" w:sz="8" w:color="CCFFCC"/>
            </w:tcBorders>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patents</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(22,548)</w:t>
            </w:r>
          </w:p>
        </w:tc>
        <w:tc>
          <w:tcPr>
            <w:tcW w:w="1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(3,396)</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(25,944)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Increase in deposits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Cash acquired as part of acquisition of Vringo (1)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3,326</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80" w:type="dxa"/>
            <w:vAlign w:val="bottom"/>
            <w:shd w:val="clear" w:color="auto" w:fill="CCFFCC"/>
          </w:tcPr>
          <w:p>
            <w:pPr>
              <w:spacing w:after="0"/>
              <w:rPr>
                <w:sz w:val="19"/>
                <w:szCs w:val="19"/>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7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from June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8, 2011</w:t>
            </w:r>
          </w:p>
        </w:tc>
        <w:tc>
          <w:tcPr>
            <w:tcW w:w="2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June 8,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Borders>
              <w:bottom w:val="single" w:sz="8" w:color="CCFFCC"/>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FFCC"/>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 of $52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31,148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 net of issuance cost of $39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44,962</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(repayment) of note payable—related party</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(3,200)</w:t>
            </w:r>
          </w:p>
        </w:tc>
        <w:tc>
          <w:tcPr>
            <w:tcW w:w="134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5,145</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Exercise of options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509</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Exercise of warrants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12,275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85,694</w:t>
            </w:r>
          </w:p>
        </w:tc>
        <w:tc>
          <w:tcPr>
            <w:tcW w:w="2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10,145</w:t>
            </w:r>
          </w:p>
        </w:tc>
        <w:tc>
          <w:tcPr>
            <w:tcW w:w="220" w:type="dxa"/>
            <w:vAlign w:val="bottom"/>
            <w:tcBorders>
              <w:top w:val="single" w:sz="8" w:color="CCFFCC"/>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95,839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Increase in cash and cash equivalents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51,748</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5,212</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5,212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56,960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5,212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taxes paid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w w:val="93"/>
              </w:rPr>
              <w:t>Non cash acquisition of acquisition of patents through issuance of common stock shares (see</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750</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Note 5)</w:t>
            </w:r>
          </w:p>
        </w:tc>
        <w:tc>
          <w:tcPr>
            <w:tcW w:w="1440" w:type="dxa"/>
            <w:vAlign w:val="bottom"/>
            <w:gridSpan w:val="2"/>
            <w:vMerge w:val="continue"/>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Conversion of Series A Convertible Preferred stock, classified as mezzanine equity, into</w:t>
            </w: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76</w:t>
            </w:r>
          </w:p>
        </w:tc>
        <w:tc>
          <w:tcPr>
            <w:tcW w:w="1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prior to the Merger</w:t>
            </w:r>
          </w:p>
        </w:tc>
        <w:tc>
          <w:tcPr>
            <w:tcW w:w="1440" w:type="dxa"/>
            <w:vAlign w:val="bottom"/>
            <w:gridSpan w:val="2"/>
            <w:vMerge w:val="continue"/>
            <w:shd w:val="clear" w:color="auto" w:fill="CCFFCC"/>
          </w:tcPr>
          <w:p>
            <w:pPr>
              <w:spacing w:after="0"/>
              <w:rPr>
                <w:sz w:val="20"/>
                <w:szCs w:val="20"/>
                <w:color w:val="auto"/>
              </w:rPr>
            </w:pP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w w:val="99"/>
              </w:rPr>
              <w:t>Conversion of Series A Convertible Preferred stock, classified as mezzanine equity, into</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1,724</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common stock, upon Merger</w:t>
            </w:r>
          </w:p>
        </w:tc>
        <w:tc>
          <w:tcPr>
            <w:tcW w:w="1440" w:type="dxa"/>
            <w:vAlign w:val="bottom"/>
            <w:gridSpan w:val="2"/>
            <w:vMerge w:val="continue"/>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Conversion of Series A Convertible Preferred stock, classified as equity, into common stock,</w:t>
            </w: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201</w:t>
            </w:r>
          </w:p>
        </w:tc>
        <w:tc>
          <w:tcPr>
            <w:tcW w:w="1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post-Merger</w:t>
            </w:r>
          </w:p>
        </w:tc>
        <w:tc>
          <w:tcPr>
            <w:tcW w:w="1440" w:type="dxa"/>
            <w:vAlign w:val="bottom"/>
            <w:gridSpan w:val="2"/>
            <w:vMerge w:val="continue"/>
            <w:shd w:val="clear" w:color="auto" w:fill="CCFFCC"/>
          </w:tcPr>
          <w:p>
            <w:pPr>
              <w:spacing w:after="0"/>
              <w:rPr>
                <w:sz w:val="20"/>
                <w:szCs w:val="20"/>
                <w:color w:val="auto"/>
              </w:rPr>
            </w:pP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10,657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740</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Long term deposit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(124)</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(65,965)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Technology</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(10,133)</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Fair value of Legal Parent’s shares of common stock and vested $0.01 options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58,211</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Fair value of warrants and vested stock options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17,443</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Long-term liabilities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3,162</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3,326</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8"/>
              </w:rPr>
              <w:t>The accompanying notes form an integral part of these consolidated financial statements.</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98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F-9</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-2125980</wp:posOffset>
            </wp:positionV>
            <wp:extent cx="195516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-1851660</wp:posOffset>
            </wp:positionV>
            <wp:extent cx="195516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-1577340</wp:posOffset>
            </wp:positionV>
            <wp:extent cx="195516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-1303020</wp:posOffset>
            </wp:positionV>
            <wp:extent cx="195516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137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-1019810</wp:posOffset>
            </wp:positionV>
            <wp:extent cx="195516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14605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together with its consolidated subsidiaries (the “Company” or “Vringo”), is engaged in the innovation, licensing and protection of intellectual property worldwide. Vringo's intellectual property portfolio consists of over 500 patents and patent applications covering telecom infrastructure, internet search, and mobile technologies. The patents and patent applications have been developed internally and acquired from third parties. Vringo is operating a global platform for the distribution of mobile social applications and services it develops.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 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Because former I/P stockholders owned, immediately following the Merger, approximately 67.61% of the combined company on a fully diluted basis, and as a result of certain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not Vringo’s historical results prior to the Merger,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and Vringo refer to such entities’ standalone businesses prior to the Merger.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I/P (a Development Stage Company) was incorporated on June 8, 2011 (“Inception”) under the laws of Delaware as Labrador Search Corporation.</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current operating plans, the current resources of the Company are expected to be sufficient for at least the next twelve months. The Company may choose to raise additional funds in connection with any future acquisition of additional intellectual property assets, operating businesses or other assets that it may choose to pursue. There can be no assurance, however, that any such opportunities will materialize. Moreover, any potential financing would likely be dilutive to the Company’s stockholders.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2012, approximately $565 and $33 of the Company's net assets were located in Israel and Germany, respectively. In addition, the Company owns patents issued outside of the United States. As of December 31, 2011, all of the Company’s net assets were located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Legal Parent, I/P and their wholly-owned subsidiaries, and are presented in accordance with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December 31, 2012. Moreover, equity amounts, as well as net loss per common share, presented for comparative periods differ from those previously presented by I/P, due to application of accounting requirements applicable to a reverse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enforcement and development of its intellectual property, as well as on the research and development of its products. To date, the Company has not generated any significant revenues from its planned principal operations. Accordingly, the Company’s financial statements are presented as those of a development stage enterprise.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("U.S. $" or “$”). Therefore, the dollar has been determined to be the Company's functional currency. Post-Merger, the Company conducted significant transactions in foreign currencies (primarily the New Israeli Shekels "NIS" and Euro). These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NIS</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Euro</w:t>
            </w:r>
          </w:p>
        </w:tc>
      </w:tr>
      <w:tr>
        <w:trPr>
          <w:trHeight w:val="210"/>
        </w:trPr>
        <w:tc>
          <w:tcPr>
            <w:tcW w:w="6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At December 31, 2012</w:t>
            </w:r>
          </w:p>
        </w:tc>
        <w:tc>
          <w:tcPr>
            <w:tcW w:w="9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3.733</w:t>
            </w:r>
          </w:p>
        </w:tc>
        <w:tc>
          <w:tcPr>
            <w:tcW w:w="2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ind w:left="260"/>
              <w:spacing w:after="0"/>
              <w:rPr>
                <w:sz w:val="20"/>
                <w:szCs w:val="20"/>
                <w:color w:val="auto"/>
              </w:rPr>
            </w:pPr>
            <w:r>
              <w:rPr>
                <w:rFonts w:ascii="Arial" w:cs="Arial" w:eastAsia="Arial" w:hAnsi="Arial"/>
                <w:sz w:val="18"/>
                <w:szCs w:val="18"/>
                <w:color w:val="auto"/>
              </w:rPr>
              <w:t>0.759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At December 31, 2011</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3.821</w:t>
            </w:r>
          </w:p>
        </w:tc>
        <w:tc>
          <w:tcPr>
            <w:tcW w:w="26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0.774</w:t>
            </w:r>
          </w:p>
        </w:tc>
        <w:tc>
          <w:tcPr>
            <w:tcW w:w="10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Average exchange rate for the period from July 19, 2012 through December 31, 2012</w:t>
            </w:r>
          </w:p>
        </w:tc>
        <w:tc>
          <w:tcPr>
            <w:tcW w:w="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3.860</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0.778</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valuation of assets assumed and liabilities incurred as part of the Merger, useful lives of the Company’s tangible and intangible assets, valuation of its October 2012 (as defined in Note 10) and derivative warrants, valuation of its share-based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invests its surplus cash in money market deposits and money market funds with financial institutions. The Company has established guidelines relating to diversification and maturities of its investments, in order to minimize credit risk and maintain high liquidity of funds. For the purpose of these financial statements, all highly liquid investments with original maturities of three months or less are considered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Derivative instruments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all derivative instruments as either assets or liabilities in the balance sheet at their respective fair values. The Company's derivative instruments include Special Bridge Warrants, Conversion Warrants, Preferential Reload Warrants and Series 1 Warrants, all of which have been recorded as a liability, at fair value, and are revalued at each reporting date, with changes in the fair value of the instruments included in the statement of operations as non-operating income or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54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FFCC"/>
            </w:tcBorders>
          </w:tcPr>
          <w:p>
            <w:pPr>
              <w:spacing w:after="0"/>
              <w:rPr>
                <w:sz w:val="20"/>
                <w:szCs w:val="20"/>
                <w:color w:val="auto"/>
              </w:rPr>
            </w:pPr>
          </w:p>
        </w:tc>
      </w:tr>
      <w:tr>
        <w:trPr>
          <w:trHeight w:val="210"/>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7-33</w:t>
            </w:r>
          </w:p>
        </w:tc>
        <w:tc>
          <w:tcPr>
            <w:tcW w:w="60" w:type="dxa"/>
            <w:vAlign w:val="bottom"/>
            <w:shd w:val="clear" w:color="auto" w:fill="CCFFC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60" w:type="dxa"/>
            <w:vAlign w:val="bottom"/>
          </w:tcPr>
          <w:p>
            <w:pPr>
              <w:spacing w:after="0"/>
              <w:rPr>
                <w:sz w:val="18"/>
                <w:szCs w:val="18"/>
                <w:color w:val="auto"/>
              </w:rPr>
            </w:pPr>
          </w:p>
        </w:tc>
      </w:tr>
      <w:tr>
        <w:trPr>
          <w:trHeight w:val="216"/>
        </w:trPr>
        <w:tc>
          <w:tcPr>
            <w:tcW w:w="6540" w:type="dxa"/>
            <w:vAlign w:val="bottom"/>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Goodwill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w:t>
      </w:r>
      <w:r>
        <w:rPr>
          <w:rFonts w:ascii="Arial" w:cs="Arial" w:eastAsia="Arial" w:hAnsi="Arial"/>
          <w:sz w:val="17"/>
          <w:szCs w:val="17"/>
          <w:i w:val="1"/>
          <w:iCs w:val="1"/>
          <w:color w:val="auto"/>
        </w:rPr>
        <w:t>FASB ASC Topic 350, Intangibles - Goodwill and Other</w:t>
      </w:r>
      <w:r>
        <w:rPr>
          <w:rFonts w:ascii="Arial" w:cs="Arial" w:eastAsia="Arial" w:hAnsi="Arial"/>
          <w:sz w:val="17"/>
          <w:szCs w:val="17"/>
          <w:color w:val="auto"/>
        </w:rPr>
        <w:t>. The goodwill impairment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entity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Fair value of the reporting unit is determined using a discounted cash flow analysis. If the fair value of the reporting unit exceeds its carrying value, step two does not need to be performed. The Company performed its annual impairment review of goodwill as of December 31, 2012. As the fair value of reporting unit significantly exceeds carrying value, the Company did not recognize any impairment charges related to goodwill.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235"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Intangible assets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Intangible assets include acquired technology (see Note 5), recorded at fair value, and patents purchased, recorded based on the cost to acquire them. These assets are amortized over their remaining estimated useful lives. Useful lives of intangible assets are periodically evaluated for reasonableness and the assets are tested for impairment whenever events or changes in circumstances indicate that the carrying amount may no longer be recoverable.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Revenue from subscription services, software development and intellectual property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w:t>
      </w:r>
      <w:r>
        <w:rPr>
          <w:rFonts w:ascii="Arial" w:cs="Arial" w:eastAsia="Arial" w:hAnsi="Arial"/>
          <w:sz w:val="18"/>
          <w:szCs w:val="18"/>
          <w:i w:val="1"/>
          <w:iCs w:val="1"/>
          <w:color w:val="auto"/>
        </w:rPr>
        <w:t>SAB Topic 13.A.3.f.</w:t>
      </w:r>
      <w:r>
        <w:rPr>
          <w:rFonts w:ascii="Arial" w:cs="Arial" w:eastAsia="Arial" w:hAnsi="Arial"/>
          <w:sz w:val="18"/>
          <w:szCs w:val="18"/>
          <w:color w:val="auto"/>
        </w:rPr>
        <w:t xml:space="preserve"> As these up-front fees relate to the hosting of the service over a period of the contract, the Company recognizes these up-front fees over the life time of the contract. According to </w:t>
      </w:r>
      <w:r>
        <w:rPr>
          <w:rFonts w:ascii="Arial" w:cs="Arial" w:eastAsia="Arial" w:hAnsi="Arial"/>
          <w:sz w:val="18"/>
          <w:szCs w:val="18"/>
          <w:i w:val="1"/>
          <w:iCs w:val="1"/>
          <w:color w:val="auto"/>
        </w:rPr>
        <w:t>ASU 2009-13, Revenue Recognition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605), </w:t>
      </w:r>
      <w:r>
        <w:rPr>
          <w:rFonts w:ascii="Arial" w:cs="Arial" w:eastAsia="Arial" w:hAnsi="Arial"/>
          <w:sz w:val="18"/>
          <w:szCs w:val="18"/>
          <w:color w:val="auto"/>
        </w:rPr>
        <w:t>the Company uses management's best estimate of selling price for individual elements in multiple-element arrangements, where other sources of</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are unavailable.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Cost of revenue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Cost of revenues mainly includes expenses incurred in connection with the Company’s patent enforcement activities, such as legal fees, consulting costs, patent maintenance and other related expenses, as well as, the amortization of acquired patents and technology. Legal costs incurred in connection with ongoing litigation are expensed as occurred. Cost of revenue also includes expenses directly related to providing mobile services in launched markets. In addition, these costs include royalty fees for content sales and amortization of prepaid content licenses. Cost of revenue does not include expenses related to product development, integration or support, as these are included in research and development and marketing, general and administrative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Research 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payroll and facilities charges associated with the research, development and integration of our current and future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Accounting for stock-based compensation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Stock-based compensation is recognized as an expense in the financial statements and such cost is measured at the grant-date fair value of the equity-settled award. The fair value of stock options granted to consultants is estimated at the date of grant using the Black-Scholes-Merton option-pricing model. In cases where no measurement date has been reached as there is no counter-party performance nor performance commitment (sufficiently large disincentive for non-performance), the options are revalued at each reporting date. The expense is recognized using the straight-line method, over the requisite service period. The Company uses full contractual life to estimate the expected term of options granted to management and directors (and non-employees), as the Company expects such options to be exercised at the end of their life, and the simplified method to estimate the expected term of options granted to employees, due to insufficient history and high turnover in the past. The contractual life of options granted under the Legal Parent’s 2006 and 2012 option plans are 6 and 10 years,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they are identified. 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59"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 (cont'd)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Company accounts for its income tax uncertainties in accordance with </w:t>
      </w:r>
      <w:r>
        <w:rPr>
          <w:rFonts w:ascii="Arial" w:cs="Arial" w:eastAsia="Arial" w:hAnsi="Arial"/>
          <w:sz w:val="16"/>
          <w:szCs w:val="16"/>
          <w:i w:val="1"/>
          <w:iCs w:val="1"/>
          <w:color w:val="auto"/>
        </w:rPr>
        <w:t>ASC Subtopic 740-10</w:t>
      </w:r>
      <w:r>
        <w:rPr>
          <w:rFonts w:ascii="Arial" w:cs="Arial" w:eastAsia="Arial" w:hAnsi="Arial"/>
          <w:sz w:val="16"/>
          <w:szCs w:val="16"/>
          <w:color w:val="auto"/>
        </w:rPr>
        <w:t xml:space="preserve">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The Company recognizes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Net loss per share data</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Year ended</w:t>
            </w: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period from</w:t>
            </w:r>
          </w:p>
        </w:tc>
        <w:tc>
          <w:tcPr>
            <w:tcW w:w="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6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Inception through</w:t>
            </w:r>
          </w:p>
        </w:tc>
        <w:tc>
          <w:tcPr>
            <w:tcW w:w="8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Inception through</w:t>
            </w:r>
          </w:p>
        </w:tc>
      </w:tr>
      <w:tr>
        <w:trPr>
          <w:trHeight w:val="234"/>
        </w:trPr>
        <w:tc>
          <w:tcPr>
            <w:tcW w:w="66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 2011</w:t>
            </w: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 2012</w:t>
            </w: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Numerator:</w:t>
            </w:r>
          </w:p>
        </w:tc>
        <w:tc>
          <w:tcPr>
            <w:tcW w:w="12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right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(20,841)</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(2,754)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(23,595)</w:t>
            </w: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Denominator:</w:t>
            </w: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w w:val="99"/>
              </w:rPr>
              <w:t>Weighted average number of shares of common stock outstanding during the period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38,949,305</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8,455,618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28,360,035</w:t>
            </w:r>
          </w:p>
        </w:tc>
        <w:tc>
          <w:tcPr>
            <w:tcW w:w="80" w:type="dxa"/>
            <w:vAlign w:val="bottom"/>
          </w:tcPr>
          <w:p>
            <w:pPr>
              <w:spacing w:after="0"/>
              <w:rPr>
                <w:sz w:val="18"/>
                <w:szCs w:val="18"/>
                <w:color w:val="auto"/>
              </w:rPr>
            </w:pPr>
          </w:p>
        </w:tc>
      </w:tr>
      <w:tr>
        <w:trPr>
          <w:trHeight w:val="230"/>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penny stock options</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161,871</w:t>
            </w:r>
          </w:p>
        </w:tc>
        <w:tc>
          <w:tcPr>
            <w:tcW w:w="8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105,883</w:t>
            </w:r>
          </w:p>
        </w:tc>
        <w:tc>
          <w:tcPr>
            <w:tcW w:w="80" w:type="dxa"/>
            <w:vAlign w:val="bottom"/>
            <w:shd w:val="clear" w:color="auto" w:fill="CCFFCC"/>
          </w:tcPr>
          <w:p>
            <w:pPr>
              <w:spacing w:after="0"/>
              <w:rPr>
                <w:sz w:val="19"/>
                <w:szCs w:val="19"/>
                <w:color w:val="auto"/>
              </w:rPr>
            </w:pPr>
          </w:p>
        </w:tc>
      </w:tr>
      <w:tr>
        <w:trPr>
          <w:trHeight w:val="210"/>
        </w:trPr>
        <w:tc>
          <w:tcPr>
            <w:tcW w:w="6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Basic common stock share outstanding</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39,111,176</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8,455,618</w:t>
            </w: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28,465,918</w:t>
            </w:r>
          </w:p>
        </w:tc>
        <w:tc>
          <w:tcPr>
            <w:tcW w:w="80" w:type="dxa"/>
            <w:vAlign w:val="bottom"/>
            <w:tcBorders>
              <w:bottom w:val="single" w:sz="8" w:color="CCFFCC"/>
            </w:tcBorders>
          </w:tcPr>
          <w:p>
            <w:pPr>
              <w:spacing w:after="0"/>
              <w:rPr>
                <w:sz w:val="18"/>
                <w:szCs w:val="18"/>
                <w:color w:val="auto"/>
              </w:rPr>
            </w:pPr>
          </w:p>
        </w:tc>
      </w:tr>
      <w:tr>
        <w:trPr>
          <w:trHeight w:val="210"/>
        </w:trPr>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(0.53</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FFCC"/>
          </w:tcPr>
          <w:p>
            <w:pPr>
              <w:spacing w:after="0"/>
              <w:rPr>
                <w:sz w:val="18"/>
                <w:szCs w:val="18"/>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FFCC"/>
          </w:tcPr>
          <w:p>
            <w:pPr>
              <w:spacing w:after="0"/>
              <w:rPr>
                <w:sz w:val="18"/>
                <w:szCs w:val="18"/>
                <w:color w:val="auto"/>
              </w:rPr>
            </w:pPr>
          </w:p>
        </w:tc>
        <w:tc>
          <w:tcPr>
            <w:tcW w:w="14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FFCC"/>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shares of common stock</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(25,228)</w:t>
            </w:r>
          </w:p>
        </w:tc>
        <w:tc>
          <w:tcPr>
            <w:tcW w:w="17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16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(27,982)</w:t>
            </w: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w w:val="99"/>
              </w:rPr>
              <w:t>Weighted average number of shares of common stock outstanding during the period</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41,502,806</w:t>
            </w:r>
          </w:p>
        </w:tc>
        <w:tc>
          <w:tcPr>
            <w:tcW w:w="17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8,455,618</w:t>
            </w:r>
          </w:p>
        </w:tc>
        <w:tc>
          <w:tcPr>
            <w:tcW w:w="15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30,030,336</w:t>
            </w:r>
          </w:p>
        </w:tc>
        <w:tc>
          <w:tcPr>
            <w:tcW w:w="80" w:type="dxa"/>
            <w:vAlign w:val="bottom"/>
            <w:shd w:val="clear" w:color="auto" w:fill="CCFFCC"/>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Weighted average number of penny stock options</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161,870</w:t>
            </w:r>
          </w:p>
        </w:tc>
        <w:tc>
          <w:tcPr>
            <w:tcW w:w="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105,883</w:t>
            </w:r>
          </w:p>
        </w:tc>
        <w:tc>
          <w:tcPr>
            <w:tcW w:w="80" w:type="dxa"/>
            <w:vAlign w:val="bottom"/>
          </w:tcPr>
          <w:p>
            <w:pPr>
              <w:spacing w:after="0"/>
              <w:rPr>
                <w:sz w:val="19"/>
                <w:szCs w:val="19"/>
                <w:color w:val="auto"/>
              </w:rPr>
            </w:pP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Diluted common stock share outstanding</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41,664,676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8,455,618</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30,136,219</w:t>
            </w: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6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2012, the Company excluded from the calculation of its diluted net loss the following potentially dilutive securities, as they had an anti-dilutive impact: (i) 8,942,929 of both vested and unvested options at $0.96-$5.50 exercise price, to purchase 8,942,929 shares of common stock of the Company; (ii) 3,125,000 unvested Restricted Stock Units (“RSU”) to purchase 3,125,000 shares of common stock of the Company; (iii) 14,125 unvested $0.01 options to purchase 14,125 shares of common stock of the Company; (iv) 92,903 common stock shares granted, but not yet vested; (v) 3,060,907 Series 1 Warrants to purchase 3,060,907 shares of common stock of the Company; and (vi) 726,721 Preferential Reload Warrants to purchase 726,721 shares of common stock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Long lived assets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to be determined through various valuation techniques including discounted cash flow models, quoted market values and third-party independent appraisals, as considered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Commitments and Contingencies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Fair value measurements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Company measures fair value in accordance with </w:t>
      </w:r>
      <w:r>
        <w:rPr>
          <w:rFonts w:ascii="Arial" w:cs="Arial" w:eastAsia="Arial" w:hAnsi="Arial"/>
          <w:sz w:val="17"/>
          <w:szCs w:val="17"/>
          <w:i w:val="1"/>
          <w:iCs w:val="1"/>
          <w:color w:val="auto"/>
        </w:rPr>
        <w:t>ASC 820-10, "Fair Value Measurements and Disclosures"</w:t>
      </w:r>
      <w:r>
        <w:rPr>
          <w:rFonts w:ascii="Arial" w:cs="Arial" w:eastAsia="Arial" w:hAnsi="Arial"/>
          <w:sz w:val="17"/>
          <w:szCs w:val="17"/>
          <w:color w:val="auto"/>
        </w:rPr>
        <w:t xml:space="preserve">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Unadjusted quoted prices in active markets for identical assets or liabilities accessible to the reporting entity at the measurement date.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 not available,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for situations in which there is little, if any, market activity for the asset or liability at measurement date.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Impact of recently issued accounting standards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December 2011, the FASB issued </w:t>
      </w:r>
      <w:r>
        <w:rPr>
          <w:rFonts w:ascii="Arial" w:cs="Arial" w:eastAsia="Arial" w:hAnsi="Arial"/>
          <w:sz w:val="18"/>
          <w:szCs w:val="18"/>
          <w:i w:val="1"/>
          <w:iCs w:val="1"/>
          <w:color w:val="auto"/>
        </w:rPr>
        <w:t>ASU No. 2011-11, Balance Sheet (Topic 210) “Disclosures about Offsetting Assets and Liabilities”.</w:t>
      </w:r>
      <w:r>
        <w:rPr>
          <w:rFonts w:ascii="Arial" w:cs="Arial" w:eastAsia="Arial" w:hAnsi="Arial"/>
          <w:sz w:val="18"/>
          <w:szCs w:val="18"/>
          <w:color w:val="auto"/>
        </w:rPr>
        <w:t xml:space="preserve">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expect the adoption of ASU No. 2011-11 to have a material impact on its financial position, results of operations, or cash flows.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July 2012, the FASB issued </w:t>
      </w:r>
      <w:r>
        <w:rPr>
          <w:rFonts w:ascii="Arial" w:cs="Arial" w:eastAsia="Arial" w:hAnsi="Arial"/>
          <w:sz w:val="18"/>
          <w:szCs w:val="18"/>
          <w:i w:val="1"/>
          <w:iCs w:val="1"/>
          <w:color w:val="auto"/>
        </w:rPr>
        <w:t>ASU 2012-02, Balance Sheet (Topic 350) “Intangibles-Goodwill and Other”</w:t>
      </w:r>
      <w:r>
        <w:rPr>
          <w:rFonts w:ascii="Arial" w:cs="Arial" w:eastAsia="Arial" w:hAnsi="Arial"/>
          <w:sz w:val="18"/>
          <w:szCs w:val="18"/>
          <w:color w:val="auto"/>
        </w:rPr>
        <w:t>, which allows an organization to first assess qualitative factors to determine whether it is necessary to perform the quantitative impairment test for indefinite-lived intangible assets. An organization that elects to perform a qualitative assessment is required to perform the quantitative impairment test for an indefinite-lived intangible asset if it is more likely than not that the asset is impaired. This is effective for annual and interim impairment tests performed for fiscal years beginning after September 15, 2012. Early adoption is permitted. The Company does not expect the adoption of ASU 2012-02 to have a material impact on its financial position, results of operations nor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balances have been reclassified to conform to post-Merger year presentation.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Note 3 – Cash and Cash Equivalents</w:t>
            </w:r>
          </w:p>
        </w:tc>
        <w:tc>
          <w:tcPr>
            <w:tcW w:w="3160" w:type="dxa"/>
            <w:vAlign w:val="bottom"/>
          </w:tcPr>
          <w:p>
            <w:pPr>
              <w:spacing w:after="0"/>
              <w:rPr>
                <w:sz w:val="20"/>
                <w:szCs w:val="20"/>
                <w:color w:val="auto"/>
              </w:rPr>
            </w:pPr>
          </w:p>
        </w:tc>
        <w:tc>
          <w:tcPr>
            <w:tcW w:w="256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rPr>
              <w:t>As of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60" w:type="dxa"/>
            <w:vAlign w:val="bottom"/>
            <w:gridSpan w:val="4"/>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FFCC"/>
            </w:tcBorders>
          </w:tcPr>
          <w:p>
            <w:pPr>
              <w:spacing w:after="0"/>
              <w:rPr>
                <w:sz w:val="19"/>
                <w:szCs w:val="19"/>
                <w:color w:val="auto"/>
              </w:rPr>
            </w:pPr>
          </w:p>
        </w:tc>
        <w:tc>
          <w:tcPr>
            <w:tcW w:w="3160" w:type="dxa"/>
            <w:vAlign w:val="bottom"/>
            <w:tcBorders>
              <w:bottom w:val="single" w:sz="8" w:color="CCFFC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CCFFC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Cash denominated in U.S. dollars</w:t>
            </w:r>
          </w:p>
        </w:tc>
        <w:tc>
          <w:tcPr>
            <w:tcW w:w="3160" w:type="dxa"/>
            <w:vAlign w:val="bottom"/>
            <w:shd w:val="clear" w:color="auto" w:fill="CCFFCC"/>
          </w:tcPr>
          <w:p>
            <w:pPr>
              <w:spacing w:after="0"/>
              <w:rPr>
                <w:sz w:val="18"/>
                <w:szCs w:val="18"/>
                <w:color w:val="auto"/>
              </w:rPr>
            </w:pPr>
          </w:p>
        </w:tc>
        <w:tc>
          <w:tcPr>
            <w:tcW w:w="114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w w:val="83"/>
              </w:rPr>
              <w:t>34,386</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Money market funds denominated in U.S. dollars</w:t>
            </w:r>
          </w:p>
        </w:tc>
        <w:tc>
          <w:tcPr>
            <w:tcW w:w="4500" w:type="dxa"/>
            <w:vAlign w:val="bottom"/>
            <w:gridSpan w:val="3"/>
          </w:tcPr>
          <w:p>
            <w:pPr>
              <w:ind w:left="3820"/>
              <w:spacing w:after="0"/>
              <w:rPr>
                <w:sz w:val="20"/>
                <w:szCs w:val="20"/>
                <w:color w:val="auto"/>
              </w:rPr>
            </w:pPr>
            <w:r>
              <w:rPr>
                <w:rFonts w:ascii="Arial" w:cs="Arial" w:eastAsia="Arial" w:hAnsi="Arial"/>
                <w:sz w:val="18"/>
                <w:szCs w:val="18"/>
                <w:b w:val="1"/>
                <w:bCs w:val="1"/>
                <w:color w:val="auto"/>
              </w:rPr>
              <w:t>22,352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Cash in currency other than U.S. dollars</w:t>
            </w:r>
          </w:p>
        </w:tc>
        <w:tc>
          <w:tcPr>
            <w:tcW w:w="4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222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83"/>
              </w:rPr>
              <w:t>56,960</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3"/>
          </w:tcPr>
          <w:p>
            <w:pPr>
              <w:jc w:val="right"/>
              <w:ind w:right="3180"/>
              <w:spacing w:after="0"/>
              <w:rPr>
                <w:sz w:val="20"/>
                <w:szCs w:val="20"/>
                <w:color w:val="auto"/>
              </w:rPr>
            </w:pPr>
            <w:r>
              <w:rPr>
                <w:rFonts w:ascii="Arial" w:cs="Arial" w:eastAsia="Arial" w:hAnsi="Arial"/>
                <w:sz w:val="18"/>
                <w:szCs w:val="18"/>
                <w:color w:val="auto"/>
              </w:rPr>
              <w:t>F-14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and Equipment</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CCFFC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Computers, software and equipment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169</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10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(47)</w:t>
            </w:r>
          </w:p>
        </w:tc>
        <w:tc>
          <w:tcPr>
            <w:tcW w:w="1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2012 and for the period from Inception through December 31, 2011, the Company recorded $46 and $1 of depreciation and amortization expense, respectively, and $47 cumulatively from Inception.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5 – Intangible Assets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6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As of December 31,</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amortization 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Acquired technology (see a below)</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10,133</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ind w:left="1300"/>
              <w:spacing w:after="0"/>
              <w:rPr>
                <w:sz w:val="20"/>
                <w:szCs w:val="20"/>
                <w:color w:val="auto"/>
              </w:rPr>
            </w:pPr>
            <w:r>
              <w:rPr>
                <w:rFonts w:ascii="Arial" w:cs="Arial" w:eastAsia="Arial" w:hAnsi="Arial"/>
                <w:sz w:val="18"/>
                <w:szCs w:val="18"/>
                <w:color w:val="auto"/>
                <w:w w:val="79"/>
              </w:rPr>
              <w:t>6.0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Patents (see b below)</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26,694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3,396</w:t>
            </w: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36,827</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3,396</w:t>
            </w:r>
          </w:p>
        </w:tc>
        <w:tc>
          <w:tcPr>
            <w:tcW w:w="18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amortization</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(2,783)</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(328)</w:t>
            </w:r>
          </w:p>
        </w:tc>
        <w:tc>
          <w:tcPr>
            <w:tcW w:w="15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34,044</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-2540</wp:posOffset>
            </wp:positionV>
            <wp:extent cx="15436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960" w:hanging="317"/>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Acquired technology:</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also described in Note 8, the value allocated to technology, is being amortized over its estimated useful life. During the year ended December 31, 2012, total amortization expense of $763 was recorded.</w:t>
      </w:r>
    </w:p>
    <w:p>
      <w:pPr>
        <w:spacing w:after="0" w:line="166" w:lineRule="exact"/>
        <w:rPr>
          <w:rFonts w:ascii="Arial" w:cs="Arial" w:eastAsia="Arial" w:hAnsi="Arial"/>
          <w:sz w:val="18"/>
          <w:szCs w:val="18"/>
          <w:b w:val="1"/>
          <w:bCs w:val="1"/>
          <w:color w:val="auto"/>
        </w:rPr>
      </w:pPr>
    </w:p>
    <w:p>
      <w:pPr>
        <w:ind w:left="960" w:hanging="317"/>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Company’s subsidiary acquired patents from Lycos, Inc. The gross carrying amount of those patents is comprised of the original purchase price of $3,200 and $196 of associated patent acquisition costs.</w:t>
      </w:r>
    </w:p>
    <w:p>
      <w:pPr>
        <w:spacing w:after="0" w:line="170" w:lineRule="exact"/>
        <w:rPr>
          <w:rFonts w:ascii="Arial" w:cs="Arial" w:eastAsia="Arial" w:hAnsi="Arial"/>
          <w:sz w:val="18"/>
          <w:szCs w:val="18"/>
          <w:b w:val="1"/>
          <w:bCs w:val="1"/>
          <w:color w:val="auto"/>
        </w:rPr>
      </w:pPr>
    </w:p>
    <w:p>
      <w:pPr>
        <w:jc w:val="both"/>
        <w:ind w:left="9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August 2012, the Company purchased from Nokia Corporation a portfolio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reliably established.</w:t>
      </w:r>
    </w:p>
    <w:p>
      <w:pPr>
        <w:spacing w:after="0" w:line="177" w:lineRule="exact"/>
        <w:rPr>
          <w:rFonts w:ascii="Arial" w:cs="Arial" w:eastAsia="Arial" w:hAnsi="Arial"/>
          <w:sz w:val="18"/>
          <w:szCs w:val="18"/>
          <w:b w:val="1"/>
          <w:bCs w:val="1"/>
          <w:color w:val="auto"/>
        </w:rPr>
      </w:pPr>
    </w:p>
    <w:p>
      <w:pPr>
        <w:jc w:val="both"/>
        <w:ind w:left="9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2012, the Company’s subsidiary entered into a patent purchase agreement. As partial consideration, the Company issued 160,600 shares of common stock to the seller. The grant fair value of the shares issued was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reliably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-3056890</wp:posOffset>
            </wp:positionV>
            <wp:extent cx="15436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2012, and the period from Inception through December 31, 2011, total amortization expense of $2,455 and $328 was recorded. Estimated amortization expense for each of the five succeeding years, based upon intangible assets owned at December 31, 2012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ind w:left="980"/>
              <w:spacing w:after="0"/>
              <w:rPr>
                <w:sz w:val="20"/>
                <w:szCs w:val="20"/>
                <w:color w:val="auto"/>
              </w:rPr>
            </w:pPr>
            <w:r>
              <w:rPr>
                <w:rFonts w:ascii="Arial" w:cs="Arial" w:eastAsia="Arial" w:hAnsi="Arial"/>
                <w:sz w:val="18"/>
                <w:szCs w:val="18"/>
                <w:b w:val="1"/>
                <w:bCs w:val="1"/>
                <w:color w:val="auto"/>
              </w:rPr>
              <w:t>Year ending December 31,</w:t>
            </w:r>
          </w:p>
        </w:tc>
        <w:tc>
          <w:tcPr>
            <w:tcW w:w="2840" w:type="dxa"/>
            <w:vAlign w:val="bottom"/>
          </w:tcPr>
          <w:p>
            <w:pPr>
              <w:jc w:val="right"/>
              <w:ind w:right="1050"/>
              <w:spacing w:after="0"/>
              <w:rPr>
                <w:sz w:val="20"/>
                <w:szCs w:val="20"/>
                <w:color w:val="auto"/>
              </w:rPr>
            </w:pPr>
            <w:r>
              <w:rPr>
                <w:rFonts w:ascii="Arial" w:cs="Arial" w:eastAsia="Arial" w:hAnsi="Arial"/>
                <w:sz w:val="18"/>
                <w:szCs w:val="18"/>
                <w:b w:val="1"/>
                <w:bCs w:val="1"/>
                <w:color w:val="auto"/>
              </w:rPr>
              <w:t>Amount</w:t>
            </w:r>
          </w:p>
        </w:tc>
        <w:tc>
          <w:tcPr>
            <w:tcW w:w="474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28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60" w:type="dxa"/>
            <w:vAlign w:val="bottom"/>
            <w:tcBorders>
              <w:top w:val="single" w:sz="8" w:color="CCFFCC"/>
            </w:tcBorders>
            <w:shd w:val="clear" w:color="auto" w:fill="CCFFCC"/>
          </w:tcPr>
          <w:p>
            <w:pPr>
              <w:spacing w:after="0"/>
              <w:rPr>
                <w:sz w:val="18"/>
                <w:szCs w:val="18"/>
                <w:color w:val="auto"/>
              </w:rPr>
            </w:pPr>
          </w:p>
        </w:tc>
        <w:tc>
          <w:tcPr>
            <w:tcW w:w="284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5,002</w:t>
            </w:r>
          </w:p>
        </w:tc>
        <w:tc>
          <w:tcPr>
            <w:tcW w:w="4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5,002</w:t>
            </w:r>
          </w:p>
        </w:tc>
        <w:tc>
          <w:tcPr>
            <w:tcW w:w="4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FFCC"/>
          </w:tcPr>
          <w:p>
            <w:pPr>
              <w:spacing w:after="0"/>
              <w:rPr>
                <w:sz w:val="18"/>
                <w:szCs w:val="18"/>
                <w:color w:val="auto"/>
              </w:rPr>
            </w:pPr>
          </w:p>
        </w:tc>
        <w:tc>
          <w:tcPr>
            <w:tcW w:w="2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5,002</w:t>
            </w:r>
          </w:p>
        </w:tc>
        <w:tc>
          <w:tcPr>
            <w:tcW w:w="4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4,610</w:t>
            </w:r>
          </w:p>
        </w:tc>
        <w:tc>
          <w:tcPr>
            <w:tcW w:w="474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2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2017 and thereafter</w:t>
            </w:r>
          </w:p>
        </w:tc>
        <w:tc>
          <w:tcPr>
            <w:tcW w:w="2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14,428</w:t>
            </w:r>
          </w:p>
        </w:tc>
        <w:tc>
          <w:tcPr>
            <w:tcW w:w="474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34,044</w:t>
            </w:r>
          </w:p>
        </w:tc>
        <w:tc>
          <w:tcPr>
            <w:tcW w:w="474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F-15</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657"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 Payable – Related Party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22, 2011, I/P issued a senior secured note payable, in the total amount of $3,200, to one of its principal stockholders, Hudson Bay Master Fund Ltd. (“Hudson Bay”) (the “Note”). The Note accrued interest at 0.46% per annum.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I/P had granted Hudson Bay a security interest in all of its tangible and intangible assets, in order to secure I/P’s obligations under the senior secured note. After the consummation of the Merger, the Note became an obligation of the Company, as it is to guarantee I/P’s obligations. On August 15, 2012, the Company repaid in full the outstanding balance of the Note.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Series A Convertible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Merger, I/P was authorized to issue up to 10,000,000* shares of preferred stock, par value $0.0001, of which 6,968* shares of preferred stock were designated as Series A Convertible Preferred Stock with such rights and preferences designated in the relevant Certificate of Designations (the “Series A Preferred Stock”). In June 2011, I/P issued 6,968* shares of Series A Preferred Stock to Hudson Bay for $1,800. The Series A Preferred Stock had a liquidation preference of $1,250 per share and was otherwise convertible, at the option of the holder, into 6,968,000* shares of I/P’s common stock at a conversion price of $1 per common share received, subject to adjustment for anti-dilution and other corporate events. In 2012, prior to the Merger, 295 shares of Series A Convertible Preferred Stock were converted into 295,000* shares of common stock of I/P.</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Merger, the Series A Convertible Preferred Stock was classified as mezzanine equity, because of certain cash redemption triggering events which were outside the control of the Company. Upon the Merger, the remaining 6,673* Series A Preferred stock shares were exchanged for 6,673 shares of equity-classified new Series A Convertible Preferred Stock, $0.01 par value (“New Series A Convertible Preferred Stock”), issued by Legal Parent to former stockholders of I/P, as part of the Merger. The shares of New Series A Convertible Preferred Stock were convertible into 20,136,445 shares of the Legal Parent’s shares of common stock and were classified as equity, as a cash-based redemption event is only triggered by events which are fully in the control of the Company. In August 2012, following the consummation of the Merger, all outstanding shares of New Series A Convertible Preferred Stock were converted.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Share amounts were not retrospectively restated to reflect Vringo’s equity instruments after the Merger.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19, 2012, I/P consummated the Merger with the Legal Parent, as also described in Note 1. The consideration consisted of various equity instruments, including: shares of common stock, options, preferred stock and warrants. The purpose of the Merger was to increase the combined company's intellectual property portfolio and array of products, to gain access to capital markets, and for other reasons. Upon completion of the Merger, (i) all then outstanding 6,169,661 common stock shares of I/P, par value $0.0001 per share, were exchanged for 18,617,569, shares of the Company’s common stock, par value $0.01 per share, and (ii) all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(see also Note 10).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FASB Topic ASC 805. The total purchase price of $75,654 was allocated to the assets acquired and liabilities assumed of the Legal Parent. Registration and issuance cost, in the total amount of $463, was recorded against the additional paid-in capital.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Note 8 - Business Combination – (cont.)</w:t>
            </w:r>
          </w:p>
        </w:tc>
        <w:tc>
          <w:tcPr>
            <w:tcW w:w="216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w w:val="98"/>
              </w:rPr>
              <w:t>Provisional allocation of</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purchase price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20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Long-term deposit</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21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Technology</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1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4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 acquired, net</w:t>
            </w:r>
          </w:p>
        </w:tc>
        <w:tc>
          <w:tcPr>
            <w:tcW w:w="200" w:type="dxa"/>
            <w:vAlign w:val="bottom"/>
            <w:tcBorders>
              <w:bottom w:val="single" w:sz="8" w:color="CCFFCC"/>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2"/>
              </w:rPr>
              <w:t>Fair value of outstanding warrants granted by Legal Parent prior to the Merger, classified as a long-term derivative</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 net</w:t>
            </w:r>
          </w:p>
        </w:tc>
        <w:tc>
          <w:tcPr>
            <w:tcW w:w="20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640" w:type="dxa"/>
            <w:vAlign w:val="bottom"/>
            <w:shd w:val="clear" w:color="auto" w:fill="CCFFCC"/>
          </w:tcPr>
          <w:p>
            <w:pPr>
              <w:spacing w:after="0"/>
              <w:rPr>
                <w:sz w:val="19"/>
                <w:szCs w:val="19"/>
                <w:color w:val="auto"/>
              </w:rPr>
            </w:pPr>
          </w:p>
        </w:tc>
        <w:tc>
          <w:tcPr>
            <w:tcW w:w="1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75,654</w:t>
            </w:r>
          </w:p>
        </w:tc>
        <w:tc>
          <w:tcPr>
            <w:tcW w:w="80" w:type="dxa"/>
            <w:vAlign w:val="bottom"/>
            <w:shd w:val="clear" w:color="auto" w:fill="CCFFCC"/>
          </w:tcPr>
          <w:p>
            <w:pPr>
              <w:spacing w:after="0"/>
              <w:rPr>
                <w:sz w:val="19"/>
                <w:szCs w:val="19"/>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8"/>
                <w:szCs w:val="18"/>
                <w:b w:val="1"/>
                <w:bCs w:val="1"/>
                <w:color w:val="auto"/>
              </w:rPr>
              <w:t>Measurement of consideration:</w:t>
            </w:r>
          </w:p>
        </w:tc>
        <w:tc>
          <w:tcPr>
            <w:tcW w:w="1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1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7,364</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10,079</w:t>
            </w:r>
          </w:p>
        </w:tc>
        <w:tc>
          <w:tcPr>
            <w:tcW w:w="80" w:type="dxa"/>
            <w:vAlign w:val="bottom"/>
          </w:tcPr>
          <w:p>
            <w:pPr>
              <w:spacing w:after="0"/>
              <w:rPr>
                <w:sz w:val="18"/>
                <w:szCs w:val="18"/>
                <w:color w:val="auto"/>
              </w:rPr>
            </w:pPr>
          </w:p>
        </w:tc>
      </w:tr>
      <w:tr>
        <w:trPr>
          <w:trHeight w:val="202"/>
        </w:trPr>
        <w:tc>
          <w:tcPr>
            <w:tcW w:w="86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Fair value of Vringo shares of common stock and vested $0.01 options granted to employees, management and</w:t>
            </w:r>
          </w:p>
        </w:tc>
        <w:tc>
          <w:tcPr>
            <w:tcW w:w="18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44"/>
        </w:trPr>
        <w:tc>
          <w:tcPr>
            <w:tcW w:w="8640" w:type="dxa"/>
            <w:vAlign w:val="bottom"/>
            <w:shd w:val="clear" w:color="auto" w:fill="CCFFCC"/>
          </w:tcPr>
          <w:p>
            <w:pPr>
              <w:spacing w:after="0"/>
              <w:rPr>
                <w:sz w:val="20"/>
                <w:szCs w:val="20"/>
                <w:color w:val="auto"/>
              </w:rPr>
            </w:pPr>
            <w:r>
              <w:rPr>
                <w:rFonts w:ascii="Arial" w:cs="Arial" w:eastAsia="Arial" w:hAnsi="Arial"/>
                <w:sz w:val="18"/>
                <w:szCs w:val="18"/>
                <w:color w:val="auto"/>
              </w:rPr>
              <w:t>consultants</w:t>
            </w:r>
          </w:p>
        </w:tc>
        <w:tc>
          <w:tcPr>
            <w:tcW w:w="1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The fair values of the identified intangible assets were estimated using an income approach.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name,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As of December 31, 2012, according to ASC 805, this purchase price allocation is provisional, as existing estimations are subject to change, in certain future events. Goodwill recognized is not deductible for income tax purposes. For the year ended December 31, 2012, the Company’s consolidated statements of operations include revenues attributable to the Legal Parent in the total amount of $269 and a net loss of $8,768. Had the acquisition taken place on June 8, 2011, the revenue in the consolidated statement of operations and the consolidated net loss would have been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Unaudited</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Unaudited</w:t>
            </w:r>
          </w:p>
        </w:tc>
        <w:tc>
          <w:tcPr>
            <w:tcW w:w="100" w:type="dxa"/>
            <w:vAlign w:val="bottom"/>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w w:val="85"/>
              </w:rPr>
              <w:t>Revenue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86"/>
              </w:rPr>
              <w:t>Net Loss</w:t>
            </w:r>
          </w:p>
        </w:tc>
        <w:tc>
          <w:tcPr>
            <w:tcW w:w="220" w:type="dxa"/>
            <w:vAlign w:val="bottom"/>
          </w:tcPr>
          <w:p>
            <w:pPr>
              <w:spacing w:after="0"/>
              <w:rPr>
                <w:sz w:val="19"/>
                <w:szCs w:val="19"/>
                <w:color w:val="auto"/>
              </w:rPr>
            </w:pPr>
          </w:p>
        </w:tc>
        <w:tc>
          <w:tcPr>
            <w:tcW w:w="1620" w:type="dxa"/>
            <w:vAlign w:val="bottom"/>
            <w:gridSpan w:val="3"/>
          </w:tcPr>
          <w:p>
            <w:pPr>
              <w:ind w:left="280"/>
              <w:spacing w:after="0"/>
              <w:rPr>
                <w:sz w:val="20"/>
                <w:szCs w:val="20"/>
                <w:color w:val="auto"/>
              </w:rPr>
            </w:pPr>
            <w:r>
              <w:rPr>
                <w:rFonts w:ascii="Arial" w:cs="Arial" w:eastAsia="Arial" w:hAnsi="Arial"/>
                <w:sz w:val="18"/>
                <w:szCs w:val="18"/>
                <w:b w:val="1"/>
                <w:bCs w:val="1"/>
                <w:color w:val="auto"/>
              </w:rPr>
              <w:t>Revenue</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Loss</w:t>
            </w:r>
          </w:p>
        </w:tc>
        <w:tc>
          <w:tcPr>
            <w:tcW w:w="100" w:type="dxa"/>
            <w:vAlign w:val="bottom"/>
          </w:tcPr>
          <w:p>
            <w:pPr>
              <w:spacing w:after="0"/>
              <w:rPr>
                <w:sz w:val="19"/>
                <w:szCs w:val="19"/>
                <w:color w:val="auto"/>
              </w:rPr>
            </w:pP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6"/>
              </w:rPr>
              <w:t>Year ended (in 2011, period from Inception through December 31, 2011)</w:t>
            </w:r>
          </w:p>
        </w:tc>
        <w:tc>
          <w:tcPr>
            <w:tcW w:w="9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w w:val="79"/>
              </w:rPr>
              <w:t>593</w:t>
            </w:r>
          </w:p>
        </w:tc>
        <w:tc>
          <w:tcPr>
            <w:tcW w:w="2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(31,519)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 forma adjustment consists of amortization of acquired technology. The above pro forma disclosure excludes the possible impact of valuation of equity and derivative instruments valued in connection with the Merger. The amortization, net, for the year ended December 31, 2012 was $1,689. The amortization, net, for the period from Inception through December 31, 2011 was $952.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Series 1 Warrants (as they are defined in Note 10) are classified within Level 3 because they are valued using the Black-Scholes-Merton and the Monte-Carlo models (as all of these warrants include down-round protection clauses), which utilize significant inputs that are unobservable in the market.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 – (cont.)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placement in the fair value hierarchy of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7,612</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r>
      <w:tr>
        <w:trPr>
          <w:trHeight w:val="197"/>
        </w:trPr>
        <w:tc>
          <w:tcPr>
            <w:tcW w:w="5620" w:type="dxa"/>
            <w:vAlign w:val="bottom"/>
            <w:tcBorders>
              <w:top w:val="single" w:sz="8" w:color="CCFFCC"/>
              <w:bottom w:val="single" w:sz="8" w:color="CCFFCC"/>
            </w:tcBorders>
            <w:gridSpan w:val="2"/>
            <w:shd w:val="clear" w:color="auto" w:fill="CCFFCC"/>
          </w:tcPr>
          <w:p>
            <w:pPr>
              <w:spacing w:after="0" w:line="195" w:lineRule="exact"/>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7,612</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ind w:left="11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ind w:left="110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7,612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620" w:type="dxa"/>
            <w:vAlign w:val="bottom"/>
            <w:tcBorders>
              <w:top w:val="single" w:sz="8" w:color="CCFFCC"/>
              <w:bottom w:val="single" w:sz="8" w:color="CCFFCC"/>
            </w:tcBorders>
            <w:gridSpan w:val="2"/>
            <w:shd w:val="clear" w:color="auto" w:fill="CCFFCC"/>
          </w:tcPr>
          <w:p>
            <w:pPr>
              <w:spacing w:after="0" w:line="195" w:lineRule="exact"/>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ind w:left="11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ind w:left="110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to the above, the Company’s financial instruments at December 31, 2012 and December 31, 2011, consisted of cash, cash equivalents (at December 31, 2012 only) and accounts payable, as well as accounts receivable and long term deposits (at December 31, 2012 only). The carrying amounts of all the aforementioned financial instruments approximate fair value. The following table summarizes the changes in the Company’s liabilities measured at fair value using significant unobservable inputs (Level 3) during the year ended December 31, 2012 (as there was no such activity in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8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January 1, 2012</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8560" w:type="dxa"/>
            <w:vAlign w:val="bottom"/>
          </w:tcPr>
          <w:p>
            <w:pPr>
              <w:spacing w:after="0"/>
              <w:rPr>
                <w:sz w:val="20"/>
                <w:szCs w:val="20"/>
                <w:color w:val="auto"/>
              </w:rPr>
            </w:pPr>
            <w:r>
              <w:rPr>
                <w:rFonts w:ascii="Arial" w:cs="Arial" w:eastAsia="Arial" w:hAnsi="Arial"/>
                <w:sz w:val="18"/>
                <w:szCs w:val="18"/>
                <w:color w:val="auto"/>
              </w:rPr>
              <w:t>Derivative warrants issued to I/P’s shareholders in connection with the Merger, July 19, 2012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21,954</w:t>
            </w:r>
          </w:p>
        </w:tc>
        <w:tc>
          <w:tcPr>
            <w:tcW w:w="80" w:type="dxa"/>
            <w:vAlign w:val="bottom"/>
          </w:tcPr>
          <w:p>
            <w:pPr>
              <w:spacing w:after="0"/>
              <w:rPr>
                <w:sz w:val="18"/>
                <w:szCs w:val="18"/>
                <w:color w:val="auto"/>
              </w:rPr>
            </w:pPr>
          </w:p>
        </w:tc>
      </w:tr>
      <w:tr>
        <w:trPr>
          <w:trHeight w:val="216"/>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Fair value of derivative warrants issued by Legal Parent (see Note 8)</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3,162</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w:t>
            </w:r>
          </w:p>
        </w:tc>
      </w:tr>
      <w:tr>
        <w:trPr>
          <w:trHeight w:val="216"/>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(10,657)</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(7,003)</w:t>
            </w:r>
          </w:p>
        </w:tc>
      </w:tr>
      <w:tr>
        <w:trPr>
          <w:trHeight w:val="223"/>
        </w:trPr>
        <w:tc>
          <w:tcPr>
            <w:tcW w:w="8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December 31, 2012</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7,612</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Fair value measurement of the derivative liability on account of Special Bridge Warrants, Conversion Warrants, Preferential Reload Warrants and Series 1 Warrants (as defined in Note 10) fall within Level 3 of the fair value hierarchy. The fair value measurements are evaluated by management to ensure that changes are consistent with expectations of management based upon the sensitivity and nature of the inputs.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Valuation technique</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rPr>
              <w:t>Range</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Special Bridge Warrants, Conversion Warrants, Preferential</w:t>
            </w:r>
          </w:p>
        </w:tc>
        <w:tc>
          <w:tcPr>
            <w:tcW w:w="1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Black-Scholes-Merton and the</w:t>
            </w:r>
          </w:p>
        </w:tc>
        <w:tc>
          <w:tcPr>
            <w:tcW w:w="140" w:type="dxa"/>
            <w:vAlign w:val="bottom"/>
          </w:tcPr>
          <w:p>
            <w:pPr>
              <w:spacing w:after="0"/>
              <w:rPr>
                <w:sz w:val="16"/>
                <w:szCs w:val="16"/>
                <w:color w:val="auto"/>
              </w:rPr>
            </w:pPr>
          </w:p>
        </w:tc>
        <w:tc>
          <w:tcPr>
            <w:tcW w:w="2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65.96% – 68.01%</w:t>
            </w:r>
          </w:p>
        </w:tc>
        <w:tc>
          <w:tcPr>
            <w:tcW w:w="100" w:type="dxa"/>
            <w:vAlign w:val="bottom"/>
          </w:tcPr>
          <w:p>
            <w:pPr>
              <w:spacing w:after="0"/>
              <w:rPr>
                <w:sz w:val="16"/>
                <w:szCs w:val="16"/>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Reload Warrants and the Series 1 Warrants</w:t>
            </w:r>
          </w:p>
        </w:tc>
        <w:tc>
          <w:tcPr>
            <w:tcW w:w="2760" w:type="dxa"/>
            <w:vAlign w:val="bottom"/>
            <w:gridSpan w:val="2"/>
          </w:tcPr>
          <w:p>
            <w:pPr>
              <w:spacing w:after="0"/>
              <w:rPr>
                <w:sz w:val="20"/>
                <w:szCs w:val="20"/>
                <w:color w:val="auto"/>
              </w:rPr>
            </w:pPr>
            <w:r>
              <w:rPr>
                <w:rFonts w:ascii="Arial" w:cs="Arial" w:eastAsia="Arial" w:hAnsi="Arial"/>
                <w:sz w:val="18"/>
                <w:szCs w:val="18"/>
                <w:color w:val="auto"/>
              </w:rPr>
              <w:t>Monte-Carlo models</w:t>
            </w:r>
          </w:p>
        </w:tc>
        <w:tc>
          <w:tcPr>
            <w:tcW w:w="21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0.36% – 0.66%</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 – 4.55</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Probability and timing of</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 occurrence in</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5"/>
              </w:rPr>
              <w:t>down-round triggering event</w:t>
            </w: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2013</w:t>
            </w:r>
          </w:p>
        </w:tc>
      </w:tr>
      <w:tr>
        <w:trPr>
          <w:trHeight w:val="648"/>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F-18</w:t>
            </w: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 – (cont.)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isolation can result in a significant change in the fair value measurement. Generally, a positive change in the market price of the Company’s common stock, and an increase in the volatility of the Company’s shares of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common stock, and thus, there is no change in the estimated fair value of the warrants due to the dividend assumption.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Pre-Merger common stock share amounts and balance sheet disclosures were retrospectively restated to reflect Vringo’s equity instruments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grants of common stock and the sales of common stock at less than fair value made during the period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Inception through December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Compensation</w:t>
            </w:r>
          </w:p>
        </w:tc>
        <w:tc>
          <w:tcPr>
            <w:tcW w:w="10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Compensation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Total 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recognized from</w:t>
            </w:r>
          </w:p>
        </w:tc>
        <w:tc>
          <w:tcPr>
            <w:tcW w:w="10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recognized during</w:t>
            </w: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Compensation not</w:t>
            </w:r>
          </w:p>
        </w:tc>
      </w:tr>
      <w:tr>
        <w:trPr>
          <w:trHeight w:val="149"/>
        </w:trPr>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Grant, purchase or</w:t>
            </w:r>
          </w:p>
        </w:tc>
        <w:tc>
          <w:tcPr>
            <w:tcW w:w="11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No. of</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at grant,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paid</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Inception through</w:t>
            </w:r>
          </w:p>
        </w:tc>
        <w:tc>
          <w:tcPr>
            <w:tcW w:w="10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the year 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vested at</w:t>
            </w:r>
          </w:p>
        </w:tc>
      </w:tr>
      <w:tr>
        <w:trPr>
          <w:trHeight w:val="167"/>
        </w:trPr>
        <w:tc>
          <w:tcPr>
            <w:tcW w:w="1800" w:type="dxa"/>
            <w:vAlign w:val="bottom"/>
            <w:gridSpan w:val="2"/>
          </w:tcPr>
          <w:p>
            <w:pPr>
              <w:ind w:left="660"/>
              <w:spacing w:after="0"/>
              <w:rPr>
                <w:sz w:val="20"/>
                <w:szCs w:val="20"/>
                <w:color w:val="auto"/>
              </w:rPr>
            </w:pPr>
            <w:r>
              <w:rPr>
                <w:rFonts w:ascii="Arial" w:cs="Arial" w:eastAsia="Arial" w:hAnsi="Arial"/>
                <w:sz w:val="14"/>
                <w:szCs w:val="14"/>
                <w:color w:val="auto"/>
              </w:rPr>
              <w:t>Title</w:t>
            </w: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vest date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purchase 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for shares</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2011</w:t>
            </w:r>
          </w:p>
        </w:tc>
        <w:tc>
          <w:tcPr>
            <w:tcW w:w="10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December 31, 2012</w:t>
            </w: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December 31, 2012</w:t>
            </w:r>
          </w:p>
        </w:tc>
      </w:tr>
      <w:tr>
        <w:trPr>
          <w:trHeight w:val="142"/>
        </w:trPr>
        <w:tc>
          <w:tcPr>
            <w:tcW w:w="15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Consultant</w:t>
            </w:r>
          </w:p>
        </w:tc>
        <w:tc>
          <w:tcPr>
            <w:tcW w:w="220" w:type="dxa"/>
            <w:vAlign w:val="bottom"/>
            <w:tcBorders>
              <w:top w:val="single" w:sz="8" w:color="CCFFCC"/>
            </w:tcBorders>
            <w:shd w:val="clear" w:color="auto" w:fill="CCFFCC"/>
          </w:tcPr>
          <w:p>
            <w:pPr>
              <w:spacing w:after="0"/>
              <w:rPr>
                <w:sz w:val="12"/>
                <w:szCs w:val="12"/>
                <w:color w:val="auto"/>
              </w:rPr>
            </w:pPr>
          </w:p>
        </w:tc>
        <w:tc>
          <w:tcPr>
            <w:tcW w:w="17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June 22, 2011</w:t>
            </w: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377,200</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FFCC"/>
          </w:tcPr>
          <w:p>
            <w:pPr>
              <w:ind w:left="740"/>
              <w:spacing w:after="0" w:line="142"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FFCC"/>
          </w:tcPr>
          <w:p>
            <w:pPr>
              <w:ind w:left="400"/>
              <w:spacing w:after="0" w:line="142" w:lineRule="exact"/>
              <w:rPr>
                <w:sz w:val="20"/>
                <w:szCs w:val="20"/>
                <w:color w:val="auto"/>
              </w:rPr>
            </w:pPr>
            <w:r>
              <w:rPr>
                <w:rFonts w:ascii="Arial" w:cs="Arial" w:eastAsia="Arial" w:hAnsi="Arial"/>
                <w:sz w:val="14"/>
                <w:szCs w:val="14"/>
                <w:color w:val="auto"/>
                <w:w w:val="76"/>
              </w:rPr>
              <w:t>123</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268</w:t>
            </w:r>
          </w:p>
        </w:tc>
        <w:tc>
          <w:tcPr>
            <w:tcW w:w="100" w:type="dxa"/>
            <w:vAlign w:val="bottom"/>
            <w:tcBorders>
              <w:top w:val="single" w:sz="8" w:color="CCFFCC"/>
            </w:tcBorders>
            <w:shd w:val="clear" w:color="auto" w:fill="CCFFCC"/>
          </w:tcPr>
          <w:p>
            <w:pPr>
              <w:spacing w:after="0"/>
              <w:rPr>
                <w:sz w:val="12"/>
                <w:szCs w:val="12"/>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Director and Officers</w:t>
            </w:r>
          </w:p>
        </w:tc>
        <w:tc>
          <w:tcPr>
            <w:tcW w:w="1980" w:type="dxa"/>
            <w:vAlign w:val="bottom"/>
            <w:gridSpan w:val="2"/>
          </w:tcPr>
          <w:p>
            <w:pPr>
              <w:spacing w:after="0"/>
              <w:rPr>
                <w:sz w:val="20"/>
                <w:szCs w:val="20"/>
                <w:color w:val="auto"/>
              </w:rPr>
            </w:pPr>
            <w:r>
              <w:rPr>
                <w:rFonts w:ascii="Arial" w:cs="Arial" w:eastAsia="Arial" w:hAnsi="Arial"/>
                <w:sz w:val="14"/>
                <w:szCs w:val="14"/>
                <w:color w:val="auto"/>
              </w:rPr>
              <w:t>June – November 2011</w:t>
            </w:r>
          </w:p>
        </w:tc>
        <w:tc>
          <w:tcPr>
            <w:tcW w:w="960" w:type="dxa"/>
            <w:vAlign w:val="bottom"/>
          </w:tcPr>
          <w:p>
            <w:pPr>
              <w:jc w:val="right"/>
              <w:spacing w:after="0"/>
              <w:rPr>
                <w:sz w:val="20"/>
                <w:szCs w:val="20"/>
                <w:color w:val="auto"/>
              </w:rPr>
            </w:pPr>
            <w:r>
              <w:rPr>
                <w:rFonts w:ascii="Arial" w:cs="Arial" w:eastAsia="Arial" w:hAnsi="Arial"/>
                <w:sz w:val="14"/>
                <w:szCs w:val="14"/>
                <w:color w:val="auto"/>
              </w:rPr>
              <w:t>8,390,814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428</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158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76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8,768,014</w:t>
            </w:r>
          </w:p>
        </w:tc>
        <w:tc>
          <w:tcPr>
            <w:tcW w:w="2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828</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FFCC"/>
          </w:tcPr>
          <w:p>
            <w:pPr>
              <w:ind w:left="740"/>
              <w:spacing w:after="0" w:line="142"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449</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FFCC"/>
          </w:tcPr>
          <w:p>
            <w:pPr>
              <w:ind w:left="400"/>
              <w:spacing w:after="0" w:line="142" w:lineRule="exact"/>
              <w:rPr>
                <w:sz w:val="20"/>
                <w:szCs w:val="20"/>
                <w:color w:val="auto"/>
              </w:rPr>
            </w:pPr>
            <w:r>
              <w:rPr>
                <w:rFonts w:ascii="Arial" w:cs="Arial" w:eastAsia="Arial" w:hAnsi="Arial"/>
                <w:sz w:val="14"/>
                <w:szCs w:val="14"/>
                <w:color w:val="auto"/>
                <w:w w:val="76"/>
              </w:rPr>
              <w:t>551</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268</w:t>
            </w:r>
          </w:p>
        </w:tc>
        <w:tc>
          <w:tcPr>
            <w:tcW w:w="100" w:type="dxa"/>
            <w:vAlign w:val="bottom"/>
            <w:tcBorders>
              <w:top w:val="single" w:sz="8" w:color="CCFFCC"/>
            </w:tcBorders>
            <w:shd w:val="clear" w:color="auto" w:fill="CCFFCC"/>
          </w:tcPr>
          <w:p>
            <w:pPr>
              <w:spacing w:after="0"/>
              <w:rPr>
                <w:sz w:val="12"/>
                <w:szCs w:val="12"/>
                <w:color w:val="auto"/>
              </w:rPr>
            </w:pPr>
          </w:p>
        </w:tc>
      </w:tr>
    </w:tbl>
    <w:p>
      <w:pPr>
        <w:spacing w:after="0" w:line="202"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fair value of common stock of $2.87 at December 31, 2012. See also Note 2 (m).</w:t>
      </w:r>
    </w:p>
    <w:p>
      <w:pPr>
        <w:spacing w:after="0" w:line="23" w:lineRule="exact"/>
        <w:rPr>
          <w:sz w:val="20"/>
          <w:szCs w:val="20"/>
          <w:color w:val="auto"/>
        </w:rPr>
      </w:pPr>
    </w:p>
    <w:p>
      <w:pPr>
        <w:jc w:val="both"/>
        <w:ind w:left="380" w:hanging="372"/>
        <w:spacing w:after="0" w:line="255"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Following the Merger, the vesting of shares of common stock with repurchase rights, granted in 2011, to I/P’s management and directors was fully accelerated. As a result of the acceleration, 2,702,037 shares previously issued became vested and a compensation expense of $294 was recorded, in addition to $134 recorded due to normal course of vesting</w:t>
      </w:r>
      <w:r>
        <w:rPr>
          <w:rFonts w:ascii="Arial" w:cs="Arial" w:eastAsia="Arial" w:hAnsi="Arial"/>
          <w:sz w:val="18"/>
          <w:szCs w:val="18"/>
          <w:b w:val="1"/>
          <w:bCs w:val="1"/>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information about the Company's issued and outstanding common stock from Inception through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Shares of common stock</w:t>
            </w:r>
          </w:p>
        </w:tc>
        <w:tc>
          <w:tcPr>
            <w:tcW w:w="0" w:type="dxa"/>
            <w:vAlign w:val="bottom"/>
          </w:tcPr>
          <w:p>
            <w:pPr>
              <w:spacing w:after="0"/>
              <w:rPr>
                <w:sz w:val="1"/>
                <w:szCs w:val="1"/>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8,768,014</w:t>
            </w:r>
          </w:p>
        </w:tc>
        <w:tc>
          <w:tcPr>
            <w:tcW w:w="0" w:type="dxa"/>
            <w:vAlign w:val="bottom"/>
          </w:tcPr>
          <w:p>
            <w:pPr>
              <w:spacing w:after="0"/>
              <w:rPr>
                <w:sz w:val="1"/>
                <w:szCs w:val="1"/>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8,204,963</w:t>
            </w: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6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16,972,977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890,192</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15,206,118</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754,400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6,832,150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stock options and RSUs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726,346</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20,136,445</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w w:val="91"/>
              </w:rPr>
              <w:t>Issuance of shares of common stock in connection with $31,148 received in a private financing round, net of issuance cost of $52</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9,600,000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$44,962 received in a private financing round, net of issuance cost of $39</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10,344,998</w:t>
            </w:r>
          </w:p>
        </w:tc>
        <w:tc>
          <w:tcPr>
            <w:tcW w:w="0" w:type="dxa"/>
            <w:vAlign w:val="bottom"/>
          </w:tcPr>
          <w:p>
            <w:pPr>
              <w:spacing w:after="0"/>
              <w:rPr>
                <w:sz w:val="1"/>
                <w:szCs w:val="1"/>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Shares issued for acquisition of patents, see Note 5</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160,600</w:t>
            </w:r>
          </w:p>
        </w:tc>
        <w:tc>
          <w:tcPr>
            <w:tcW w:w="0" w:type="dxa"/>
            <w:vAlign w:val="bottom"/>
          </w:tcPr>
          <w:p>
            <w:pPr>
              <w:spacing w:after="0"/>
              <w:rPr>
                <w:sz w:val="1"/>
                <w:szCs w:val="1"/>
                <w:color w:val="auto"/>
              </w:rPr>
            </w:pPr>
          </w:p>
        </w:tc>
      </w:tr>
      <w:tr>
        <w:trPr>
          <w:trHeight w:val="223"/>
        </w:trPr>
        <w:tc>
          <w:tcPr>
            <w:tcW w:w="9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vMerge w:val="restart"/>
          </w:tcPr>
          <w:p>
            <w:pPr>
              <w:ind w:left="5540"/>
              <w:spacing w:after="0"/>
              <w:rPr>
                <w:sz w:val="20"/>
                <w:szCs w:val="20"/>
                <w:color w:val="auto"/>
              </w:rPr>
            </w:pPr>
            <w:r>
              <w:rPr>
                <w:rFonts w:ascii="Arial" w:cs="Arial" w:eastAsia="Arial" w:hAnsi="Arial"/>
                <w:sz w:val="18"/>
                <w:szCs w:val="18"/>
                <w:color w:val="auto"/>
              </w:rPr>
              <w:t>F-19</w:t>
            </w: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4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 (cont'd)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2011, I/P adopted its 2011 Equity and Performance Incentive Plan (the “I/P 2011 Plan”). The I/P 2011 Plan provided for the issuance of stock options and restricted stock to the Company’s directors, employees and consultants. Terminated, expired or forfeited grants may be reissued under the I/P 2011 Plan. The number of shares available under the I/P 2011 Plan was subject to adjustments for certain changes. As of December 31, 2011, 2,855,717 shares were available for future grant. Following the Merger with the Legal Parent the I/P 2011 Plan was assumed by the Company’s 2012 Employee, Director and Consultant Equity Incentive Plan (“2012 Plan”).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19, 2012, following the Merger with the Legal Parent, the Company’s stockholders approved the 2012 Plan, replacing the existing 2006 Stock Option Plan of the Legal Parent, and the remaining 9,100,000 authorized shares thereunder were cancelled. The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December 31, 2012, an additional 7,031,895 shares are available for future grants under the 2012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following the consummation of the Merger, the vesting of 908,854 options granted to certain officers and directors of the Legal Parent was accelerated. In addition, on November 6, 2012, the vesting of all of the Legal Parent’s pre-Merger granted options outstanding (except for separation grants) was accelerated by 50%, as certain market conditions were met. As a result, an additional 221,626 options vested. Due to these accelerations, the Company recorded an additional expense of $1,509.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common stock options granted during the period from Inception through December 31, 2011:</w:t>
      </w:r>
    </w:p>
    <w:p>
      <w:pPr>
        <w:sectPr>
          <w:pgSz w:w="11900" w:h="16838" w:orient="portrait"/>
          <w:cols w:equalWidth="0" w:num="1">
            <w:col w:w="11420"/>
          </w:cols>
          <w:pgMar w:left="240" w:top="877" w:right="2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No. of</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Exercise</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rPr>
              <w:t>FMV at</w:t>
            </w:r>
          </w:p>
        </w:tc>
        <w:tc>
          <w:tcPr>
            <w:tcW w:w="1020" w:type="dxa"/>
            <w:vAlign w:val="bottom"/>
          </w:tcPr>
          <w:p>
            <w:pPr>
              <w:spacing w:after="0"/>
              <w:rPr>
                <w:sz w:val="14"/>
                <w:szCs w:val="14"/>
                <w:color w:val="auto"/>
              </w:rPr>
            </w:pPr>
          </w:p>
        </w:tc>
      </w:tr>
      <w:tr>
        <w:trPr>
          <w:trHeight w:val="167"/>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Grant date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options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8"/>
              </w:rPr>
              <w:t>price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grant date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Vesting terms</w:t>
            </w:r>
          </w:p>
        </w:tc>
      </w:tr>
      <w:tr>
        <w:trPr>
          <w:trHeight w:val="373"/>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November 2011</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41,178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0.99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0.61</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Immediate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386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Assumptions used in Black-Scholes option</w:t>
      </w:r>
    </w:p>
    <w:p>
      <w:pPr>
        <w:jc w:val="center"/>
        <w:spacing w:after="0" w:line="231" w:lineRule="auto"/>
        <w:rPr>
          <w:sz w:val="20"/>
          <w:szCs w:val="20"/>
          <w:color w:val="auto"/>
        </w:rPr>
      </w:pPr>
      <w:r>
        <w:rPr>
          <w:rFonts w:ascii="Arial" w:cs="Arial" w:eastAsia="Arial" w:hAnsi="Arial"/>
          <w:sz w:val="14"/>
          <w:szCs w:val="14"/>
          <w:color w:val="auto"/>
        </w:rPr>
        <w:t>pricing model</w:t>
      </w:r>
    </w:p>
    <w:tbl>
      <w:tblPr>
        <w:tblLayout w:type="fixed"/>
        <w:tblInd w:w="0" w:type="dxa"/>
        <w:tblCellMar>
          <w:top w:w="0" w:type="dxa"/>
          <w:left w:w="0" w:type="dxa"/>
          <w:bottom w:w="0" w:type="dxa"/>
          <w:right w:w="0" w:type="dxa"/>
        </w:tblCellMar>
      </w:tblPr>
      <w:tr>
        <w:trPr>
          <w:trHeight w:val="123"/>
        </w:trPr>
        <w:tc>
          <w:tcPr>
            <w:tcW w:w="1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Volatility</w:t>
            </w:r>
          </w:p>
        </w:tc>
        <w:tc>
          <w:tcPr>
            <w:tcW w:w="1860" w:type="dxa"/>
            <w:vAlign w:val="bottom"/>
            <w:tcBorders>
              <w:top w:val="single" w:sz="8" w:color="auto"/>
            </w:tcBorders>
          </w:tcPr>
          <w:p>
            <w:pPr>
              <w:jc w:val="right"/>
              <w:ind w:right="1248"/>
              <w:spacing w:after="0" w:line="123" w:lineRule="exact"/>
              <w:rPr>
                <w:sz w:val="20"/>
                <w:szCs w:val="20"/>
                <w:color w:val="auto"/>
              </w:rPr>
            </w:pPr>
            <w:r>
              <w:rPr>
                <w:rFonts w:ascii="Arial" w:cs="Arial" w:eastAsia="Arial" w:hAnsi="Arial"/>
                <w:sz w:val="14"/>
                <w:szCs w:val="14"/>
                <w:color w:val="auto"/>
              </w:rPr>
              <w:t>75.00%</w:t>
            </w: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1860" w:type="dxa"/>
            <w:vAlign w:val="bottom"/>
          </w:tcPr>
          <w:p>
            <w:pPr>
              <w:jc w:val="right"/>
              <w:ind w:right="1268"/>
              <w:spacing w:after="0" w:line="149" w:lineRule="exact"/>
              <w:rPr>
                <w:sz w:val="20"/>
                <w:szCs w:val="20"/>
                <w:color w:val="auto"/>
              </w:rPr>
            </w:pPr>
            <w:r>
              <w:rPr>
                <w:rFonts w:ascii="Arial" w:cs="Arial" w:eastAsia="Arial" w:hAnsi="Arial"/>
                <w:sz w:val="14"/>
                <w:szCs w:val="14"/>
                <w:color w:val="auto"/>
              </w:rPr>
              <w:t>0.88%</w:t>
            </w: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color w:val="auto"/>
                <w:w w:val="96"/>
              </w:rPr>
              <w:t>Expected term, in years</w:t>
            </w:r>
          </w:p>
        </w:tc>
        <w:tc>
          <w:tcPr>
            <w:tcW w:w="1860" w:type="dxa"/>
            <w:vAlign w:val="bottom"/>
          </w:tcPr>
          <w:p>
            <w:pPr>
              <w:jc w:val="right"/>
              <w:ind w:right="1368"/>
              <w:spacing w:after="0" w:line="149" w:lineRule="exact"/>
              <w:rPr>
                <w:sz w:val="20"/>
                <w:szCs w:val="20"/>
                <w:color w:val="auto"/>
              </w:rPr>
            </w:pPr>
            <w:r>
              <w:rPr>
                <w:rFonts w:ascii="Arial" w:cs="Arial" w:eastAsia="Arial" w:hAnsi="Arial"/>
                <w:sz w:val="14"/>
                <w:szCs w:val="14"/>
                <w:color w:val="auto"/>
              </w:rPr>
              <w:t>5.00</w:t>
            </w:r>
          </w:p>
        </w:tc>
      </w:tr>
      <w:tr>
        <w:trPr>
          <w:trHeight w:val="182"/>
        </w:trPr>
        <w:tc>
          <w:tcPr>
            <w:tcW w:w="1440" w:type="dxa"/>
            <w:vAlign w:val="bottom"/>
          </w:tcPr>
          <w:p>
            <w:pPr>
              <w:spacing w:after="0"/>
              <w:rPr>
                <w:sz w:val="20"/>
                <w:szCs w:val="20"/>
                <w:color w:val="auto"/>
              </w:rPr>
            </w:pPr>
            <w:r>
              <w:rPr>
                <w:rFonts w:ascii="Arial" w:cs="Arial" w:eastAsia="Arial" w:hAnsi="Arial"/>
                <w:sz w:val="14"/>
                <w:szCs w:val="14"/>
                <w:color w:val="auto"/>
              </w:rPr>
              <w:t>Dividend yield</w:t>
            </w:r>
          </w:p>
        </w:tc>
        <w:tc>
          <w:tcPr>
            <w:tcW w:w="1860" w:type="dxa"/>
            <w:vAlign w:val="bottom"/>
          </w:tcPr>
          <w:p>
            <w:pPr>
              <w:jc w:val="right"/>
              <w:ind w:right="1248"/>
              <w:spacing w:after="0"/>
              <w:rPr>
                <w:sz w:val="20"/>
                <w:szCs w:val="20"/>
                <w:color w:val="auto"/>
              </w:rPr>
            </w:pPr>
            <w:r>
              <w:rPr>
                <w:rFonts w:ascii="Arial" w:cs="Arial" w:eastAsia="Arial" w:hAnsi="Arial"/>
                <w:sz w:val="14"/>
                <w:szCs w:val="14"/>
                <w:color w:val="auto"/>
              </w:rPr>
              <w:t>0.00%</w:t>
            </w:r>
          </w:p>
        </w:tc>
      </w:tr>
    </w:tbl>
    <w:p>
      <w:pPr>
        <w:spacing w:after="0" w:line="200" w:lineRule="exact"/>
        <w:rPr>
          <w:sz w:val="20"/>
          <w:szCs w:val="20"/>
          <w:color w:val="auto"/>
        </w:rPr>
      </w:pPr>
    </w:p>
    <w:p>
      <w:pPr>
        <w:sectPr>
          <w:pgSz w:w="11900" w:h="16838" w:orient="portrait"/>
          <w:cols w:equalWidth="0" w:num="2">
            <w:col w:w="8000" w:space="120"/>
            <w:col w:w="3300"/>
          </w:cols>
          <w:pgMar w:left="240" w:top="877" w:right="239" w:bottom="1440" w:gutter="0" w:footer="0" w:header="0"/>
          <w:type w:val="continuous"/>
        </w:sect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unvested common stock options assumed at the Merger (also see Note 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Merger</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 of options unvested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Share price at</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2"/>
          </w:tcPr>
          <w:p>
            <w:pPr>
              <w:jc w:val="center"/>
              <w:spacing w:after="0"/>
              <w:rPr>
                <w:sz w:val="20"/>
                <w:szCs w:val="20"/>
                <w:color w:val="auto"/>
              </w:rPr>
            </w:pPr>
            <w:r>
              <w:rPr>
                <w:rFonts w:ascii="Arial" w:cs="Arial" w:eastAsia="Arial" w:hAnsi="Arial"/>
                <w:sz w:val="14"/>
                <w:szCs w:val="14"/>
                <w:color w:val="auto"/>
                <w:w w:val="93"/>
              </w:rPr>
              <w:t>Assumptions used in Black-Scholes option</w:t>
            </w:r>
          </w:p>
        </w:tc>
        <w:tc>
          <w:tcPr>
            <w:tcW w:w="0" w:type="dxa"/>
            <w:vAlign w:val="bottom"/>
          </w:tcPr>
          <w:p>
            <w:pPr>
              <w:spacing w:after="0"/>
              <w:rPr>
                <w:sz w:val="1"/>
                <w:szCs w:val="1"/>
                <w:color w:val="auto"/>
              </w:rPr>
            </w:pPr>
          </w:p>
        </w:tc>
      </w:tr>
      <w:tr>
        <w:trPr>
          <w:trHeight w:val="167"/>
        </w:trPr>
        <w:tc>
          <w:tcPr>
            <w:tcW w:w="19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Title</w:t>
            </w:r>
          </w:p>
        </w:tc>
        <w:tc>
          <w:tcPr>
            <w:tcW w:w="10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00" w:type="dxa"/>
            <w:vAlign w:val="bottom"/>
            <w:tcBorders>
              <w:bottom w:val="single" w:sz="8" w:color="CCFFC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as of the Merger date</w:t>
            </w:r>
          </w:p>
        </w:tc>
        <w:tc>
          <w:tcPr>
            <w:tcW w:w="100" w:type="dxa"/>
            <w:vAlign w:val="bottom"/>
            <w:tcBorders>
              <w:bottom w:val="single" w:sz="8" w:color="CCFFCC"/>
            </w:tcBorders>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Exercise price</w:t>
            </w: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Merger date</w:t>
            </w:r>
          </w:p>
        </w:tc>
        <w:tc>
          <w:tcPr>
            <w:tcW w:w="220" w:type="dxa"/>
            <w:vAlign w:val="bottom"/>
            <w:tcBorders>
              <w:bottom w:val="single" w:sz="8" w:color="CCFFC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Original vesting terms</w:t>
            </w:r>
          </w:p>
        </w:tc>
        <w:tc>
          <w:tcPr>
            <w:tcW w:w="100" w:type="dxa"/>
            <w:vAlign w:val="bottom"/>
            <w:tcBorders>
              <w:bottom w:val="single" w:sz="8" w:color="CCFFCC"/>
            </w:tcBorders>
          </w:tcPr>
          <w:p>
            <w:pPr>
              <w:spacing w:after="0"/>
              <w:rPr>
                <w:sz w:val="14"/>
                <w:szCs w:val="14"/>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pricing model</w:t>
            </w:r>
          </w:p>
        </w:tc>
        <w:tc>
          <w:tcPr>
            <w:tcW w:w="0" w:type="dxa"/>
            <w:vAlign w:val="bottom"/>
          </w:tcPr>
          <w:p>
            <w:pPr>
              <w:spacing w:after="0"/>
              <w:rPr>
                <w:sz w:val="1"/>
                <w:szCs w:val="1"/>
                <w:color w:val="auto"/>
              </w:rPr>
            </w:pPr>
          </w:p>
        </w:tc>
      </w:tr>
      <w:tr>
        <w:trPr>
          <w:trHeight w:val="123"/>
        </w:trPr>
        <w:tc>
          <w:tcPr>
            <w:tcW w:w="20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Management, Directors,</w:t>
            </w: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3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3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6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Volatility</w:t>
            </w:r>
          </w:p>
        </w:tc>
        <w:tc>
          <w:tcPr>
            <w:tcW w:w="1720" w:type="dxa"/>
            <w:vAlign w:val="bottom"/>
            <w:shd w:val="clear" w:color="auto" w:fill="CCFFCC"/>
          </w:tcPr>
          <w:p>
            <w:pPr>
              <w:jc w:val="right"/>
              <w:ind w:right="628"/>
              <w:spacing w:after="0" w:line="123" w:lineRule="exact"/>
              <w:rPr>
                <w:sz w:val="20"/>
                <w:szCs w:val="20"/>
                <w:color w:val="auto"/>
              </w:rPr>
            </w:pPr>
            <w:r>
              <w:rPr>
                <w:rFonts w:ascii="Arial" w:cs="Arial" w:eastAsia="Arial" w:hAnsi="Arial"/>
                <w:sz w:val="14"/>
                <w:szCs w:val="14"/>
                <w:color w:val="auto"/>
                <w:w w:val="93"/>
              </w:rPr>
              <w:t>75.71%-104.02%</w:t>
            </w:r>
          </w:p>
        </w:tc>
        <w:tc>
          <w:tcPr>
            <w:tcW w:w="0" w:type="dxa"/>
            <w:vAlign w:val="bottom"/>
          </w:tcPr>
          <w:p>
            <w:pPr>
              <w:spacing w:after="0"/>
              <w:rPr>
                <w:sz w:val="1"/>
                <w:szCs w:val="1"/>
                <w:color w:val="auto"/>
              </w:rPr>
            </w:pPr>
          </w:p>
        </w:tc>
      </w:tr>
      <w:tr>
        <w:trPr>
          <w:trHeight w:val="68"/>
        </w:trPr>
        <w:tc>
          <w:tcPr>
            <w:tcW w:w="2080" w:type="dxa"/>
            <w:vAlign w:val="bottom"/>
            <w:gridSpan w:val="2"/>
            <w:vMerge w:val="continue"/>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36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80" w:type="dxa"/>
            <w:vAlign w:val="bottom"/>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20" w:type="dxa"/>
            <w:vAlign w:val="bottom"/>
            <w:shd w:val="clear" w:color="auto" w:fill="CCFFCC"/>
          </w:tcPr>
          <w:p>
            <w:pPr>
              <w:spacing w:after="0"/>
              <w:rPr>
                <w:sz w:val="5"/>
                <w:szCs w:val="5"/>
                <w:color w:val="auto"/>
              </w:rPr>
            </w:pPr>
          </w:p>
        </w:tc>
        <w:tc>
          <w:tcPr>
            <w:tcW w:w="8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1300" w:type="dxa"/>
            <w:vAlign w:val="bottom"/>
            <w:vMerge w:val="restart"/>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Quarterly</w:t>
            </w:r>
          </w:p>
        </w:tc>
        <w:tc>
          <w:tcPr>
            <w:tcW w:w="1560" w:type="dxa"/>
            <w:vAlign w:val="bottom"/>
            <w:gridSpan w:val="2"/>
            <w:vMerge w:val="restart"/>
            <w:shd w:val="clear" w:color="auto" w:fill="CCFFCC"/>
          </w:tcPr>
          <w:p>
            <w:pPr>
              <w:ind w:left="100"/>
              <w:spacing w:after="0" w:line="149" w:lineRule="exact"/>
              <w:rPr>
                <w:sz w:val="20"/>
                <w:szCs w:val="20"/>
                <w:color w:val="auto"/>
              </w:rPr>
            </w:pPr>
            <w:r>
              <w:rPr>
                <w:rFonts w:ascii="Arial" w:cs="Arial" w:eastAsia="Arial" w:hAnsi="Arial"/>
                <w:sz w:val="14"/>
                <w:szCs w:val="14"/>
                <w:color w:val="auto"/>
              </w:rPr>
              <w:t>Risk free interest rate</w:t>
            </w:r>
          </w:p>
        </w:tc>
        <w:tc>
          <w:tcPr>
            <w:tcW w:w="1720" w:type="dxa"/>
            <w:vAlign w:val="bottom"/>
            <w:vMerge w:val="restart"/>
            <w:shd w:val="clear" w:color="auto" w:fill="CCFFCC"/>
          </w:tcPr>
          <w:p>
            <w:pPr>
              <w:jc w:val="right"/>
              <w:ind w:right="788"/>
              <w:spacing w:after="0" w:line="149" w:lineRule="exact"/>
              <w:rPr>
                <w:sz w:val="20"/>
                <w:szCs w:val="20"/>
                <w:color w:val="auto"/>
              </w:rPr>
            </w:pPr>
            <w:r>
              <w:rPr>
                <w:rFonts w:ascii="Arial" w:cs="Arial" w:eastAsia="Arial" w:hAnsi="Arial"/>
                <w:sz w:val="14"/>
                <w:szCs w:val="14"/>
                <w:color w:val="auto"/>
                <w:w w:val="99"/>
              </w:rPr>
              <w:t>0.22%-0.83%</w:t>
            </w:r>
          </w:p>
        </w:tc>
        <w:tc>
          <w:tcPr>
            <w:tcW w:w="0" w:type="dxa"/>
            <w:vAlign w:val="bottom"/>
          </w:tcPr>
          <w:p>
            <w:pPr>
              <w:spacing w:after="0"/>
              <w:rPr>
                <w:sz w:val="1"/>
                <w:szCs w:val="1"/>
                <w:color w:val="auto"/>
              </w:rPr>
            </w:pPr>
          </w:p>
        </w:tc>
      </w:tr>
      <w:tr>
        <w:trPr>
          <w:trHeight w:val="81"/>
        </w:trPr>
        <w:tc>
          <w:tcPr>
            <w:tcW w:w="2080" w:type="dxa"/>
            <w:vAlign w:val="bottom"/>
            <w:gridSpan w:val="2"/>
            <w:vMerge w:val="restart"/>
            <w:shd w:val="clear" w:color="auto" w:fill="CCFFCC"/>
          </w:tcPr>
          <w:p>
            <w:pPr>
              <w:spacing w:after="0" w:line="149" w:lineRule="exact"/>
              <w:rPr>
                <w:sz w:val="20"/>
                <w:szCs w:val="20"/>
                <w:color w:val="auto"/>
              </w:rPr>
            </w:pPr>
            <w:r>
              <w:rPr>
                <w:rFonts w:ascii="Arial" w:cs="Arial" w:eastAsia="Arial" w:hAnsi="Arial"/>
                <w:sz w:val="14"/>
                <w:szCs w:val="14"/>
                <w:color w:val="auto"/>
              </w:rPr>
              <w:t>Employees and</w:t>
            </w:r>
          </w:p>
        </w:tc>
        <w:tc>
          <w:tcPr>
            <w:tcW w:w="1000" w:type="dxa"/>
            <w:vAlign w:val="bottom"/>
            <w:gridSpan w:val="2"/>
            <w:vMerge w:val="restart"/>
            <w:shd w:val="clear" w:color="auto" w:fill="CCFFCC"/>
          </w:tcPr>
          <w:p>
            <w:pPr>
              <w:jc w:val="center"/>
              <w:ind w:right="120"/>
              <w:spacing w:after="0" w:line="149" w:lineRule="exact"/>
              <w:rPr>
                <w:sz w:val="20"/>
                <w:szCs w:val="20"/>
                <w:color w:val="auto"/>
              </w:rPr>
            </w:pPr>
            <w:r>
              <w:rPr>
                <w:rFonts w:ascii="Arial" w:cs="Arial" w:eastAsia="Arial" w:hAnsi="Arial"/>
                <w:sz w:val="14"/>
                <w:szCs w:val="14"/>
                <w:color w:val="auto"/>
                <w:w w:val="93"/>
              </w:rPr>
              <w:t>July 2012</w:t>
            </w:r>
          </w:p>
        </w:tc>
        <w:tc>
          <w:tcPr>
            <w:tcW w:w="1460" w:type="dxa"/>
            <w:vAlign w:val="bottom"/>
            <w:gridSpan w:val="2"/>
            <w:vMerge w:val="restart"/>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1,667,775</w:t>
            </w:r>
          </w:p>
        </w:tc>
        <w:tc>
          <w:tcPr>
            <w:tcW w:w="1080" w:type="dxa"/>
            <w:vAlign w:val="bottom"/>
            <w:gridSpan w:val="3"/>
            <w:vMerge w:val="restart"/>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   0.01-$5.50</w:t>
            </w:r>
          </w:p>
        </w:tc>
        <w:tc>
          <w:tcPr>
            <w:tcW w:w="200" w:type="dxa"/>
            <w:vAlign w:val="bottom"/>
            <w:gridSpan w:val="2"/>
            <w:vMerge w:val="restart"/>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3.70</w:t>
            </w:r>
          </w:p>
        </w:tc>
        <w:tc>
          <w:tcPr>
            <w:tcW w:w="1300" w:type="dxa"/>
            <w:vAlign w:val="bottom"/>
            <w:vMerge w:val="continue"/>
            <w:shd w:val="clear" w:color="auto" w:fill="CCFFCC"/>
          </w:tcPr>
          <w:p>
            <w:pPr>
              <w:spacing w:after="0"/>
              <w:rPr>
                <w:sz w:val="7"/>
                <w:szCs w:val="7"/>
                <w:color w:val="auto"/>
              </w:rPr>
            </w:pPr>
          </w:p>
        </w:tc>
        <w:tc>
          <w:tcPr>
            <w:tcW w:w="1560" w:type="dxa"/>
            <w:vAlign w:val="bottom"/>
            <w:gridSpan w:val="2"/>
            <w:vMerge w:val="continue"/>
            <w:shd w:val="clear" w:color="auto" w:fill="CCFFCC"/>
          </w:tcPr>
          <w:p>
            <w:pPr>
              <w:spacing w:after="0"/>
              <w:rPr>
                <w:sz w:val="7"/>
                <w:szCs w:val="7"/>
                <w:color w:val="auto"/>
              </w:rPr>
            </w:pPr>
          </w:p>
        </w:tc>
        <w:tc>
          <w:tcPr>
            <w:tcW w:w="1720" w:type="dxa"/>
            <w:vAlign w:val="bottom"/>
            <w:vMerge w:val="continue"/>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80" w:type="dxa"/>
            <w:vAlign w:val="bottom"/>
            <w:gridSpan w:val="2"/>
            <w:vMerge w:val="continue"/>
            <w:shd w:val="clear" w:color="auto" w:fill="CCFFCC"/>
          </w:tcPr>
          <w:p>
            <w:pPr>
              <w:spacing w:after="0"/>
              <w:rPr>
                <w:sz w:val="5"/>
                <w:szCs w:val="5"/>
                <w:color w:val="auto"/>
              </w:rPr>
            </w:pPr>
          </w:p>
        </w:tc>
        <w:tc>
          <w:tcPr>
            <w:tcW w:w="1000" w:type="dxa"/>
            <w:vAlign w:val="bottom"/>
            <w:gridSpan w:val="2"/>
            <w:vMerge w:val="continue"/>
            <w:shd w:val="clear" w:color="auto" w:fill="CCFFCC"/>
          </w:tcPr>
          <w:p>
            <w:pPr>
              <w:spacing w:after="0"/>
              <w:rPr>
                <w:sz w:val="5"/>
                <w:szCs w:val="5"/>
                <w:color w:val="auto"/>
              </w:rPr>
            </w:pPr>
          </w:p>
        </w:tc>
        <w:tc>
          <w:tcPr>
            <w:tcW w:w="1460" w:type="dxa"/>
            <w:vAlign w:val="bottom"/>
            <w:gridSpan w:val="2"/>
            <w:vMerge w:val="continue"/>
            <w:shd w:val="clear" w:color="auto" w:fill="CCFFCC"/>
          </w:tcPr>
          <w:p>
            <w:pPr>
              <w:spacing w:after="0"/>
              <w:rPr>
                <w:sz w:val="5"/>
                <w:szCs w:val="5"/>
                <w:color w:val="auto"/>
              </w:rPr>
            </w:pPr>
          </w:p>
        </w:tc>
        <w:tc>
          <w:tcPr>
            <w:tcW w:w="1080" w:type="dxa"/>
            <w:vAlign w:val="bottom"/>
            <w:gridSpan w:val="3"/>
            <w:vMerge w:val="continue"/>
            <w:shd w:val="clear" w:color="auto" w:fill="CCFFCC"/>
          </w:tcPr>
          <w:p>
            <w:pPr>
              <w:spacing w:after="0"/>
              <w:rPr>
                <w:sz w:val="5"/>
                <w:szCs w:val="5"/>
                <w:color w:val="auto"/>
              </w:rPr>
            </w:pPr>
          </w:p>
        </w:tc>
        <w:tc>
          <w:tcPr>
            <w:tcW w:w="200" w:type="dxa"/>
            <w:vAlign w:val="bottom"/>
            <w:gridSpan w:val="2"/>
            <w:vMerge w:val="continue"/>
            <w:shd w:val="clear" w:color="auto" w:fill="CCFFCC"/>
          </w:tcPr>
          <w:p>
            <w:pPr>
              <w:spacing w:after="0"/>
              <w:rPr>
                <w:sz w:val="5"/>
                <w:szCs w:val="5"/>
                <w:color w:val="auto"/>
              </w:rPr>
            </w:pPr>
          </w:p>
        </w:tc>
        <w:tc>
          <w:tcPr>
            <w:tcW w:w="1020" w:type="dxa"/>
            <w:vAlign w:val="bottom"/>
            <w:gridSpan w:val="2"/>
            <w:vMerge w:val="continue"/>
            <w:shd w:val="clear" w:color="auto" w:fill="CCFFCC"/>
          </w:tcPr>
          <w:p>
            <w:pPr>
              <w:spacing w:after="0"/>
              <w:rPr>
                <w:sz w:val="5"/>
                <w:szCs w:val="5"/>
                <w:color w:val="auto"/>
              </w:rPr>
            </w:pPr>
          </w:p>
        </w:tc>
        <w:tc>
          <w:tcPr>
            <w:tcW w:w="1300" w:type="dxa"/>
            <w:vAlign w:val="bottom"/>
            <w:vMerge w:val="restart"/>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over 3-4 years</w:t>
            </w:r>
          </w:p>
        </w:tc>
        <w:tc>
          <w:tcPr>
            <w:tcW w:w="1560" w:type="dxa"/>
            <w:vAlign w:val="bottom"/>
            <w:gridSpan w:val="2"/>
            <w:vMerge w:val="restart"/>
            <w:shd w:val="clear" w:color="auto" w:fill="CCFFCC"/>
          </w:tcPr>
          <w:p>
            <w:pPr>
              <w:ind w:left="100"/>
              <w:spacing w:after="0" w:line="149" w:lineRule="exact"/>
              <w:rPr>
                <w:sz w:val="20"/>
                <w:szCs w:val="20"/>
                <w:color w:val="auto"/>
              </w:rPr>
            </w:pPr>
            <w:r>
              <w:rPr>
                <w:rFonts w:ascii="Arial" w:cs="Arial" w:eastAsia="Arial" w:hAnsi="Arial"/>
                <w:sz w:val="14"/>
                <w:szCs w:val="14"/>
                <w:color w:val="auto"/>
                <w:w w:val="92"/>
              </w:rPr>
              <w:t>Remaining term, in years</w:t>
            </w:r>
          </w:p>
        </w:tc>
        <w:tc>
          <w:tcPr>
            <w:tcW w:w="1720" w:type="dxa"/>
            <w:vAlign w:val="bottom"/>
            <w:vMerge w:val="restart"/>
            <w:shd w:val="clear" w:color="auto" w:fill="CCFFCC"/>
          </w:tcPr>
          <w:p>
            <w:pPr>
              <w:ind w:left="100"/>
              <w:spacing w:after="0" w:line="149" w:lineRule="exact"/>
              <w:rPr>
                <w:sz w:val="20"/>
                <w:szCs w:val="20"/>
                <w:color w:val="auto"/>
              </w:rPr>
            </w:pPr>
            <w:r>
              <w:rPr>
                <w:rFonts w:ascii="Arial" w:cs="Arial" w:eastAsia="Arial" w:hAnsi="Arial"/>
                <w:sz w:val="14"/>
                <w:szCs w:val="14"/>
                <w:color w:val="auto"/>
              </w:rPr>
              <w:t>0.28-5.83</w:t>
            </w:r>
          </w:p>
        </w:tc>
        <w:tc>
          <w:tcPr>
            <w:tcW w:w="0" w:type="dxa"/>
            <w:vAlign w:val="bottom"/>
          </w:tcPr>
          <w:p>
            <w:pPr>
              <w:spacing w:after="0"/>
              <w:rPr>
                <w:sz w:val="1"/>
                <w:szCs w:val="1"/>
                <w:color w:val="auto"/>
              </w:rPr>
            </w:pPr>
          </w:p>
        </w:tc>
      </w:tr>
      <w:tr>
        <w:trPr>
          <w:trHeight w:val="81"/>
        </w:trPr>
        <w:tc>
          <w:tcPr>
            <w:tcW w:w="20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Consultants</w:t>
            </w:r>
          </w:p>
        </w:tc>
        <w:tc>
          <w:tcPr>
            <w:tcW w:w="90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136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90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12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1300" w:type="dxa"/>
            <w:vAlign w:val="bottom"/>
            <w:vMerge w:val="continue"/>
            <w:shd w:val="clear" w:color="auto" w:fill="CCFFCC"/>
          </w:tcPr>
          <w:p>
            <w:pPr>
              <w:spacing w:after="0"/>
              <w:rPr>
                <w:sz w:val="7"/>
                <w:szCs w:val="7"/>
                <w:color w:val="auto"/>
              </w:rPr>
            </w:pPr>
          </w:p>
        </w:tc>
        <w:tc>
          <w:tcPr>
            <w:tcW w:w="1560" w:type="dxa"/>
            <w:vAlign w:val="bottom"/>
            <w:gridSpan w:val="2"/>
            <w:vMerge w:val="continue"/>
            <w:shd w:val="clear" w:color="auto" w:fill="CCFFCC"/>
          </w:tcPr>
          <w:p>
            <w:pPr>
              <w:spacing w:after="0"/>
              <w:rPr>
                <w:sz w:val="7"/>
                <w:szCs w:val="7"/>
                <w:color w:val="auto"/>
              </w:rPr>
            </w:pPr>
          </w:p>
        </w:tc>
        <w:tc>
          <w:tcPr>
            <w:tcW w:w="1720" w:type="dxa"/>
            <w:vAlign w:val="bottom"/>
            <w:vMerge w:val="continue"/>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80" w:type="dxa"/>
            <w:vAlign w:val="bottom"/>
            <w:gridSpan w:val="2"/>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13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1300" w:type="dxa"/>
            <w:vAlign w:val="bottom"/>
            <w:shd w:val="clear" w:color="auto" w:fill="CCFFCC"/>
          </w:tcPr>
          <w:p>
            <w:pPr>
              <w:spacing w:after="0"/>
              <w:rPr>
                <w:sz w:val="8"/>
                <w:szCs w:val="8"/>
                <w:color w:val="auto"/>
              </w:rPr>
            </w:pPr>
          </w:p>
        </w:tc>
        <w:tc>
          <w:tcPr>
            <w:tcW w:w="1560" w:type="dxa"/>
            <w:vAlign w:val="bottom"/>
            <w:gridSpan w:val="2"/>
            <w:vMerge w:val="restart"/>
            <w:shd w:val="clear" w:color="auto" w:fill="CCFFCC"/>
          </w:tcPr>
          <w:p>
            <w:pPr>
              <w:ind w:left="100"/>
              <w:spacing w:after="0"/>
              <w:rPr>
                <w:sz w:val="20"/>
                <w:szCs w:val="20"/>
                <w:color w:val="auto"/>
              </w:rPr>
            </w:pPr>
            <w:r>
              <w:rPr>
                <w:rFonts w:ascii="Arial" w:cs="Arial" w:eastAsia="Arial" w:hAnsi="Arial"/>
                <w:sz w:val="14"/>
                <w:szCs w:val="14"/>
                <w:color w:val="auto"/>
              </w:rPr>
              <w:t>Dividend yield</w:t>
            </w:r>
          </w:p>
        </w:tc>
        <w:tc>
          <w:tcPr>
            <w:tcW w:w="1720" w:type="dxa"/>
            <w:vAlign w:val="bottom"/>
            <w:vMerge w:val="restart"/>
            <w:shd w:val="clear" w:color="auto" w:fill="CCFFCC"/>
          </w:tcPr>
          <w:p>
            <w:pPr>
              <w:ind w:lef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66"/>
        </w:trPr>
        <w:tc>
          <w:tcPr>
            <w:tcW w:w="198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36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80" w:type="dxa"/>
            <w:vAlign w:val="bottom"/>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20" w:type="dxa"/>
            <w:vAlign w:val="bottom"/>
            <w:shd w:val="clear" w:color="auto" w:fill="CCFFCC"/>
          </w:tcPr>
          <w:p>
            <w:pPr>
              <w:spacing w:after="0"/>
              <w:rPr>
                <w:sz w:val="5"/>
                <w:szCs w:val="5"/>
                <w:color w:val="auto"/>
              </w:rPr>
            </w:pPr>
          </w:p>
        </w:tc>
        <w:tc>
          <w:tcPr>
            <w:tcW w:w="8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1300" w:type="dxa"/>
            <w:vAlign w:val="bottom"/>
            <w:shd w:val="clear" w:color="auto" w:fill="CCFFCC"/>
          </w:tcPr>
          <w:p>
            <w:pPr>
              <w:spacing w:after="0"/>
              <w:rPr>
                <w:sz w:val="5"/>
                <w:szCs w:val="5"/>
                <w:color w:val="auto"/>
              </w:rPr>
            </w:pPr>
          </w:p>
        </w:tc>
        <w:tc>
          <w:tcPr>
            <w:tcW w:w="1560" w:type="dxa"/>
            <w:vAlign w:val="bottom"/>
            <w:gridSpan w:val="2"/>
            <w:vMerge w:val="continue"/>
            <w:shd w:val="clear" w:color="auto" w:fill="CCFFCC"/>
          </w:tcPr>
          <w:p>
            <w:pPr>
              <w:spacing w:after="0"/>
              <w:rPr>
                <w:sz w:val="5"/>
                <w:szCs w:val="5"/>
                <w:color w:val="auto"/>
              </w:rPr>
            </w:pPr>
          </w:p>
        </w:tc>
        <w:tc>
          <w:tcPr>
            <w:tcW w:w="1720" w:type="dxa"/>
            <w:vAlign w:val="bottom"/>
            <w:vMerge w:val="continue"/>
            <w:shd w:val="clear" w:color="auto" w:fill="CCFFCC"/>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common stock options granted during 2012, following the Merger: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No.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w w:val="95"/>
              </w:rPr>
              <w:t>Share price at grant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w w:val="93"/>
              </w:rPr>
              <w:t>Assumptions used in Black-Scholes option</w:t>
            </w:r>
          </w:p>
        </w:tc>
        <w:tc>
          <w:tcPr>
            <w:tcW w:w="0" w:type="dxa"/>
            <w:vAlign w:val="bottom"/>
          </w:tcPr>
          <w:p>
            <w:pPr>
              <w:spacing w:after="0"/>
              <w:rPr>
                <w:sz w:val="1"/>
                <w:szCs w:val="1"/>
                <w:color w:val="auto"/>
              </w:rPr>
            </w:pPr>
          </w:p>
        </w:tc>
      </w:tr>
      <w:tr>
        <w:trPr>
          <w:trHeight w:val="167"/>
        </w:trPr>
        <w:tc>
          <w:tcPr>
            <w:tcW w:w="2000" w:type="dxa"/>
            <w:vAlign w:val="bottom"/>
            <w:gridSpan w:val="2"/>
          </w:tcPr>
          <w:p>
            <w:pPr>
              <w:ind w:left="760"/>
              <w:spacing w:after="0"/>
              <w:rPr>
                <w:sz w:val="20"/>
                <w:szCs w:val="20"/>
                <w:color w:val="auto"/>
              </w:rPr>
            </w:pPr>
            <w:r>
              <w:rPr>
                <w:rFonts w:ascii="Arial" w:cs="Arial" w:eastAsia="Arial" w:hAnsi="Arial"/>
                <w:sz w:val="14"/>
                <w:szCs w:val="14"/>
                <w:color w:val="auto"/>
              </w:rPr>
              <w:t>Title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date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Vesting terms</w:t>
            </w:r>
          </w:p>
        </w:tc>
        <w:tc>
          <w:tcPr>
            <w:tcW w:w="2480" w:type="dxa"/>
            <w:vAlign w:val="bottom"/>
            <w:gridSpan w:val="2"/>
          </w:tcPr>
          <w:p>
            <w:pPr>
              <w:ind w:left="840"/>
              <w:spacing w:after="0"/>
              <w:rPr>
                <w:sz w:val="20"/>
                <w:szCs w:val="20"/>
                <w:color w:val="auto"/>
              </w:rPr>
            </w:pPr>
            <w:r>
              <w:rPr>
                <w:rFonts w:ascii="Arial" w:cs="Arial" w:eastAsia="Arial" w:hAnsi="Arial"/>
                <w:sz w:val="14"/>
                <w:szCs w:val="14"/>
                <w:color w:val="auto"/>
              </w:rPr>
              <w:t>pricing model</w:t>
            </w:r>
          </w:p>
        </w:tc>
        <w:tc>
          <w:tcPr>
            <w:tcW w:w="0" w:type="dxa"/>
            <w:vAlign w:val="bottom"/>
          </w:tcPr>
          <w:p>
            <w:pPr>
              <w:spacing w:after="0"/>
              <w:rPr>
                <w:sz w:val="1"/>
                <w:szCs w:val="1"/>
                <w:color w:val="auto"/>
              </w:rPr>
            </w:pPr>
          </w:p>
        </w:tc>
      </w:tr>
      <w:tr>
        <w:trPr>
          <w:trHeight w:val="123"/>
        </w:trPr>
        <w:tc>
          <w:tcPr>
            <w:tcW w:w="1800" w:type="dxa"/>
            <w:vAlign w:val="bottom"/>
            <w:tcBorders>
              <w:top w:val="single" w:sz="8" w:color="auto"/>
            </w:tcBorders>
            <w:shd w:val="clear" w:color="auto" w:fill="CCFFCC"/>
          </w:tcPr>
          <w:p>
            <w:pPr>
              <w:spacing w:after="0"/>
              <w:rPr>
                <w:sz w:val="10"/>
                <w:szCs w:val="10"/>
                <w:color w:val="auto"/>
              </w:rPr>
            </w:pPr>
          </w:p>
        </w:tc>
        <w:tc>
          <w:tcPr>
            <w:tcW w:w="200" w:type="dxa"/>
            <w:vAlign w:val="bottom"/>
            <w:tcBorders>
              <w:top w:val="single" w:sz="8" w:color="CCFFCC"/>
            </w:tcBorders>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12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11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20" w:type="dxa"/>
            <w:vAlign w:val="bottom"/>
            <w:tcBorders>
              <w:top w:val="single" w:sz="8" w:color="CCFFCC"/>
            </w:tcBorders>
            <w:shd w:val="clear" w:color="auto" w:fill="CCFFCC"/>
          </w:tcPr>
          <w:p>
            <w:pPr>
              <w:spacing w:after="0"/>
              <w:rPr>
                <w:sz w:val="10"/>
                <w:szCs w:val="10"/>
                <w:color w:val="auto"/>
              </w:rPr>
            </w:pPr>
          </w:p>
        </w:tc>
        <w:tc>
          <w:tcPr>
            <w:tcW w:w="11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2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Volatility</w:t>
            </w:r>
          </w:p>
        </w:tc>
        <w:tc>
          <w:tcPr>
            <w:tcW w:w="106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w w:val="98"/>
              </w:rPr>
              <w:t>65.33%-67.61%</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Management, Directors and</w:t>
            </w:r>
          </w:p>
        </w:tc>
        <w:tc>
          <w:tcPr>
            <w:tcW w:w="1340" w:type="dxa"/>
            <w:vAlign w:val="bottom"/>
            <w:gridSpan w:val="2"/>
            <w:vMerge w:val="restart"/>
            <w:shd w:val="clear" w:color="auto" w:fill="CCFFCC"/>
          </w:tcPr>
          <w:p>
            <w:pPr>
              <w:jc w:val="center"/>
              <w:ind w:right="220"/>
              <w:spacing w:after="0"/>
              <w:rPr>
                <w:sz w:val="20"/>
                <w:szCs w:val="20"/>
                <w:color w:val="auto"/>
              </w:rPr>
            </w:pPr>
            <w:r>
              <w:rPr>
                <w:rFonts w:ascii="Arial" w:cs="Arial" w:eastAsia="Arial" w:hAnsi="Arial"/>
                <w:sz w:val="14"/>
                <w:szCs w:val="14"/>
                <w:color w:val="auto"/>
                <w:w w:val="94"/>
              </w:rPr>
              <w:t>July-October 2012</w:t>
            </w:r>
          </w:p>
        </w:tc>
        <w:tc>
          <w:tcPr>
            <w:tcW w:w="12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5,485,000</w:t>
            </w:r>
          </w:p>
        </w:tc>
        <w:tc>
          <w:tcPr>
            <w:tcW w:w="100" w:type="dxa"/>
            <w:vAlign w:val="bottom"/>
            <w:shd w:val="clear" w:color="auto" w:fill="CCFFCC"/>
          </w:tcPr>
          <w:p>
            <w:pPr>
              <w:spacing w:after="0"/>
              <w:rPr>
                <w:sz w:val="12"/>
                <w:szCs w:val="12"/>
                <w:color w:val="auto"/>
              </w:rPr>
            </w:pPr>
          </w:p>
        </w:tc>
        <w:tc>
          <w:tcPr>
            <w:tcW w:w="260" w:type="dxa"/>
            <w:vAlign w:val="bottom"/>
            <w:gridSpan w:val="2"/>
            <w:vMerge w:val="restart"/>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3.44-$5.25</w:t>
            </w:r>
          </w:p>
        </w:tc>
        <w:tc>
          <w:tcPr>
            <w:tcW w:w="400" w:type="dxa"/>
            <w:vAlign w:val="bottom"/>
            <w:gridSpan w:val="2"/>
            <w:vMerge w:val="restart"/>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3.44-$5.25</w:t>
            </w: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Risk free interest rate</w:t>
            </w:r>
          </w:p>
        </w:tc>
        <w:tc>
          <w:tcPr>
            <w:tcW w:w="10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w w:val="99"/>
              </w:rPr>
              <w:t>0.88%-1.75%</w:t>
            </w:r>
          </w:p>
        </w:tc>
        <w:tc>
          <w:tcPr>
            <w:tcW w:w="0" w:type="dxa"/>
            <w:vAlign w:val="bottom"/>
          </w:tcPr>
          <w:p>
            <w:pPr>
              <w:spacing w:after="0"/>
              <w:rPr>
                <w:sz w:val="1"/>
                <w:szCs w:val="1"/>
                <w:color w:val="auto"/>
              </w:rPr>
            </w:pPr>
          </w:p>
        </w:tc>
      </w:tr>
      <w:tr>
        <w:trPr>
          <w:trHeight w:val="101"/>
        </w:trPr>
        <w:tc>
          <w:tcPr>
            <w:tcW w:w="2000" w:type="dxa"/>
            <w:vAlign w:val="bottom"/>
            <w:gridSpan w:val="2"/>
            <w:vMerge w:val="restart"/>
            <w:shd w:val="clear" w:color="auto" w:fill="CCFFCC"/>
          </w:tcPr>
          <w:p>
            <w:pPr>
              <w:spacing w:after="0" w:line="149" w:lineRule="exact"/>
              <w:rPr>
                <w:sz w:val="20"/>
                <w:szCs w:val="20"/>
                <w:color w:val="auto"/>
              </w:rPr>
            </w:pPr>
            <w:r>
              <w:rPr>
                <w:rFonts w:ascii="Arial" w:cs="Arial" w:eastAsia="Arial" w:hAnsi="Arial"/>
                <w:sz w:val="14"/>
                <w:szCs w:val="14"/>
                <w:color w:val="auto"/>
              </w:rPr>
              <w:t>Employees *</w:t>
            </w:r>
          </w:p>
        </w:tc>
        <w:tc>
          <w:tcPr>
            <w:tcW w:w="1340" w:type="dxa"/>
            <w:vAlign w:val="bottom"/>
            <w:gridSpan w:val="2"/>
            <w:vMerge w:val="continue"/>
            <w:shd w:val="clear" w:color="auto" w:fill="CCFFCC"/>
          </w:tcPr>
          <w:p>
            <w:pPr>
              <w:spacing w:after="0"/>
              <w:rPr>
                <w:sz w:val="8"/>
                <w:szCs w:val="8"/>
                <w:color w:val="auto"/>
              </w:rPr>
            </w:pPr>
          </w:p>
        </w:tc>
        <w:tc>
          <w:tcPr>
            <w:tcW w:w="1240" w:type="dxa"/>
            <w:vAlign w:val="bottom"/>
            <w:vMerge w:val="continue"/>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260" w:type="dxa"/>
            <w:vAlign w:val="bottom"/>
            <w:gridSpan w:val="2"/>
            <w:vMerge w:val="continue"/>
            <w:shd w:val="clear" w:color="auto" w:fill="CCFFCC"/>
          </w:tcPr>
          <w:p>
            <w:pPr>
              <w:spacing w:after="0"/>
              <w:rPr>
                <w:sz w:val="8"/>
                <w:szCs w:val="8"/>
                <w:color w:val="auto"/>
              </w:rPr>
            </w:pPr>
          </w:p>
        </w:tc>
        <w:tc>
          <w:tcPr>
            <w:tcW w:w="1200" w:type="dxa"/>
            <w:vAlign w:val="bottom"/>
            <w:gridSpan w:val="2"/>
            <w:vMerge w:val="continue"/>
            <w:shd w:val="clear" w:color="auto" w:fill="CCFFCC"/>
          </w:tcPr>
          <w:p>
            <w:pPr>
              <w:spacing w:after="0"/>
              <w:rPr>
                <w:sz w:val="8"/>
                <w:szCs w:val="8"/>
                <w:color w:val="auto"/>
              </w:rPr>
            </w:pPr>
          </w:p>
        </w:tc>
        <w:tc>
          <w:tcPr>
            <w:tcW w:w="400" w:type="dxa"/>
            <w:vAlign w:val="bottom"/>
            <w:gridSpan w:val="2"/>
            <w:vMerge w:val="continue"/>
            <w:shd w:val="clear" w:color="auto" w:fill="CCFFCC"/>
          </w:tcPr>
          <w:p>
            <w:pPr>
              <w:spacing w:after="0"/>
              <w:rPr>
                <w:sz w:val="8"/>
                <w:szCs w:val="8"/>
                <w:color w:val="auto"/>
              </w:rPr>
            </w:pPr>
          </w:p>
        </w:tc>
        <w:tc>
          <w:tcPr>
            <w:tcW w:w="1160" w:type="dxa"/>
            <w:vAlign w:val="bottom"/>
            <w:gridSpan w:val="2"/>
            <w:vMerge w:val="continue"/>
            <w:shd w:val="clear" w:color="auto" w:fill="CCFFCC"/>
          </w:tcPr>
          <w:p>
            <w:pPr>
              <w:spacing w:after="0"/>
              <w:rPr>
                <w:sz w:val="8"/>
                <w:szCs w:val="8"/>
                <w:color w:val="auto"/>
              </w:rPr>
            </w:pPr>
          </w:p>
        </w:tc>
        <w:tc>
          <w:tcPr>
            <w:tcW w:w="1240" w:type="dxa"/>
            <w:vAlign w:val="bottom"/>
            <w:gridSpan w:val="2"/>
            <w:vMerge w:val="restart"/>
            <w:shd w:val="clear" w:color="auto" w:fill="CCFFCC"/>
          </w:tcPr>
          <w:p>
            <w:pPr>
              <w:jc w:val="center"/>
              <w:ind w:right="120"/>
              <w:spacing w:after="0" w:line="149" w:lineRule="exact"/>
              <w:rPr>
                <w:sz w:val="20"/>
                <w:szCs w:val="20"/>
                <w:color w:val="auto"/>
              </w:rPr>
            </w:pPr>
            <w:r>
              <w:rPr>
                <w:rFonts w:ascii="Arial" w:cs="Arial" w:eastAsia="Arial" w:hAnsi="Arial"/>
                <w:sz w:val="14"/>
                <w:szCs w:val="14"/>
                <w:color w:val="auto"/>
                <w:w w:val="97"/>
              </w:rPr>
              <w:t>Quarterly</w:t>
            </w:r>
          </w:p>
        </w:tc>
        <w:tc>
          <w:tcPr>
            <w:tcW w:w="1420" w:type="dxa"/>
            <w:vAlign w:val="bottom"/>
            <w:vMerge w:val="restart"/>
            <w:shd w:val="clear" w:color="auto" w:fill="CCFFCC"/>
          </w:tcPr>
          <w:p>
            <w:pPr>
              <w:spacing w:after="0" w:line="149" w:lineRule="exact"/>
              <w:rPr>
                <w:sz w:val="20"/>
                <w:szCs w:val="20"/>
                <w:color w:val="auto"/>
              </w:rPr>
            </w:pPr>
            <w:r>
              <w:rPr>
                <w:rFonts w:ascii="Arial" w:cs="Arial" w:eastAsia="Arial" w:hAnsi="Arial"/>
                <w:sz w:val="14"/>
                <w:szCs w:val="14"/>
                <w:color w:val="auto"/>
                <w:w w:val="95"/>
              </w:rPr>
              <w:t>Expected term, in years</w:t>
            </w:r>
          </w:p>
        </w:tc>
        <w:tc>
          <w:tcPr>
            <w:tcW w:w="1060" w:type="dxa"/>
            <w:vAlign w:val="bottom"/>
            <w:vMerge w:val="restart"/>
            <w:shd w:val="clear" w:color="auto" w:fill="CCFFCC"/>
          </w:tcPr>
          <w:p>
            <w:pPr>
              <w:jc w:val="right"/>
              <w:ind w:right="268"/>
              <w:spacing w:after="0" w:line="149" w:lineRule="exact"/>
              <w:rPr>
                <w:sz w:val="20"/>
                <w:szCs w:val="20"/>
                <w:color w:val="auto"/>
              </w:rPr>
            </w:pPr>
            <w:r>
              <w:rPr>
                <w:rFonts w:ascii="Arial" w:cs="Arial" w:eastAsia="Arial" w:hAnsi="Arial"/>
                <w:sz w:val="14"/>
                <w:szCs w:val="14"/>
                <w:color w:val="auto"/>
              </w:rPr>
              <w:t>5.69-10.00</w:t>
            </w:r>
          </w:p>
        </w:tc>
        <w:tc>
          <w:tcPr>
            <w:tcW w:w="0" w:type="dxa"/>
            <w:vAlign w:val="bottom"/>
          </w:tcPr>
          <w:p>
            <w:pPr>
              <w:spacing w:after="0"/>
              <w:rPr>
                <w:sz w:val="1"/>
                <w:szCs w:val="1"/>
                <w:color w:val="auto"/>
              </w:rPr>
            </w:pPr>
          </w:p>
        </w:tc>
      </w:tr>
      <w:tr>
        <w:trPr>
          <w:trHeight w:val="47"/>
        </w:trPr>
        <w:tc>
          <w:tcPr>
            <w:tcW w:w="2000" w:type="dxa"/>
            <w:vAlign w:val="bottom"/>
            <w:gridSpan w:val="2"/>
            <w:vMerge w:val="continue"/>
            <w:shd w:val="clear" w:color="auto" w:fill="CCFFCC"/>
          </w:tcPr>
          <w:p>
            <w:pPr>
              <w:spacing w:after="0"/>
              <w:rPr>
                <w:sz w:val="4"/>
                <w:szCs w:val="4"/>
                <w:color w:val="auto"/>
              </w:rPr>
            </w:pPr>
          </w:p>
        </w:tc>
        <w:tc>
          <w:tcPr>
            <w:tcW w:w="1120" w:type="dxa"/>
            <w:vAlign w:val="bottom"/>
            <w:shd w:val="clear" w:color="auto" w:fill="CCFFCC"/>
          </w:tcPr>
          <w:p>
            <w:pPr>
              <w:spacing w:after="0"/>
              <w:rPr>
                <w:sz w:val="4"/>
                <w:szCs w:val="4"/>
                <w:color w:val="auto"/>
              </w:rPr>
            </w:pPr>
          </w:p>
        </w:tc>
        <w:tc>
          <w:tcPr>
            <w:tcW w:w="220" w:type="dxa"/>
            <w:vAlign w:val="bottom"/>
            <w:shd w:val="clear" w:color="auto" w:fill="CCFFCC"/>
          </w:tcPr>
          <w:p>
            <w:pPr>
              <w:spacing w:after="0"/>
              <w:rPr>
                <w:sz w:val="4"/>
                <w:szCs w:val="4"/>
                <w:color w:val="auto"/>
              </w:rPr>
            </w:pPr>
          </w:p>
        </w:tc>
        <w:tc>
          <w:tcPr>
            <w:tcW w:w="1240" w:type="dxa"/>
            <w:vAlign w:val="bottom"/>
            <w:shd w:val="clear" w:color="auto" w:fill="CCFFCC"/>
          </w:tcPr>
          <w:p>
            <w:pPr>
              <w:spacing w:after="0"/>
              <w:rPr>
                <w:sz w:val="4"/>
                <w:szCs w:val="4"/>
                <w:color w:val="auto"/>
              </w:rPr>
            </w:pPr>
          </w:p>
        </w:tc>
        <w:tc>
          <w:tcPr>
            <w:tcW w:w="100" w:type="dxa"/>
            <w:vAlign w:val="bottom"/>
            <w:shd w:val="clear" w:color="auto" w:fill="CCFFCC"/>
          </w:tcPr>
          <w:p>
            <w:pPr>
              <w:spacing w:after="0"/>
              <w:rPr>
                <w:sz w:val="4"/>
                <w:szCs w:val="4"/>
                <w:color w:val="auto"/>
              </w:rPr>
            </w:pPr>
          </w:p>
        </w:tc>
        <w:tc>
          <w:tcPr>
            <w:tcW w:w="100" w:type="dxa"/>
            <w:vAlign w:val="bottom"/>
            <w:shd w:val="clear" w:color="auto" w:fill="CCFFCC"/>
          </w:tcPr>
          <w:p>
            <w:pPr>
              <w:spacing w:after="0"/>
              <w:rPr>
                <w:sz w:val="4"/>
                <w:szCs w:val="4"/>
                <w:color w:val="auto"/>
              </w:rPr>
            </w:pPr>
          </w:p>
        </w:tc>
        <w:tc>
          <w:tcPr>
            <w:tcW w:w="160" w:type="dxa"/>
            <w:vAlign w:val="bottom"/>
            <w:shd w:val="clear" w:color="auto" w:fill="CCFFCC"/>
          </w:tcPr>
          <w:p>
            <w:pPr>
              <w:spacing w:after="0"/>
              <w:rPr>
                <w:sz w:val="4"/>
                <w:szCs w:val="4"/>
                <w:color w:val="auto"/>
              </w:rPr>
            </w:pPr>
          </w:p>
        </w:tc>
        <w:tc>
          <w:tcPr>
            <w:tcW w:w="1100" w:type="dxa"/>
            <w:vAlign w:val="bottom"/>
            <w:shd w:val="clear" w:color="auto" w:fill="CCFFCC"/>
          </w:tcPr>
          <w:p>
            <w:pPr>
              <w:spacing w:after="0"/>
              <w:rPr>
                <w:sz w:val="4"/>
                <w:szCs w:val="4"/>
                <w:color w:val="auto"/>
              </w:rPr>
            </w:pPr>
          </w:p>
        </w:tc>
        <w:tc>
          <w:tcPr>
            <w:tcW w:w="100" w:type="dxa"/>
            <w:vAlign w:val="bottom"/>
            <w:shd w:val="clear" w:color="auto" w:fill="CCFFCC"/>
          </w:tcPr>
          <w:p>
            <w:pPr>
              <w:spacing w:after="0"/>
              <w:rPr>
                <w:sz w:val="4"/>
                <w:szCs w:val="4"/>
                <w:color w:val="auto"/>
              </w:rPr>
            </w:pPr>
          </w:p>
        </w:tc>
        <w:tc>
          <w:tcPr>
            <w:tcW w:w="100" w:type="dxa"/>
            <w:vAlign w:val="bottom"/>
            <w:shd w:val="clear" w:color="auto" w:fill="CCFFCC"/>
          </w:tcPr>
          <w:p>
            <w:pPr>
              <w:spacing w:after="0"/>
              <w:rPr>
                <w:sz w:val="4"/>
                <w:szCs w:val="4"/>
                <w:color w:val="auto"/>
              </w:rPr>
            </w:pPr>
          </w:p>
        </w:tc>
        <w:tc>
          <w:tcPr>
            <w:tcW w:w="300" w:type="dxa"/>
            <w:vAlign w:val="bottom"/>
            <w:shd w:val="clear" w:color="auto" w:fill="CCFFCC"/>
          </w:tcPr>
          <w:p>
            <w:pPr>
              <w:spacing w:after="0"/>
              <w:rPr>
                <w:sz w:val="4"/>
                <w:szCs w:val="4"/>
                <w:color w:val="auto"/>
              </w:rPr>
            </w:pPr>
          </w:p>
        </w:tc>
        <w:tc>
          <w:tcPr>
            <w:tcW w:w="940" w:type="dxa"/>
            <w:vAlign w:val="bottom"/>
            <w:shd w:val="clear" w:color="auto" w:fill="CCFFCC"/>
          </w:tcPr>
          <w:p>
            <w:pPr>
              <w:spacing w:after="0"/>
              <w:rPr>
                <w:sz w:val="4"/>
                <w:szCs w:val="4"/>
                <w:color w:val="auto"/>
              </w:rPr>
            </w:pPr>
          </w:p>
        </w:tc>
        <w:tc>
          <w:tcPr>
            <w:tcW w:w="220" w:type="dxa"/>
            <w:vAlign w:val="bottom"/>
            <w:shd w:val="clear" w:color="auto" w:fill="CCFFCC"/>
          </w:tcPr>
          <w:p>
            <w:pPr>
              <w:spacing w:after="0"/>
              <w:rPr>
                <w:sz w:val="4"/>
                <w:szCs w:val="4"/>
                <w:color w:val="auto"/>
              </w:rPr>
            </w:pPr>
          </w:p>
        </w:tc>
        <w:tc>
          <w:tcPr>
            <w:tcW w:w="1240" w:type="dxa"/>
            <w:vAlign w:val="bottom"/>
            <w:gridSpan w:val="2"/>
            <w:vMerge w:val="continue"/>
            <w:shd w:val="clear" w:color="auto" w:fill="CCFFCC"/>
          </w:tcPr>
          <w:p>
            <w:pPr>
              <w:spacing w:after="0"/>
              <w:rPr>
                <w:sz w:val="4"/>
                <w:szCs w:val="4"/>
                <w:color w:val="auto"/>
              </w:rPr>
            </w:pPr>
          </w:p>
        </w:tc>
        <w:tc>
          <w:tcPr>
            <w:tcW w:w="1420" w:type="dxa"/>
            <w:vAlign w:val="bottom"/>
            <w:vMerge w:val="continue"/>
            <w:shd w:val="clear" w:color="auto" w:fill="CCFFCC"/>
          </w:tcPr>
          <w:p>
            <w:pPr>
              <w:spacing w:after="0"/>
              <w:rPr>
                <w:sz w:val="4"/>
                <w:szCs w:val="4"/>
                <w:color w:val="auto"/>
              </w:rPr>
            </w:pPr>
          </w:p>
        </w:tc>
        <w:tc>
          <w:tcPr>
            <w:tcW w:w="1060" w:type="dxa"/>
            <w:vAlign w:val="bottom"/>
            <w:vMerge w:val="continue"/>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90"/>
              </w:rPr>
              <w:t>over 3 years</w:t>
            </w:r>
          </w:p>
        </w:tc>
        <w:tc>
          <w:tcPr>
            <w:tcW w:w="1420" w:type="dxa"/>
            <w:vAlign w:val="bottom"/>
            <w:shd w:val="clear" w:color="auto" w:fill="CCFFCC"/>
          </w:tcPr>
          <w:p>
            <w:pPr>
              <w:spacing w:after="0"/>
              <w:rPr>
                <w:sz w:val="20"/>
                <w:szCs w:val="20"/>
                <w:color w:val="auto"/>
              </w:rPr>
            </w:pPr>
            <w:r>
              <w:rPr>
                <w:rFonts w:ascii="Arial" w:cs="Arial" w:eastAsia="Arial" w:hAnsi="Arial"/>
                <w:sz w:val="14"/>
                <w:szCs w:val="14"/>
                <w:color w:val="auto"/>
              </w:rPr>
              <w:t>Dividend yield</w:t>
            </w:r>
          </w:p>
        </w:tc>
        <w:tc>
          <w:tcPr>
            <w:tcW w:w="1060" w:type="dxa"/>
            <w:vAlign w:val="bottom"/>
            <w:shd w:val="clear" w:color="auto" w:fill="CCFFCC"/>
          </w:tcPr>
          <w:p>
            <w:pPr>
              <w:jc w:val="right"/>
              <w:ind w:right="48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line="130" w:lineRule="exact"/>
              <w:rPr>
                <w:sz w:val="20"/>
                <w:szCs w:val="20"/>
                <w:color w:val="auto"/>
              </w:rPr>
            </w:pPr>
            <w:r>
              <w:rPr>
                <w:rFonts w:ascii="Arial" w:cs="Arial" w:eastAsia="Arial" w:hAnsi="Arial"/>
                <w:sz w:val="14"/>
                <w:szCs w:val="14"/>
                <w:color w:val="auto"/>
              </w:rPr>
              <w:t>Volatility</w:t>
            </w:r>
          </w:p>
        </w:tc>
        <w:tc>
          <w:tcPr>
            <w:tcW w:w="1060" w:type="dxa"/>
            <w:vAlign w:val="bottom"/>
          </w:tcPr>
          <w:p>
            <w:pPr>
              <w:jc w:val="right"/>
              <w:ind w:right="488"/>
              <w:spacing w:after="0" w:line="130" w:lineRule="exact"/>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color w:val="auto"/>
              </w:rPr>
              <w:t>Consultant</w:t>
            </w: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0"/>
              </w:rPr>
              <w:t>September 2012</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15,000</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3.72</w:t>
            </w:r>
          </w:p>
        </w:tc>
        <w:tc>
          <w:tcPr>
            <w:tcW w:w="40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3.55</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Quarterly</w:t>
            </w: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10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01"/>
        </w:trPr>
        <w:tc>
          <w:tcPr>
            <w:tcW w:w="200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0"/>
              </w:rPr>
              <w:t>over a 1 year</w:t>
            </w:r>
          </w:p>
        </w:tc>
        <w:tc>
          <w:tcPr>
            <w:tcW w:w="24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6"/>
              </w:rPr>
              <w:t>Remaining expected term, in years   9.50</w:t>
            </w:r>
          </w:p>
        </w:tc>
        <w:tc>
          <w:tcPr>
            <w:tcW w:w="0" w:type="dxa"/>
            <w:vAlign w:val="bottom"/>
          </w:tcPr>
          <w:p>
            <w:pPr>
              <w:spacing w:after="0"/>
              <w:rPr>
                <w:sz w:val="1"/>
                <w:szCs w:val="1"/>
                <w:color w:val="auto"/>
              </w:rPr>
            </w:pPr>
          </w:p>
        </w:tc>
      </w:tr>
      <w:tr>
        <w:trPr>
          <w:trHeight w:val="47"/>
        </w:trPr>
        <w:tc>
          <w:tcPr>
            <w:tcW w:w="1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period</w:t>
            </w:r>
          </w:p>
        </w:tc>
        <w:tc>
          <w:tcPr>
            <w:tcW w:w="1420" w:type="dxa"/>
            <w:vAlign w:val="bottom"/>
          </w:tcPr>
          <w:p>
            <w:pPr>
              <w:spacing w:after="0"/>
              <w:rPr>
                <w:sz w:val="20"/>
                <w:szCs w:val="20"/>
                <w:color w:val="auto"/>
              </w:rPr>
            </w:pPr>
            <w:r>
              <w:rPr>
                <w:rFonts w:ascii="Arial" w:cs="Arial" w:eastAsia="Arial" w:hAnsi="Arial"/>
                <w:sz w:val="14"/>
                <w:szCs w:val="14"/>
                <w:color w:val="auto"/>
              </w:rPr>
              <w:t>Dividend yield</w:t>
            </w:r>
          </w:p>
        </w:tc>
        <w:tc>
          <w:tcPr>
            <w:tcW w:w="1060" w:type="dxa"/>
            <w:vAlign w:val="bottom"/>
          </w:tcPr>
          <w:p>
            <w:pPr>
              <w:jc w:val="right"/>
              <w:ind w:right="44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 (cont'd)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RSUs granted during 2012, following the Merger, following the Merger: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w:t>
            </w:r>
          </w:p>
        </w:tc>
        <w:tc>
          <w:tcPr>
            <w:tcW w:w="240" w:type="dxa"/>
            <w:vAlign w:val="bottom"/>
            <w:tcBorders>
              <w:bottom w:val="single" w:sz="8" w:color="CCFFC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Grant date</w:t>
            </w:r>
          </w:p>
        </w:tc>
        <w:tc>
          <w:tcPr>
            <w:tcW w:w="240" w:type="dxa"/>
            <w:vAlign w:val="bottom"/>
            <w:tcBorders>
              <w:bottom w:val="single" w:sz="8" w:color="CCFFCC"/>
            </w:tcBorders>
          </w:tcPr>
          <w:p>
            <w:pPr>
              <w:spacing w:after="0"/>
              <w:rPr>
                <w:sz w:val="14"/>
                <w:szCs w:val="14"/>
                <w:color w:val="auto"/>
              </w:rPr>
            </w:pP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No. of RSUs</w:t>
            </w:r>
          </w:p>
        </w:tc>
        <w:tc>
          <w:tcPr>
            <w:tcW w:w="220" w:type="dxa"/>
            <w:vAlign w:val="bottom"/>
            <w:tcBorders>
              <w:bottom w:val="single" w:sz="8" w:color="CCFFCC"/>
            </w:tcBorders>
          </w:tcPr>
          <w:p>
            <w:pPr>
              <w:spacing w:after="0"/>
              <w:rPr>
                <w:sz w:val="14"/>
                <w:szCs w:val="14"/>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Exercise price</w:t>
            </w:r>
          </w:p>
        </w:tc>
        <w:tc>
          <w:tcPr>
            <w:tcW w:w="220" w:type="dxa"/>
            <w:vAlign w:val="bottom"/>
            <w:tcBorders>
              <w:bottom w:val="single" w:sz="8" w:color="CCFFCC"/>
            </w:tcBorders>
          </w:tcPr>
          <w:p>
            <w:pPr>
              <w:spacing w:after="0"/>
              <w:rPr>
                <w:sz w:val="14"/>
                <w:szCs w:val="14"/>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Share price at grant date</w:t>
            </w:r>
          </w:p>
        </w:tc>
        <w:tc>
          <w:tcPr>
            <w:tcW w:w="220" w:type="dxa"/>
            <w:vAlign w:val="bottom"/>
            <w:tcBorders>
              <w:bottom w:val="single" w:sz="8" w:color="CCFFCC"/>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Vesting terms</w:t>
            </w:r>
          </w:p>
        </w:tc>
        <w:tc>
          <w:tcPr>
            <w:tcW w:w="0" w:type="dxa"/>
            <w:vAlign w:val="bottom"/>
          </w:tcPr>
          <w:p>
            <w:pPr>
              <w:spacing w:after="0"/>
              <w:rPr>
                <w:sz w:val="1"/>
                <w:szCs w:val="1"/>
                <w:color w:val="auto"/>
              </w:rPr>
            </w:pPr>
          </w:p>
        </w:tc>
      </w:tr>
      <w:tr>
        <w:trPr>
          <w:trHeight w:val="123"/>
        </w:trPr>
        <w:tc>
          <w:tcPr>
            <w:tcW w:w="184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Management, directors and</w:t>
            </w:r>
          </w:p>
        </w:tc>
        <w:tc>
          <w:tcPr>
            <w:tcW w:w="240" w:type="dxa"/>
            <w:vAlign w:val="bottom"/>
            <w:shd w:val="clear" w:color="auto" w:fill="CCFFCC"/>
          </w:tcPr>
          <w:p>
            <w:pPr>
              <w:spacing w:after="0"/>
              <w:rPr>
                <w:sz w:val="10"/>
                <w:szCs w:val="10"/>
                <w:color w:val="auto"/>
              </w:rPr>
            </w:pPr>
          </w:p>
        </w:tc>
        <w:tc>
          <w:tcPr>
            <w:tcW w:w="1860" w:type="dxa"/>
            <w:vAlign w:val="bottom"/>
            <w:gridSpan w:val="2"/>
            <w:vMerge w:val="restart"/>
            <w:shd w:val="clear" w:color="auto" w:fill="CCFFCC"/>
          </w:tcPr>
          <w:p>
            <w:pPr>
              <w:jc w:val="center"/>
              <w:ind w:right="240"/>
              <w:spacing w:after="0"/>
              <w:rPr>
                <w:sz w:val="20"/>
                <w:szCs w:val="20"/>
                <w:color w:val="auto"/>
              </w:rPr>
            </w:pPr>
            <w:r>
              <w:rPr>
                <w:rFonts w:ascii="Arial" w:cs="Arial" w:eastAsia="Arial" w:hAnsi="Arial"/>
                <w:sz w:val="14"/>
                <w:szCs w:val="14"/>
                <w:color w:val="auto"/>
                <w:w w:val="96"/>
              </w:rPr>
              <w:t>July 2012</w:t>
            </w:r>
          </w:p>
        </w:tc>
        <w:tc>
          <w:tcPr>
            <w:tcW w:w="194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3,105,000</w:t>
            </w:r>
          </w:p>
        </w:tc>
        <w:tc>
          <w:tcPr>
            <w:tcW w:w="1920" w:type="dxa"/>
            <w:vAlign w:val="bottom"/>
            <w:gridSpan w:val="2"/>
            <w:vMerge w:val="restart"/>
            <w:shd w:val="clear" w:color="auto" w:fill="CCFFCC"/>
          </w:tcPr>
          <w:p>
            <w:pPr>
              <w:ind w:left="1560"/>
              <w:spacing w:after="0"/>
              <w:rPr>
                <w:sz w:val="20"/>
                <w:szCs w:val="20"/>
                <w:color w:val="auto"/>
              </w:rPr>
            </w:pPr>
            <w:r>
              <w:rPr>
                <w:rFonts w:ascii="Arial" w:cs="Arial" w:eastAsia="Arial" w:hAnsi="Arial"/>
                <w:sz w:val="14"/>
                <w:szCs w:val="14"/>
                <w:color w:val="auto"/>
              </w:rPr>
              <w:t>—</w:t>
            </w:r>
          </w:p>
        </w:tc>
        <w:tc>
          <w:tcPr>
            <w:tcW w:w="19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color w:val="auto"/>
              </w:rPr>
              <w:t>$3.72</w:t>
            </w:r>
          </w:p>
        </w:tc>
        <w:tc>
          <w:tcPr>
            <w:tcW w:w="1700" w:type="dxa"/>
            <w:vAlign w:val="bottom"/>
            <w:vMerge w:val="restart"/>
            <w:shd w:val="clear" w:color="auto" w:fill="CCFFCC"/>
          </w:tcPr>
          <w:p>
            <w:pPr>
              <w:jc w:val="center"/>
              <w:spacing w:after="0"/>
              <w:rPr>
                <w:sz w:val="20"/>
                <w:szCs w:val="20"/>
                <w:color w:val="auto"/>
              </w:rPr>
            </w:pPr>
            <w:r>
              <w:rPr>
                <w:rFonts w:ascii="Arial" w:cs="Arial" w:eastAsia="Arial" w:hAnsi="Arial"/>
                <w:sz w:val="14"/>
                <w:szCs w:val="14"/>
                <w:color w:val="auto"/>
                <w:w w:val="94"/>
              </w:rPr>
              <w:t>Quarterly over 3-4 years</w:t>
            </w:r>
          </w:p>
        </w:tc>
        <w:tc>
          <w:tcPr>
            <w:tcW w:w="0" w:type="dxa"/>
            <w:vAlign w:val="bottom"/>
          </w:tcPr>
          <w:p>
            <w:pPr>
              <w:spacing w:after="0"/>
              <w:rPr>
                <w:sz w:val="1"/>
                <w:szCs w:val="1"/>
                <w:color w:val="auto"/>
              </w:rPr>
            </w:pPr>
          </w:p>
        </w:tc>
      </w:tr>
      <w:tr>
        <w:trPr>
          <w:trHeight w:val="101"/>
        </w:trPr>
        <w:tc>
          <w:tcPr>
            <w:tcW w:w="20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employees</w:t>
            </w:r>
          </w:p>
        </w:tc>
        <w:tc>
          <w:tcPr>
            <w:tcW w:w="1860" w:type="dxa"/>
            <w:vAlign w:val="bottom"/>
            <w:gridSpan w:val="2"/>
            <w:vMerge w:val="continue"/>
            <w:shd w:val="clear" w:color="auto" w:fill="CCFFCC"/>
          </w:tcPr>
          <w:p>
            <w:pPr>
              <w:spacing w:after="0"/>
              <w:rPr>
                <w:sz w:val="8"/>
                <w:szCs w:val="8"/>
                <w:color w:val="auto"/>
              </w:rPr>
            </w:pPr>
          </w:p>
        </w:tc>
        <w:tc>
          <w:tcPr>
            <w:tcW w:w="1940" w:type="dxa"/>
            <w:vAlign w:val="bottom"/>
            <w:gridSpan w:val="2"/>
            <w:vMerge w:val="continue"/>
            <w:shd w:val="clear" w:color="auto" w:fill="CCFFCC"/>
          </w:tcPr>
          <w:p>
            <w:pPr>
              <w:spacing w:after="0"/>
              <w:rPr>
                <w:sz w:val="8"/>
                <w:szCs w:val="8"/>
                <w:color w:val="auto"/>
              </w:rPr>
            </w:pPr>
          </w:p>
        </w:tc>
        <w:tc>
          <w:tcPr>
            <w:tcW w:w="1920" w:type="dxa"/>
            <w:vAlign w:val="bottom"/>
            <w:gridSpan w:val="2"/>
            <w:vMerge w:val="continue"/>
            <w:shd w:val="clear" w:color="auto" w:fill="CCFFCC"/>
          </w:tcPr>
          <w:p>
            <w:pPr>
              <w:spacing w:after="0"/>
              <w:rPr>
                <w:sz w:val="8"/>
                <w:szCs w:val="8"/>
                <w:color w:val="auto"/>
              </w:rPr>
            </w:pPr>
          </w:p>
        </w:tc>
        <w:tc>
          <w:tcPr>
            <w:tcW w:w="1920" w:type="dxa"/>
            <w:vAlign w:val="bottom"/>
            <w:gridSpan w:val="2"/>
            <w:vMerge w:val="continue"/>
            <w:shd w:val="clear" w:color="auto" w:fill="CCFFCC"/>
          </w:tcPr>
          <w:p>
            <w:pPr>
              <w:spacing w:after="0"/>
              <w:rPr>
                <w:sz w:val="8"/>
                <w:szCs w:val="8"/>
                <w:color w:val="auto"/>
              </w:rPr>
            </w:pPr>
          </w:p>
        </w:tc>
        <w:tc>
          <w:tcPr>
            <w:tcW w:w="1700" w:type="dxa"/>
            <w:vAlign w:val="bottom"/>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80" w:type="dxa"/>
            <w:vAlign w:val="bottom"/>
            <w:gridSpan w:val="2"/>
            <w:vMerge w:val="continue"/>
            <w:shd w:val="clear" w:color="auto" w:fill="CCFFCC"/>
          </w:tcPr>
          <w:p>
            <w:pPr>
              <w:spacing w:after="0"/>
              <w:rPr>
                <w:sz w:val="5"/>
                <w:szCs w:val="5"/>
                <w:color w:val="auto"/>
              </w:rPr>
            </w:pPr>
          </w:p>
        </w:tc>
        <w:tc>
          <w:tcPr>
            <w:tcW w:w="1620" w:type="dxa"/>
            <w:vAlign w:val="bottom"/>
            <w:shd w:val="clear" w:color="auto" w:fill="CCFFCC"/>
          </w:tcPr>
          <w:p>
            <w:pPr>
              <w:spacing w:after="0"/>
              <w:rPr>
                <w:sz w:val="5"/>
                <w:szCs w:val="5"/>
                <w:color w:val="auto"/>
              </w:rPr>
            </w:pPr>
          </w:p>
        </w:tc>
        <w:tc>
          <w:tcPr>
            <w:tcW w:w="240" w:type="dxa"/>
            <w:vAlign w:val="bottom"/>
            <w:shd w:val="clear" w:color="auto" w:fill="CCFFCC"/>
          </w:tcPr>
          <w:p>
            <w:pPr>
              <w:spacing w:after="0"/>
              <w:rPr>
                <w:sz w:val="5"/>
                <w:szCs w:val="5"/>
                <w:color w:val="auto"/>
              </w:rPr>
            </w:pPr>
          </w:p>
        </w:tc>
        <w:tc>
          <w:tcPr>
            <w:tcW w:w="172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17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170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170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80" w:type="dxa"/>
            <w:vAlign w:val="bottom"/>
            <w:gridSpan w:val="2"/>
          </w:tcPr>
          <w:p>
            <w:pPr>
              <w:spacing w:after="0"/>
              <w:rPr>
                <w:sz w:val="20"/>
                <w:szCs w:val="20"/>
                <w:color w:val="auto"/>
              </w:rPr>
            </w:pPr>
            <w:r>
              <w:rPr>
                <w:rFonts w:ascii="Arial" w:cs="Arial" w:eastAsia="Arial" w:hAnsi="Arial"/>
                <w:sz w:val="14"/>
                <w:szCs w:val="14"/>
                <w:color w:val="auto"/>
              </w:rPr>
              <w:t>Consultants</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July-October 2012</w:t>
            </w: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35,000</w:t>
            </w:r>
          </w:p>
        </w:tc>
        <w:tc>
          <w:tcPr>
            <w:tcW w:w="1920" w:type="dxa"/>
            <w:vAlign w:val="bottom"/>
            <w:gridSpan w:val="2"/>
          </w:tcPr>
          <w:p>
            <w:pPr>
              <w:ind w:left="15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$3.34-$3.72</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3 months – 1 year</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from Inception through December 31, 2011, no RSUs were granted. The following tables summarize information about stock options and RSU activity for the year ended December 31, 2012: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4"/>
          </w:tcPr>
          <w:p>
            <w:pPr>
              <w:ind w:left="20"/>
              <w:spacing w:after="0"/>
              <w:rPr>
                <w:sz w:val="20"/>
                <w:szCs w:val="20"/>
                <w:color w:val="auto"/>
              </w:rPr>
            </w:pPr>
            <w:r>
              <w:rPr>
                <w:rFonts w:ascii="Arial" w:cs="Arial" w:eastAsia="Arial" w:hAnsi="Arial"/>
                <w:sz w:val="16"/>
                <w:szCs w:val="16"/>
                <w:b w:val="1"/>
                <w:bCs w:val="1"/>
                <w:color w:val="auto"/>
              </w:rPr>
              <w:t>RSUs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89"/>
              </w:rPr>
              <w:t>Weighted average</w:t>
            </w: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No.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grant date fair</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No. of</w:t>
            </w:r>
          </w:p>
        </w:tc>
        <w:tc>
          <w:tcPr>
            <w:tcW w:w="1500" w:type="dxa"/>
            <w:vAlign w:val="bottom"/>
            <w:gridSpan w:val="4"/>
          </w:tcPr>
          <w:p>
            <w:pPr>
              <w:ind w:left="60"/>
              <w:spacing w:after="0"/>
              <w:rPr>
                <w:sz w:val="20"/>
                <w:szCs w:val="20"/>
                <w:color w:val="auto"/>
              </w:rPr>
            </w:pPr>
            <w:r>
              <w:rPr>
                <w:rFonts w:ascii="Arial" w:cs="Arial" w:eastAsia="Arial" w:hAnsi="Arial"/>
                <w:sz w:val="16"/>
                <w:szCs w:val="16"/>
                <w:b w:val="1"/>
                <w:bCs w:val="1"/>
                <w:color w:val="auto"/>
              </w:rPr>
              <w:t>Weighted average</w:t>
            </w:r>
          </w:p>
        </w:tc>
        <w:tc>
          <w:tcPr>
            <w:tcW w:w="1080" w:type="dxa"/>
            <w:vAlign w:val="bottom"/>
            <w:gridSpan w:val="4"/>
          </w:tcPr>
          <w:p>
            <w:pPr>
              <w:spacing w:after="0"/>
              <w:rPr>
                <w:sz w:val="20"/>
                <w:szCs w:val="20"/>
                <w:color w:val="auto"/>
              </w:rPr>
            </w:pPr>
            <w:r>
              <w:rPr>
                <w:rFonts w:ascii="Arial" w:cs="Arial" w:eastAsia="Arial" w:hAnsi="Arial"/>
                <w:sz w:val="16"/>
                <w:szCs w:val="16"/>
                <w:b w:val="1"/>
                <w:bCs w:val="1"/>
                <w:color w:val="auto"/>
                <w:w w:val="97"/>
              </w:rPr>
              <w:t>Exercise price</w:t>
            </w:r>
          </w:p>
        </w:tc>
        <w:tc>
          <w:tcPr>
            <w:tcW w:w="10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value</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range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202"/>
        </w:trPr>
        <w:tc>
          <w:tcPr>
            <w:tcW w:w="3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Outstanding at January 1, 2012</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FFCC"/>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41,178</w:t>
            </w: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0.99</w:t>
            </w:r>
          </w:p>
        </w:tc>
        <w:tc>
          <w:tcPr>
            <w:tcW w:w="2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0.99</w:t>
            </w: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Assumed at the Merger</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4,391,170</w:t>
            </w:r>
          </w:p>
        </w:tc>
        <w:tc>
          <w:tcPr>
            <w:tcW w:w="14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0.01 – $</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5.50</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3"/>
        </w:trPr>
        <w:tc>
          <w:tcPr>
            <w:tcW w:w="3900" w:type="dxa"/>
            <w:vAlign w:val="bottom"/>
            <w:shd w:val="clear" w:color="auto" w:fill="CCFFCC"/>
          </w:tcPr>
          <w:p>
            <w:pPr>
              <w:spacing w:after="0"/>
              <w:rPr>
                <w:sz w:val="20"/>
                <w:szCs w:val="20"/>
                <w:color w:val="auto"/>
              </w:rPr>
            </w:pPr>
            <w:r>
              <w:rPr>
                <w:rFonts w:ascii="Arial" w:cs="Arial" w:eastAsia="Arial" w:hAnsi="Arial"/>
                <w:sz w:val="16"/>
                <w:szCs w:val="16"/>
                <w:color w:val="auto"/>
              </w:rPr>
              <w:t>Granted following the Merger</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3,140,000</w:t>
            </w:r>
          </w:p>
        </w:tc>
        <w:tc>
          <w:tcPr>
            <w:tcW w:w="80" w:type="dxa"/>
            <w:vAlign w:val="bottom"/>
            <w:shd w:val="clear" w:color="auto" w:fill="CCFFCC"/>
          </w:tcPr>
          <w:p>
            <w:pPr>
              <w:spacing w:after="0"/>
              <w:rPr>
                <w:sz w:val="17"/>
                <w:szCs w:val="17"/>
                <w:color w:val="auto"/>
              </w:rPr>
            </w:pP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3.72</w:t>
            </w: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5,500,000</w:t>
            </w:r>
          </w:p>
        </w:tc>
        <w:tc>
          <w:tcPr>
            <w:tcW w:w="140" w:type="dxa"/>
            <w:vAlign w:val="bottom"/>
            <w:shd w:val="clear" w:color="auto" w:fill="CCFFCC"/>
          </w:tcPr>
          <w:p>
            <w:pPr>
              <w:spacing w:after="0"/>
              <w:rPr>
                <w:sz w:val="17"/>
                <w:szCs w:val="17"/>
                <w:color w:val="auto"/>
              </w:rPr>
            </w:pP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FFC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3"/>
              </w:rPr>
              <w:t>3.44 – $</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5.25</w:t>
            </w:r>
          </w:p>
        </w:tc>
        <w:tc>
          <w:tcPr>
            <w:tcW w:w="40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Exercised</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(15,000)</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3.72</w:t>
            </w: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(711,346)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0.01 – $</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3.44</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3"/>
        </w:trPr>
        <w:tc>
          <w:tcPr>
            <w:tcW w:w="3900" w:type="dxa"/>
            <w:vAlign w:val="bottom"/>
            <w:shd w:val="clear" w:color="auto" w:fill="CCFFCC"/>
          </w:tcPr>
          <w:p>
            <w:pPr>
              <w:spacing w:after="0"/>
              <w:rPr>
                <w:sz w:val="20"/>
                <w:szCs w:val="20"/>
                <w:color w:val="auto"/>
              </w:rPr>
            </w:pPr>
            <w:r>
              <w:rPr>
                <w:rFonts w:ascii="Arial" w:cs="Arial" w:eastAsia="Arial" w:hAnsi="Arial"/>
                <w:sz w:val="16"/>
                <w:szCs w:val="16"/>
                <w:color w:val="auto"/>
              </w:rPr>
              <w:t>Expired</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(18,897)</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FFC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3"/>
              </w:rPr>
              <w:t>4.50 – $</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89"/>
              </w:rPr>
              <w:t>5.50</w:t>
            </w:r>
          </w:p>
        </w:tc>
        <w:tc>
          <w:tcPr>
            <w:tcW w:w="40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color w:val="auto"/>
              </w:rPr>
              <w:t>Forfeited</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(53,000)</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 xml:space="preserve">0.01 – </w:t>
            </w:r>
            <w:r>
              <w:rPr>
                <w:rFonts w:ascii="Arial" w:cs="Arial" w:eastAsia="Arial" w:hAnsi="Arial"/>
                <w:sz w:val="16"/>
                <w:szCs w:val="16"/>
                <w:u w:val="single" w:color="auto"/>
                <w:color w:val="auto"/>
                <w:w w:val="93"/>
              </w:rPr>
              <w:t>$</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0.96</w:t>
            </w: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39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Outstanding at December 31, 2012</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3,125,000</w:t>
            </w: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3.72</w:t>
            </w: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9,149,105</w:t>
            </w:r>
          </w:p>
        </w:tc>
        <w:tc>
          <w:tcPr>
            <w:tcW w:w="14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3.33</w:t>
            </w:r>
          </w:p>
        </w:tc>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3"/>
              </w:rPr>
              <w:t xml:space="preserve">0.01 – </w:t>
            </w:r>
            <w:r>
              <w:rPr>
                <w:rFonts w:ascii="Arial" w:cs="Arial" w:eastAsia="Arial" w:hAnsi="Arial"/>
                <w:sz w:val="16"/>
                <w:szCs w:val="16"/>
                <w:u w:val="single" w:color="auto"/>
                <w:color w:val="auto"/>
                <w:w w:val="93"/>
              </w:rPr>
              <w:t>$</w:t>
            </w: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5.50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Exercisable at December 31, 2012</w:t>
            </w: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vMerge w:val="continue"/>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4,246,116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r>
              <w:rPr>
                <w:rFonts w:ascii="Arial" w:cs="Arial" w:eastAsia="Arial" w:hAnsi="Arial"/>
                <w:sz w:val="16"/>
                <w:szCs w:val="16"/>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6"/>
                <w:szCs w:val="16"/>
                <w:u w:val="single" w:color="auto"/>
                <w:color w:val="auto"/>
                <w:w w:val="93"/>
              </w:rPr>
              <w:t>0.01 – $</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u w:val="single" w:color="auto"/>
                <w:color w:val="auto"/>
                <w:w w:val="89"/>
              </w:rPr>
              <w:t>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3810</wp:posOffset>
            </wp:positionV>
            <wp:extent cx="3035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Fair value calculated as of Merger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-130175</wp:posOffset>
            </wp:positionV>
            <wp:extent cx="37820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4"/>
              </w:rPr>
              <w:t>Non vested options: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ind w:left="520"/>
              <w:spacing w:after="0"/>
              <w:rPr>
                <w:sz w:val="20"/>
                <w:szCs w:val="20"/>
                <w:color w:val="auto"/>
              </w:rPr>
            </w:pPr>
            <w:r>
              <w:rPr>
                <w:rFonts w:ascii="Arial" w:cs="Arial" w:eastAsia="Arial" w:hAnsi="Arial"/>
                <w:sz w:val="18"/>
                <w:szCs w:val="18"/>
                <w:b w:val="1"/>
                <w:bCs w:val="1"/>
                <w:color w:val="auto"/>
              </w:rPr>
              <w:t>Non vested RSUs:</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86"/>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grant date fair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No. of options</w:t>
            </w:r>
          </w:p>
        </w:tc>
        <w:tc>
          <w:tcPr>
            <w:tcW w:w="980" w:type="dxa"/>
            <w:vAlign w:val="bottom"/>
          </w:tcPr>
          <w:p>
            <w:pPr>
              <w:jc w:val="center"/>
              <w:ind w:left="330"/>
              <w:spacing w:after="0"/>
              <w:rPr>
                <w:sz w:val="20"/>
                <w:szCs w:val="20"/>
                <w:color w:val="auto"/>
              </w:rPr>
            </w:pPr>
            <w:r>
              <w:rPr>
                <w:rFonts w:ascii="Arial" w:cs="Arial" w:eastAsia="Arial" w:hAnsi="Arial"/>
                <w:sz w:val="18"/>
                <w:szCs w:val="18"/>
                <w:b w:val="1"/>
                <w:bCs w:val="1"/>
                <w:color w:val="auto"/>
                <w:w w:val="86"/>
              </w:rPr>
              <w:t>value</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No. of RSU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January 1, 2012</w:t>
            </w:r>
          </w:p>
        </w:tc>
        <w:tc>
          <w:tcPr>
            <w:tcW w:w="66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Assumed at the Merger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1,667,775</w:t>
            </w:r>
          </w:p>
        </w:tc>
        <w:tc>
          <w:tcPr>
            <w:tcW w:w="1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Granted following the Merger</w:t>
            </w:r>
          </w:p>
        </w:tc>
        <w:tc>
          <w:tcPr>
            <w:tcW w:w="1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5,500,000</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2.63</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3,140,000</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Vested</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(2,211,786)</w:t>
            </w: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(53,000)</w:t>
            </w:r>
          </w:p>
        </w:tc>
        <w:tc>
          <w:tcPr>
            <w:tcW w:w="9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Balance at December 31, 2012</w:t>
            </w:r>
          </w:p>
        </w:tc>
        <w:tc>
          <w:tcPr>
            <w:tcW w:w="6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4,902,989</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660"/>
              <w:spacing w:after="0"/>
              <w:rPr>
                <w:sz w:val="20"/>
                <w:szCs w:val="20"/>
                <w:color w:val="auto"/>
              </w:rPr>
            </w:pPr>
            <w:r>
              <w:rPr>
                <w:rFonts w:ascii="Arial" w:cs="Arial" w:eastAsia="Arial" w:hAnsi="Arial"/>
                <w:sz w:val="18"/>
                <w:szCs w:val="18"/>
                <w:color w:val="auto"/>
              </w:rPr>
              <w:t>* Fair value calculated as of Merger date.</w:t>
            </w:r>
          </w:p>
        </w:tc>
        <w:tc>
          <w:tcPr>
            <w:tcW w:w="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Weighted average remaining</w:t>
            </w:r>
          </w:p>
        </w:tc>
      </w:tr>
      <w:tr>
        <w:trPr>
          <w:trHeight w:val="234"/>
        </w:trPr>
        <w:tc>
          <w:tcPr>
            <w:tcW w:w="380" w:type="dxa"/>
            <w:vAlign w:val="bottom"/>
          </w:tcPr>
          <w:p>
            <w:pPr>
              <w:spacing w:after="0"/>
              <w:rPr>
                <w:sz w:val="20"/>
                <w:szCs w:val="20"/>
                <w:color w:val="auto"/>
              </w:rPr>
            </w:pPr>
          </w:p>
        </w:tc>
        <w:tc>
          <w:tcPr>
            <w:tcW w:w="22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2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No. options outstanding</w:t>
            </w:r>
          </w:p>
        </w:tc>
        <w:tc>
          <w:tcPr>
            <w:tcW w:w="2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No. options exercisable</w:t>
            </w:r>
          </w:p>
        </w:tc>
        <w:tc>
          <w:tcPr>
            <w:tcW w:w="23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contractual life (years)</w:t>
            </w:r>
          </w:p>
        </w:tc>
      </w:tr>
      <w:tr>
        <w:trPr>
          <w:trHeight w:val="210"/>
        </w:trPr>
        <w:tc>
          <w:tcPr>
            <w:tcW w:w="380" w:type="dxa"/>
            <w:vAlign w:val="bottom"/>
            <w:tcBorders>
              <w:top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0.01-1.00</w:t>
            </w:r>
          </w:p>
        </w:tc>
        <w:tc>
          <w:tcPr>
            <w:tcW w:w="220" w:type="dxa"/>
            <w:vAlign w:val="bottom"/>
            <w:tcBorders>
              <w:top w:val="single" w:sz="8" w:color="CCFFCC"/>
            </w:tcBorders>
            <w:shd w:val="clear" w:color="auto" w:fill="CCFFCC"/>
          </w:tcPr>
          <w:p>
            <w:pPr>
              <w:spacing w:after="0"/>
              <w:rPr>
                <w:sz w:val="18"/>
                <w:szCs w:val="18"/>
                <w:color w:val="auto"/>
              </w:rPr>
            </w:pPr>
          </w:p>
        </w:tc>
        <w:tc>
          <w:tcPr>
            <w:tcW w:w="2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675,415</w:t>
            </w:r>
          </w:p>
        </w:tc>
        <w:tc>
          <w:tcPr>
            <w:tcW w:w="200" w:type="dxa"/>
            <w:vAlign w:val="bottom"/>
            <w:tcBorders>
              <w:top w:val="single" w:sz="8" w:color="CCFFCC"/>
            </w:tcBorders>
            <w:shd w:val="clear" w:color="auto" w:fill="CCFFCC"/>
          </w:tcPr>
          <w:p>
            <w:pPr>
              <w:spacing w:after="0"/>
              <w:rPr>
                <w:sz w:val="18"/>
                <w:szCs w:val="18"/>
                <w:color w:val="auto"/>
              </w:rPr>
            </w:pPr>
          </w:p>
        </w:tc>
        <w:tc>
          <w:tcPr>
            <w:tcW w:w="2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627,228</w:t>
            </w:r>
          </w:p>
        </w:tc>
        <w:tc>
          <w:tcPr>
            <w:tcW w:w="200" w:type="dxa"/>
            <w:vAlign w:val="bottom"/>
            <w:tcBorders>
              <w:top w:val="single" w:sz="8" w:color="CCFFCC"/>
            </w:tcBorders>
            <w:shd w:val="clear" w:color="auto" w:fill="CCFFCC"/>
          </w:tcPr>
          <w:p>
            <w:pPr>
              <w:spacing w:after="0"/>
              <w:rPr>
                <w:sz w:val="18"/>
                <w:szCs w:val="18"/>
                <w:color w:val="auto"/>
              </w:rPr>
            </w:pPr>
          </w:p>
        </w:tc>
        <w:tc>
          <w:tcPr>
            <w:tcW w:w="2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1.01-2.00</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1,663,761</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1,481,261</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r>
      <w:tr>
        <w:trPr>
          <w:trHeight w:val="216"/>
        </w:trPr>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2.01-3.00</w:t>
            </w:r>
          </w:p>
        </w:tc>
        <w:tc>
          <w:tcPr>
            <w:tcW w:w="2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41,927</w:t>
            </w:r>
          </w:p>
        </w:tc>
        <w:tc>
          <w:tcPr>
            <w:tcW w:w="2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41,927</w:t>
            </w:r>
          </w:p>
        </w:tc>
        <w:tc>
          <w:tcPr>
            <w:tcW w:w="2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3.01-4.00</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5,550,167</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932,500</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r>
      <w:tr>
        <w:trPr>
          <w:trHeight w:val="216"/>
        </w:trPr>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4.01-5.00</w:t>
            </w:r>
          </w:p>
        </w:tc>
        <w:tc>
          <w:tcPr>
            <w:tcW w:w="2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39,335</w:t>
            </w:r>
          </w:p>
        </w:tc>
        <w:tc>
          <w:tcPr>
            <w:tcW w:w="2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39,335</w:t>
            </w:r>
          </w:p>
        </w:tc>
        <w:tc>
          <w:tcPr>
            <w:tcW w:w="2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1.28</w:t>
            </w: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5.04-6.00</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1,178,500</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1,123,865</w:t>
            </w: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r>
      <w:tr>
        <w:trPr>
          <w:trHeight w:val="223"/>
        </w:trPr>
        <w:tc>
          <w:tcPr>
            <w:tcW w:w="380" w:type="dxa"/>
            <w:vAlign w:val="bottom"/>
            <w:tcBorders>
              <w:top w:val="single" w:sz="8" w:color="CCFFCC"/>
              <w:bottom w:val="single" w:sz="8" w:color="CCFFCC"/>
            </w:tcBorders>
            <w:shd w:val="clear" w:color="auto" w:fill="CCFFCC"/>
          </w:tcPr>
          <w:p>
            <w:pPr>
              <w:spacing w:after="0"/>
              <w:rPr>
                <w:sz w:val="19"/>
                <w:szCs w:val="19"/>
                <w:color w:val="auto"/>
              </w:rPr>
            </w:pPr>
          </w:p>
        </w:tc>
        <w:tc>
          <w:tcPr>
            <w:tcW w:w="19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9,149,105</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4,246,116</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2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2012, the total aggregate intrinsic value of options outstanding and options exercisable was $3,548 and $3,200, respectively. The total aggregate intrinsic value of options exercised was $2,417. As of December 31, 2011, the total aggregate intrinsic value of both the options outstanding and options exercisable was $0 and no options were exercised. The total fair value of stock options that vested in the year ended December 31, 2012, the period from Inception through December 31, 2011 and cumulative from Inception until December 31, 2012 amounts to $5,927, $25 and $5,952 respectively.</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there was approximately $21,751 of total unrecognized share-based payment cost related to non-vested options, shares and RSUs, granted under the incentive stock option plans. Overall, the cost is expected to be recognized, on a straight line basis, over a 4 year period, or over a weighted average of 1.9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12"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 (cont'd)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create tax benefits related to its stock-based compensation due to full valuation allowance in the 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year ended December 31, 2012:</w:t>
      </w:r>
    </w:p>
    <w:p>
      <w:pPr>
        <w:sectPr>
          <w:pgSz w:w="11900" w:h="16838" w:orient="portrait"/>
          <w:cols w:equalWidth="0" w:num="1">
            <w:col w:w="11420"/>
          </w:cols>
          <w:pgMar w:left="240" w:top="877" w:right="239" w:bottom="10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2012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Recorded pursuant to the Merger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of October 2012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Exercised during the year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2012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No. of warrants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price range</w:t>
            </w:r>
          </w:p>
        </w:tc>
      </w:tr>
      <w:tr>
        <w:trPr>
          <w:trHeight w:val="19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6"/>
                <w:szCs w:val="16"/>
                <w:color w:val="auto"/>
              </w:rPr>
            </w:pPr>
          </w:p>
        </w:tc>
        <w:tc>
          <w:tcPr>
            <w:tcW w:w="1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22,695,411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$0.94 – $5.06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rPr>
              <w:t>(e)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3,000,000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(7,082,150)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 – $1.76</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18,863,261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 – $5.06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-745490</wp:posOffset>
            </wp:positionV>
            <wp:extent cx="651764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-462280</wp:posOffset>
            </wp:positionV>
            <wp:extent cx="651764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-179705</wp:posOffset>
            </wp:positionV>
            <wp:extent cx="651764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720"/>
            <w:col w:w="6200"/>
          </w:cols>
          <w:pgMar w:left="240" w:top="877" w:right="239" w:bottom="1045"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warrants consisted of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I/P Warrants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August 30, 2011, I/P issued 250,000 warrants to purchase 250,000 shares of common stock of I/P, at an exercise price of $1.00 and a contractual life of 5 years (the “I/P Warrants”). On July 12, 2012, prior to the Merger, I/P Warrants were exercised in full; as a result, 754,400 shares of the Legal Parent’s common stock shares were issued to the warrant holders upon Merger.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Series 1 and Series 2 Warrants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part of the Merger, on July 19, 2012, the Legal Parent issued to I/P’s stockholders 8,299,116 warrants at an exercise price of $1.76 per share and contractual term of 5 years (“Series 1 Warrant”). These warrants bear down-round protection clauses and as a result, they were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 Following the Merger and through December 31, 2012, 4,655,099 Series 1 Warrants and 1,280,870 Series 2 Warrants were exercised.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 Conversion Warrants, Special Bridge Warrants and Reload Warrants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July 19, 2012, the date of the Merger, Legal Parent’s outstanding warrants included: (i) 148,390 Special Bridge Warrants, at an exercise price of $0.94 per share, with a remaining contractual term of 2.44 years; (ii) 101,445 Conversion Warrants, at an exercise price of $0.94 per share, with a remaining contractual term of 2.44 years; (iii) 887,330 Preferential Reload Warrants, at an exercise price of $1.76 per share, with a remaining contractual term of 4.55 years; and (iv) 814,408 non-Preferential Reload Warrants, at an exercise price of $1.76 per share, with a remaining contractual term of 4.55 years. Following the Merger and through December 31, 2012, 169,520 non-Preferential Reload Warrants and 726,721 Preferential Reload Warrants were exercised.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 Initial Public Offering Warrants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completion of its initial public offering, the Legal Parent issued 4,784,000 warrants at an exercise price of $5.06 per share. These warrants are publicly traded and are exercisable until June 21, 2015, at an exercise price of $5.06 per share. As of December 31, 2012, all of these warrants were outstanding and classified as equity.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 October 2012 Warrants</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Fair value of warrants issued in exchange for the exercise of the Company’s derivative warrants was accounted for as an inducement, therefore an amount of $2,883, was recorded as a non-operating expense.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045"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11 – Income Taxes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60" w:type="dxa"/>
            <w:vAlign w:val="bottom"/>
          </w:tcPr>
          <w:p>
            <w:pPr>
              <w:ind w:left="660"/>
              <w:spacing w:after="0"/>
              <w:rPr>
                <w:sz w:val="20"/>
                <w:szCs w:val="20"/>
                <w:color w:val="auto"/>
              </w:rPr>
            </w:pPr>
            <w:r>
              <w:rPr>
                <w:rFonts w:ascii="Arial" w:cs="Arial" w:eastAsia="Arial" w:hAnsi="Arial"/>
                <w:sz w:val="18"/>
                <w:szCs w:val="18"/>
                <w:color w:val="auto"/>
              </w:rPr>
              <w:t>The components of loss before income taxes:</w:t>
            </w:r>
          </w:p>
        </w:tc>
        <w:tc>
          <w:tcPr>
            <w:tcW w:w="16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For the year</w:t>
            </w: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For the period from</w:t>
            </w:r>
          </w:p>
        </w:tc>
        <w:tc>
          <w:tcPr>
            <w:tcW w:w="19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ended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Inception through</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from Inception through</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December 31, 2012</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 2011</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December 31, 2012</w:t>
            </w:r>
          </w:p>
        </w:tc>
        <w:tc>
          <w:tcPr>
            <w:tcW w:w="0" w:type="dxa"/>
            <w:vAlign w:val="bottom"/>
          </w:tcPr>
          <w:p>
            <w:pPr>
              <w:spacing w:after="0"/>
              <w:rPr>
                <w:sz w:val="1"/>
                <w:szCs w:val="1"/>
                <w:color w:val="auto"/>
              </w:rPr>
            </w:pPr>
          </w:p>
        </w:tc>
      </w:tr>
      <w:tr>
        <w:trPr>
          <w:trHeight w:val="210"/>
        </w:trPr>
        <w:tc>
          <w:tcPr>
            <w:tcW w:w="6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(20,394)</w:t>
            </w:r>
          </w:p>
        </w:tc>
        <w:tc>
          <w:tcPr>
            <w:tcW w:w="22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(23,148)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Non-U.S.</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6060" w:type="dxa"/>
            <w:vAlign w:val="bottom"/>
            <w:tcBorders>
              <w:top w:val="single" w:sz="8" w:color="CCFFCC"/>
              <w:bottom w:val="single" w:sz="8" w:color="CCFFCC"/>
            </w:tcBorders>
            <w:shd w:val="clear" w:color="auto" w:fill="CCFFCC"/>
          </w:tcPr>
          <w:p>
            <w:pPr>
              <w:spacing w:after="0"/>
              <w:rPr>
                <w:sz w:val="19"/>
                <w:szCs w:val="19"/>
                <w:color w:val="auto"/>
              </w:rPr>
            </w:pP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(20,786</w:t>
            </w:r>
          </w:p>
        </w:tc>
        <w:tc>
          <w:tcPr>
            <w:tcW w:w="220" w:type="dxa"/>
            <w:vAlign w:val="bottom"/>
            <w:tcBorders>
              <w:top w:val="single" w:sz="8" w:color="CCFFCC"/>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top w:val="single" w:sz="8" w:color="CCFFCC"/>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For the year</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 from</w:t>
            </w:r>
          </w:p>
        </w:tc>
        <w:tc>
          <w:tcPr>
            <w:tcW w:w="22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ended</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through</w:t>
            </w:r>
          </w:p>
        </w:tc>
        <w:tc>
          <w:tcPr>
            <w:tcW w:w="22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 2012</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2011</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through December 31, 2012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Borders>
              <w:top w:val="single" w:sz="8" w:color="CCFFCC"/>
            </w:tcBorders>
            <w:gridSpan w:val="3"/>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U.S.</w:t>
            </w:r>
          </w:p>
        </w:tc>
        <w:tc>
          <w:tcPr>
            <w:tcW w:w="1440" w:type="dxa"/>
            <w:vAlign w:val="bottom"/>
            <w:tcBorders>
              <w:top w:val="single" w:sz="8" w:color="auto"/>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1520" w:type="dxa"/>
            <w:vAlign w:val="bottom"/>
            <w:tcBorders>
              <w:top w:val="single" w:sz="8" w:color="auto"/>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2120" w:type="dxa"/>
            <w:vAlign w:val="bottom"/>
            <w:tcBorders>
              <w:top w:val="single" w:sz="8" w:color="auto"/>
            </w:tcBorders>
            <w:shd w:val="clear" w:color="auto" w:fill="CCFFCC"/>
          </w:tcPr>
          <w:p>
            <w:pPr>
              <w:spacing w:after="0"/>
              <w:rPr>
                <w:sz w:val="14"/>
                <w:szCs w:val="14"/>
                <w:color w:val="auto"/>
              </w:rPr>
            </w:pPr>
          </w:p>
        </w:tc>
        <w:tc>
          <w:tcPr>
            <w:tcW w:w="2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1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FFCC"/>
          </w:tcPr>
          <w:p>
            <w:pPr>
              <w:ind w:left="134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Non-U.S</w:t>
            </w:r>
          </w:p>
        </w:tc>
        <w:tc>
          <w:tcPr>
            <w:tcW w:w="1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w:t>
            </w:r>
          </w:p>
        </w:tc>
        <w:tc>
          <w:tcPr>
            <w:tcW w:w="5140" w:type="dxa"/>
            <w:vAlign w:val="bottom"/>
            <w:tcBorders>
              <w:top w:val="single" w:sz="8" w:color="CCFFCC"/>
            </w:tcBorders>
          </w:tcPr>
          <w:p>
            <w:pPr>
              <w:spacing w:after="0"/>
              <w:rPr>
                <w:sz w:val="18"/>
                <w:szCs w:val="18"/>
                <w:color w:val="auto"/>
              </w:rPr>
            </w:pPr>
          </w:p>
        </w:tc>
        <w:tc>
          <w:tcPr>
            <w:tcW w:w="166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(104)</w:t>
            </w:r>
          </w:p>
        </w:tc>
        <w:tc>
          <w:tcPr>
            <w:tcW w:w="1740" w:type="dxa"/>
            <w:vAlign w:val="bottom"/>
            <w:tcBorders>
              <w:top w:val="single" w:sz="8" w:color="CCFFCC"/>
            </w:tcBorders>
            <w:gridSpan w:val="2"/>
          </w:tcPr>
          <w:p>
            <w:pPr>
              <w:ind w:left="1340"/>
              <w:spacing w:after="0"/>
              <w:rPr>
                <w:sz w:val="20"/>
                <w:szCs w:val="20"/>
                <w:color w:val="auto"/>
              </w:rPr>
            </w:pPr>
            <w:r>
              <w:rPr>
                <w:rFonts w:ascii="Arial" w:cs="Arial" w:eastAsia="Arial" w:hAnsi="Arial"/>
                <w:sz w:val="18"/>
                <w:szCs w:val="18"/>
                <w:color w:val="auto"/>
              </w:rPr>
              <w:t>—</w:t>
            </w:r>
          </w:p>
        </w:tc>
        <w:tc>
          <w:tcPr>
            <w:tcW w:w="2220" w:type="dxa"/>
            <w:vAlign w:val="bottom"/>
            <w:tcBorders>
              <w:top w:val="single" w:sz="8" w:color="CCFFCC"/>
            </w:tcBorders>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FFCC"/>
          </w:tcPr>
          <w:p>
            <w:pPr>
              <w:spacing w:after="0"/>
              <w:rPr>
                <w:sz w:val="19"/>
                <w:szCs w:val="19"/>
                <w:color w:val="auto"/>
              </w:rPr>
            </w:pPr>
          </w:p>
        </w:tc>
        <w:tc>
          <w:tcPr>
            <w:tcW w:w="1740" w:type="dxa"/>
            <w:vAlign w:val="bottom"/>
            <w:gridSpan w:val="2"/>
            <w:shd w:val="clear" w:color="auto" w:fill="CCFFCC"/>
          </w:tcPr>
          <w:p>
            <w:pPr>
              <w:ind w:left="13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current income tax expense recorded for the year ended December 31, 2012, the period from Inception through December 31, 2011 and the cumulative period from Inception through December 31, 2012 was $112, $0 and $112, respectively. The total deferred income tax benefit recorded in the year ended December 31, 2012, the period from Inception through December 31, 2011 and the cumulative period from Inception through December 31, 2012 was $57, $0 and $57, respectively.</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Income tax expense for the year ended December 31, 2012 and for the period from Inception through December 31, 2011 and for the cumulative period from Inception through December 31, 2012, differed from the amounts computed by applying the U.S. federal rate of 35%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For the year</w:t>
            </w: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For the period from</w:t>
            </w:r>
          </w:p>
        </w:tc>
        <w:tc>
          <w:tcPr>
            <w:tcW w:w="6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 through</w:t>
            </w:r>
          </w:p>
        </w:tc>
        <w:tc>
          <w:tcPr>
            <w:tcW w:w="6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December 31, 2012</w:t>
            </w:r>
          </w:p>
        </w:tc>
        <w:tc>
          <w:tcPr>
            <w:tcW w:w="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2011</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(20,786)</w:t>
            </w: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(23,540)</w:t>
            </w: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Tax rate</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13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color w:val="auto"/>
              </w:rPr>
              <w:t>7,275</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964</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Foreign tax rate differential</w:t>
            </w:r>
          </w:p>
        </w:tc>
        <w:tc>
          <w:tcPr>
            <w:tcW w:w="2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(8,432)</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(1,231)</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2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State and local income tax, net of federal income tax expense</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color w:val="auto"/>
              </w:rPr>
              <w:t>1,326</w:t>
            </w:r>
          </w:p>
        </w:tc>
        <w:tc>
          <w:tcPr>
            <w:tcW w:w="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Other items</w:t>
            </w:r>
          </w:p>
        </w:tc>
        <w:tc>
          <w:tcPr>
            <w:tcW w:w="29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w:t>
            </w:r>
          </w:p>
        </w:tc>
        <w:tc>
          <w:tcPr>
            <w:tcW w:w="18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267</w:t>
            </w:r>
          </w:p>
        </w:tc>
        <w:tc>
          <w:tcPr>
            <w:tcW w:w="16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FFCC"/>
          </w:tcPr>
          <w:p>
            <w:pPr>
              <w:spacing w:after="0"/>
              <w:rPr>
                <w:sz w:val="21"/>
                <w:szCs w:val="21"/>
                <w:color w:val="auto"/>
              </w:rPr>
            </w:pP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2080"/>
              <w:spacing w:after="0"/>
              <w:rPr>
                <w:sz w:val="20"/>
                <w:szCs w:val="20"/>
                <w:color w:val="auto"/>
              </w:rPr>
            </w:pPr>
            <w:r>
              <w:rPr>
                <w:rFonts w:ascii="Arial" w:cs="Arial" w:eastAsia="Arial" w:hAnsi="Arial"/>
                <w:sz w:val="18"/>
                <w:szCs w:val="18"/>
                <w:color w:val="auto"/>
              </w:rPr>
              <w:t>F-23</w:t>
            </w: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Note 11 – Income Taxes – (cont'd)</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60" w:type="dxa"/>
            <w:vAlign w:val="bottom"/>
          </w:tcPr>
          <w:p>
            <w:pPr>
              <w:ind w:left="660"/>
              <w:spacing w:after="0"/>
              <w:rPr>
                <w:sz w:val="20"/>
                <w:szCs w:val="20"/>
                <w:color w:val="auto"/>
              </w:rPr>
            </w:pPr>
            <w:r>
              <w:rPr>
                <w:rFonts w:ascii="Arial" w:cs="Arial" w:eastAsia="Arial" w:hAnsi="Arial"/>
                <w:sz w:val="18"/>
                <w:szCs w:val="18"/>
                <w:color w:val="auto"/>
                <w:w w:val="96"/>
              </w:rPr>
              <w:t>These deferred tax assets (liabilities) arise from the following types of temporary differences:</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year</w:t>
            </w:r>
          </w:p>
        </w:tc>
        <w:tc>
          <w:tcPr>
            <w:tcW w:w="1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Inception through</w:t>
            </w: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9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0"/>
              </w:rPr>
              <w:t>December 31, 2012</w:t>
            </w:r>
          </w:p>
        </w:tc>
        <w:tc>
          <w:tcPr>
            <w:tcW w:w="8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 2011</w:t>
            </w:r>
          </w:p>
        </w:tc>
      </w:tr>
      <w:tr>
        <w:trPr>
          <w:trHeight w:val="210"/>
        </w:trPr>
        <w:tc>
          <w:tcPr>
            <w:tcW w:w="776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Acquired patents (see also Note 5)</w:t>
            </w:r>
          </w:p>
        </w:tc>
        <w:tc>
          <w:tcPr>
            <w:tcW w:w="3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Arial" w:cs="Arial" w:eastAsia="Arial" w:hAnsi="Arial"/>
                <w:sz w:val="18"/>
                <w:szCs w:val="18"/>
                <w:color w:val="auto"/>
              </w:rPr>
              <w:t>Liability for accrued employee vacation and severance pay</w:t>
            </w:r>
          </w:p>
        </w:tc>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tax asset for stock based compensation</w:t>
            </w:r>
          </w:p>
        </w:tc>
        <w:tc>
          <w:tcPr>
            <w:tcW w:w="1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4,590</w:t>
            </w:r>
          </w:p>
        </w:tc>
        <w:tc>
          <w:tcPr>
            <w:tcW w:w="8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160"/>
              <w:spacing w:after="0"/>
              <w:rPr>
                <w:sz w:val="20"/>
                <w:szCs w:val="20"/>
                <w:color w:val="auto"/>
              </w:rPr>
            </w:pPr>
            <w:r>
              <w:rPr>
                <w:rFonts w:ascii="Arial" w:cs="Arial" w:eastAsia="Arial" w:hAnsi="Arial"/>
                <w:sz w:val="18"/>
                <w:szCs w:val="18"/>
                <w:color w:val="auto"/>
              </w:rPr>
              <w:t>NOL</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23,127</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1,231</w:t>
            </w:r>
          </w:p>
        </w:tc>
      </w:tr>
      <w:tr>
        <w:trPr>
          <w:trHeight w:val="210"/>
        </w:trPr>
        <w:tc>
          <w:tcPr>
            <w:tcW w:w="776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28,182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Less:</w:t>
            </w:r>
          </w:p>
        </w:tc>
        <w:tc>
          <w:tcPr>
            <w:tcW w:w="3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940" w:type="dxa"/>
            <w:vAlign w:val="bottom"/>
            <w:gridSpan w:val="3"/>
          </w:tcPr>
          <w:p>
            <w:pPr>
              <w:jc w:val="right"/>
              <w:ind w:right="80"/>
              <w:spacing w:after="0"/>
              <w:rPr>
                <w:sz w:val="20"/>
                <w:szCs w:val="20"/>
                <w:color w:val="auto"/>
              </w:rPr>
            </w:pPr>
            <w:r>
              <w:rPr>
                <w:rFonts w:ascii="Arial" w:cs="Arial" w:eastAsia="Arial" w:hAnsi="Arial"/>
                <w:sz w:val="18"/>
                <w:szCs w:val="18"/>
                <w:color w:val="auto"/>
              </w:rPr>
              <w:t>(24,274)</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(1,231)</w:t>
            </w:r>
          </w:p>
        </w:tc>
      </w:tr>
      <w:tr>
        <w:trPr>
          <w:trHeight w:val="230"/>
        </w:trPr>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tax liability for acquired technology (see Note 8):</w:t>
            </w:r>
          </w:p>
        </w:tc>
        <w:tc>
          <w:tcPr>
            <w:tcW w:w="19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(3,889)</w:t>
            </w:r>
          </w:p>
        </w:tc>
        <w:tc>
          <w:tcPr>
            <w:tcW w:w="8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deferred tax assets</w:t>
            </w:r>
          </w:p>
        </w:tc>
        <w:tc>
          <w:tcPr>
            <w:tcW w:w="1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FFCC"/>
          </w:tcPr>
          <w:p>
            <w:pPr>
              <w:spacing w:after="0"/>
              <w:rPr>
                <w:sz w:val="21"/>
                <w:szCs w:val="21"/>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77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valuation allowance primarily relates to operating loss carryforwards ("NOL") that, in the judgment of management, are not more-likely-than-not to be realized. In assessing the realizability of deferred tax assets, management considers whether it is more-likely-than-not that some portion or all of the deferred tax assets will not be realized. The following table presents the changes to valuation allowance during the periods presented:</w:t>
      </w:r>
    </w:p>
    <w:p>
      <w:pPr>
        <w:sectPr>
          <w:pgSz w:w="11900" w:h="16838" w:orient="portrait"/>
          <w:cols w:equalWidth="0" w:num="1">
            <w:col w:w="11420"/>
          </w:cols>
          <w:pgMar w:left="240" w:top="877" w:right="239" w:bottom="667"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Inception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Charged to 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15759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5759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Charged to cost and expenses</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Acquisitions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5759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18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8578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4" w:lineRule="exact"/>
        <w:rPr>
          <w:sz w:val="20"/>
          <w:szCs w:val="20"/>
          <w:color w:val="auto"/>
        </w:rPr>
      </w:pPr>
    </w:p>
    <w:p>
      <w:pPr>
        <w:jc w:val="right"/>
        <w:ind w:right="1800"/>
        <w:spacing w:after="0"/>
        <w:rPr>
          <w:sz w:val="20"/>
          <w:szCs w:val="20"/>
          <w:color w:val="auto"/>
        </w:rPr>
      </w:pPr>
      <w:r>
        <w:rPr>
          <w:rFonts w:ascii="Arial" w:cs="Arial" w:eastAsia="Arial" w:hAnsi="Arial"/>
          <w:sz w:val="18"/>
          <w:szCs w:val="18"/>
          <w:b w:val="1"/>
          <w:bCs w:val="1"/>
          <w:color w:val="auto"/>
        </w:rPr>
        <w:t>1,231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10,803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29210</wp:posOffset>
            </wp:positionV>
            <wp:extent cx="8578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48895</wp:posOffset>
            </wp:positionV>
            <wp:extent cx="8578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300"/>
          </w:cols>
          <w:pgMar w:left="240" w:top="877" w:right="239" w:bottom="667"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As mentioned above, the NOLs amounts are presented before Internal Revenue Code, Section 382 limitations.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Israeli subsidiary has qualified as a "Beneficiary Enterprise" under the 2005 amendment to the Israeli Law for the Encouragement of Capital Investments, 1959 (the "Investment Law"). As a Beneficiary Enterprise, the Israeli subsidiary is entitled to receive future tax benefits which are limited to a period of seven years. The year in which a company elects to commence its tax benefits is designated as the year of election ("Year of Election"). The Israeli subsidiary has elected 2007 as its Year of Election and has received a two year tax holiday for profits accumulated in the years 2007-2008 and a reduced tax rate for the following five years. In 2011, the Israeli subsidiary irrevocably adopted an amendment to the Investment law, according to which the following uniform tax rates (applicable to the zone where the production facilities of the Israeli subsidiary are located) would apply: 15% in 2011 and 2012, 12.5% in 2013 and 2014, and 12% in 2015 and thereafter. As of the balance sheet date, the Israeli subsidiary believes that it is in compliance with the conditions of the Beneficiary Enterprise program. Income that is not derived from the Beneficiary Enterprise is subject to the regular corporate tax rate of 25% (as from 2012).</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2012, the Legal Parent and I/P have an aggregate total NOL for U.S. federal state and local purposes in the amount of approximately $55,728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the Company's initial public offering, financing activities, as well as the Merger with I/P (see also Note 8), may significantly limit the Legal Parent's ability to utilize such NOL and credit carryforwards, although the Company has not yet determined to what extent.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the Merger purchase price allocation, the Company recorded a deferred tax liability in connection with the acquired technology (see also Note 8). This deferred tax liability was offset by a deferred tax asset in the same amount. The deferred tax asset in respect of the remaining operating loss carryforwards, as well as the other deferred tax assets in the U.S., has been offset by a valuation allowance as in the opinion of the Company's management it is more likely than not that the operating loss carryforwards will not be utilized in the foreseeable future. No valuation allowance has been provided for the deferred tax assets of the Israeli subsidiary, since they are more likely than not to be realized.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files its tax returns in the U.S. federal jurisdiction, as well as in various state &amp; local jurisdictions. Vringo Inc has open tax assessments for the years 2009 through 2012. As of December 31, 2012, all tax assessments for I/P are still open. The Israeli subsidiary files its income tax returns in Israel. As of December 31, 2012, the Israeli subsidiary has open tax assessments for the years 2009 through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667"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 (cont'd)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have any material unrecognized tax benefits in 2012 and 2011. The Company does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6, 2012, the Company received a verdict in its case against AOL, Inc., Google, Inc., IAC Search &amp; Media, Inc., Gannett Company, Inc. and Target Corporation (collectively, "Defendants") with respect to the Defendants' infringement of the asserted claims of U.S. Patent Nos. 6,314,420 and 6,775,664 (collectively, the "Patents"). After finding that the asserted claims of the Patents were not invalid, and infringed by the Defendants,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as follows: Google: $15,800, AOL: $7,943, IAC: $6,650, Gannett: $4, Target: $99. After trial, I/P Engine and Defendants filed post-trial motions with the court. I/P Engine filed motions related to the issues of laches, damages, and post-judgment royalties, which is the one motion not fully briefed. The Defendants filed motions related to issues of non-infringement, invalidity and damages. The court has denied I/P Engine’s motion related to the issue of laches. The fully briefed motions are ripe for judicial determination. The court has indicated that after the currently-briefed motions are decided, the court may consider the issue of post-judgment royalties. According to certain scaled fee agreements, I/P Engine will pay between 15% and 20% of any recovery to professional service providers. In spite of the verdict, as of December 31, 2012, the Company did not record any revenue related to this litigation, as timing of collection, if any, or the amounts due to it, cannot be determined.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retains the services of law firms that specialize in intellectual property licensing, enforcement and patent law. These law firms are retained on an hourly fee, contingent fee, or blended fee basis. In a contingency fee arrangement, law firms are paid a scaled percentage of any negotiated fees, settlements or judgments awarded, based on how and when the fees, settlements or judgments are obtained. As of December 31, 2012, the Company did not recognize any income (nor contingent expense) related to this litigation, other than from the AOL settlement.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8, 2012, the Company’s subsidiary filed a patent infringement lawsuit against a subsidiary of ZTE Corporation in the United Kingdom. Should the Company be deemed the losing party in any of its applications to the court in the UK, it may be held responsible for a substantial percentage of the defendant’s legal fees for the relevant application or for the litigation. As a result, the Company placed a guarantee to ensure the payment of a potential liability, which the defendants estimated to be approximately $2,900. However, should the Company be successful on any court applications or the entire litigation, ZTE would be responsible for a substantial percentage of its legal fees. In addition, the Company will grant additional guarantees, as necessary, in connection with its commenced proceedings against ZTE in Europe.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2012, the Company signed a rental agreement for its new headquarters in New York. According to the new agreement, the Company shall pay an annual fee of approximately $137 (subject to certain adjustments). The Company’s subsidiary in Israel leases an office space for a period of up to 4 years (including options to extend the terms of the lease). According to the agreement, the subsidiary in Israel shall pay an annual fee of approximately $72 (in NIS, subject to certain adjustments). Rent expense for operating leases and automobiles for the years ended December 31, 2012, the period from Inception through December 31, 2011 and for the cumulative period from Inception until December 31, 2012, was $163, $11 and $174, respectively. Future minimum lease payments under non-cancelable operating leases for office space and cars, as of December 31, 2012, are as follows:</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72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32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4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2014</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r>
      <w:tr>
        <w:trPr>
          <w:trHeight w:val="230"/>
        </w:trPr>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6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FFCC"/>
          </w:tcPr>
          <w:p>
            <w:pPr>
              <w:spacing w:after="0"/>
              <w:rPr>
                <w:sz w:val="19"/>
                <w:szCs w:val="19"/>
                <w:color w:val="auto"/>
              </w:rPr>
            </w:pPr>
          </w:p>
        </w:tc>
      </w:tr>
      <w:tr>
        <w:trPr>
          <w:trHeight w:val="223"/>
        </w:trPr>
        <w:tc>
          <w:tcPr>
            <w:tcW w:w="3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Risks and Uncertainties</w:t>
      </w:r>
    </w:p>
    <w:p>
      <w:pPr>
        <w:spacing w:after="0" w:line="229" w:lineRule="exact"/>
        <w:rPr>
          <w:sz w:val="20"/>
          <w:szCs w:val="20"/>
          <w:color w:val="auto"/>
        </w:rPr>
      </w:pPr>
    </w:p>
    <w:p>
      <w:pPr>
        <w:jc w:val="both"/>
        <w:ind w:left="660" w:hanging="328"/>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the patents may be challenged in a court or administrative proceeding. To date, the Company’s patents have not been declared to be invalid or unenforceable.</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the United States and Israel,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383"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Risks and Uncertainties – (cont'd)</w:t>
      </w:r>
    </w:p>
    <w:p>
      <w:pPr>
        <w:spacing w:after="0" w:line="229" w:lineRule="exact"/>
        <w:rPr>
          <w:sz w:val="20"/>
          <w:szCs w:val="20"/>
          <w:color w:val="auto"/>
        </w:rPr>
      </w:pPr>
    </w:p>
    <w:p>
      <w:pPr>
        <w:jc w:val="both"/>
        <w:ind w:left="660" w:right="1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British Pound and Euro.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January and February 2013, subsequent to the balance sheet date, the Company’s Board approved a grant of 2,730,833 stock options and 669,250 RSUs to its employees, management and directors. The granted options and RSUs are to vest over a period of 1-3 years (according to individual schedule of each grantee). The options granted to directors are subject to full acceleration of vesting in case of a change of control of the Company. The vesting of options and the RSUs granted to employees and management is subject to 75% acceleration in case of change of control. The Company is currently evaluating the overall impact of the above mentioned on its financial statements; it expects such impact to be material.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21st day of March, 2013.</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Andrew D. Perlman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D. P</w:t>
            </w:r>
            <w:r>
              <w:rPr>
                <w:rFonts w:ascii="Arial" w:cs="Arial" w:eastAsia="Arial" w:hAnsi="Arial"/>
                <w:sz w:val="12"/>
                <w:szCs w:val="12"/>
                <w:color w:val="auto"/>
              </w:rPr>
              <w:t>ERLMAN</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Andrew D. Perlman</w:t>
            </w:r>
          </w:p>
        </w:tc>
        <w:tc>
          <w:tcPr>
            <w:tcW w:w="2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Chief Financial Officer (Principal Financial Officer and</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Ellen Cohl</w:t>
            </w:r>
          </w:p>
        </w:tc>
        <w:tc>
          <w:tcPr>
            <w:tcW w:w="2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ETH</w:t>
            </w:r>
            <w:r>
              <w:rPr>
                <w:rFonts w:ascii="Arial" w:cs="Arial" w:eastAsia="Arial" w:hAnsi="Arial"/>
                <w:sz w:val="18"/>
                <w:szCs w:val="18"/>
                <w:color w:val="auto"/>
              </w:rPr>
              <w:t xml:space="preserve"> M. S</w:t>
            </w:r>
            <w:r>
              <w:rPr>
                <w:rFonts w:ascii="Arial" w:cs="Arial" w:eastAsia="Arial" w:hAnsi="Arial"/>
                <w:sz w:val="12"/>
                <w:szCs w:val="12"/>
                <w:color w:val="auto"/>
              </w:rPr>
              <w:t>IEGEL</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Seth M. Siegel</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K</w:t>
            </w:r>
            <w:r>
              <w:rPr>
                <w:rFonts w:ascii="Arial" w:cs="Arial" w:eastAsia="Arial" w:hAnsi="Arial"/>
                <w:sz w:val="12"/>
                <w:szCs w:val="12"/>
                <w:color w:val="auto"/>
              </w:rPr>
              <w:t>ENNEDY</w:t>
            </w:r>
            <w:r>
              <w:rPr>
                <w:rFonts w:ascii="Arial" w:cs="Arial" w:eastAsia="Arial" w:hAnsi="Arial"/>
                <w:sz w:val="18"/>
                <w:szCs w:val="18"/>
                <w:color w:val="auto"/>
              </w:rPr>
              <w:t xml:space="preserve"> L</w:t>
            </w:r>
            <w:r>
              <w:rPr>
                <w:rFonts w:ascii="Arial" w:cs="Arial" w:eastAsia="Arial" w:hAnsi="Arial"/>
                <w:sz w:val="12"/>
                <w:szCs w:val="12"/>
                <w:color w:val="auto"/>
              </w:rPr>
              <w:t>ANG</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Andrew Kennedy Lang</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LEXANDER</w:t>
            </w:r>
            <w:r>
              <w:rPr>
                <w:rFonts w:ascii="Arial" w:cs="Arial" w:eastAsia="Arial" w:hAnsi="Arial"/>
                <w:sz w:val="18"/>
                <w:szCs w:val="18"/>
                <w:color w:val="auto"/>
              </w:rPr>
              <w:t xml:space="preserve"> R. B</w:t>
            </w:r>
            <w:r>
              <w:rPr>
                <w:rFonts w:ascii="Arial" w:cs="Arial" w:eastAsia="Arial" w:hAnsi="Arial"/>
                <w:sz w:val="12"/>
                <w:szCs w:val="12"/>
                <w:color w:val="auto"/>
              </w:rPr>
              <w:t>ERGER</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Alexander R. Berger</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E</w:t>
            </w:r>
            <w:r>
              <w:rPr>
                <w:rFonts w:ascii="Arial" w:cs="Arial" w:eastAsia="Arial" w:hAnsi="Arial"/>
                <w:sz w:val="12"/>
                <w:szCs w:val="12"/>
                <w:color w:val="auto"/>
              </w:rPr>
              <w:t>NGELMAN</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John Engelman</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 V</w:t>
            </w:r>
            <w:r>
              <w:rPr>
                <w:rFonts w:ascii="Arial" w:cs="Arial" w:eastAsia="Arial" w:hAnsi="Arial"/>
                <w:sz w:val="12"/>
                <w:szCs w:val="12"/>
                <w:color w:val="auto"/>
              </w:rPr>
              <w:t>AN</w:t>
            </w:r>
            <w:r>
              <w:rPr>
                <w:rFonts w:ascii="Arial" w:cs="Arial" w:eastAsia="Arial" w:hAnsi="Arial"/>
                <w:sz w:val="18"/>
                <w:szCs w:val="18"/>
                <w:color w:val="auto"/>
              </w:rPr>
              <w:t xml:space="preserve"> S</w:t>
            </w:r>
            <w:r>
              <w:rPr>
                <w:rFonts w:ascii="Arial" w:cs="Arial" w:eastAsia="Arial" w:hAnsi="Arial"/>
                <w:sz w:val="12"/>
                <w:szCs w:val="12"/>
                <w:color w:val="auto"/>
              </w:rPr>
              <w:t>INCLAIR</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H. Van Sinclair</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ONALD</w:t>
            </w:r>
            <w:r>
              <w:rPr>
                <w:rFonts w:ascii="Arial" w:cs="Arial" w:eastAsia="Arial" w:hAnsi="Arial"/>
                <w:sz w:val="18"/>
                <w:szCs w:val="18"/>
                <w:color w:val="auto"/>
              </w:rPr>
              <w:t xml:space="preserve"> E. S</w:t>
            </w:r>
            <w:r>
              <w:rPr>
                <w:rFonts w:ascii="Arial" w:cs="Arial" w:eastAsia="Arial" w:hAnsi="Arial"/>
                <w:sz w:val="12"/>
                <w:szCs w:val="12"/>
                <w:color w:val="auto"/>
              </w:rPr>
              <w:t>TOUT</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Donald E. Stout</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3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SHLEY</w:t>
            </w:r>
            <w:r>
              <w:rPr>
                <w:rFonts w:ascii="Arial" w:cs="Arial" w:eastAsia="Arial" w:hAnsi="Arial"/>
                <w:sz w:val="18"/>
                <w:szCs w:val="18"/>
                <w:color w:val="auto"/>
              </w:rPr>
              <w:t xml:space="preserve"> C. K</w:t>
            </w:r>
            <w:r>
              <w:rPr>
                <w:rFonts w:ascii="Arial" w:cs="Arial" w:eastAsia="Arial" w:hAnsi="Arial"/>
                <w:sz w:val="12"/>
                <w:szCs w:val="12"/>
                <w:color w:val="auto"/>
              </w:rPr>
              <w:t>ELLER</w:t>
            </w:r>
          </w:p>
        </w:tc>
        <w:tc>
          <w:tcPr>
            <w:tcW w:w="2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March 21, 2013</w:t>
            </w:r>
          </w:p>
        </w:tc>
      </w:tr>
      <w:tr>
        <w:trPr>
          <w:trHeight w:val="228"/>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Ashley C. Keller</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30"/>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Exhibits</w:t>
            </w:r>
          </w:p>
        </w:tc>
        <w:tc>
          <w:tcPr>
            <w:tcW w:w="10040" w:type="dxa"/>
            <w:vAlign w:val="bottom"/>
          </w:tcPr>
          <w:p>
            <w:pPr>
              <w:spacing w:after="0"/>
              <w:rPr>
                <w:sz w:val="20"/>
                <w:szCs w:val="20"/>
                <w:color w:val="auto"/>
              </w:rPr>
            </w:pPr>
          </w:p>
        </w:tc>
      </w:tr>
      <w:tr>
        <w:trPr>
          <w:trHeight w:val="432"/>
        </w:trPr>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6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Agreement and Plan of Merger by and among Vringo, Inc., VIP Merger Sub, Inc. and Innovate/Protect, Inc., dated as of March 12, 2012</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from Exhibit 2.1 to our Current Report on Form 8-K filed on March 14, 2012)</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from our Registration Statement on Form S-1 filed on May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18, 2010)</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Amended and Restated Bylaws (incorporated by reference from our Registration Statement on Form S-1 filed on January 29, 2010)</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Certificate of Amendment to Amended and Restated Certificate of Incorporation to effect an increase in authorized shares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from Exhibit 3.1 to our Current Report on Form 8-K filed on July 20, 2012)</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Certificate of Designations, Preferences and Rights of Series A Convertible Preferred Stock (incorporated by reference from Exhibit 3.2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our Current Report on Form 8-K filed on July 20, 2012)</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Specimen common stock certificate (incorporated by reference from our Registration Statement on Form S-1 filed on May 18, 2010)</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Specimen warrant certificate (incorporated by reference from our Registration Statement on Form S-1 filed on May 18, 2010)</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Form of Warrant Agreement (incorporated by reference from our Registration Statement on Form S-1 filed on March 29, 2010)</w:t>
            </w:r>
          </w:p>
        </w:tc>
      </w:tr>
      <w:tr>
        <w:trPr>
          <w:trHeight w:val="432"/>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Special Bridge Warrants (incorporated by reference from our Registration Statement on Form S-1 filed on January 29, 2010)</w:t>
            </w:r>
          </w:p>
        </w:tc>
      </w:tr>
      <w:tr>
        <w:trPr>
          <w:trHeight w:val="418"/>
        </w:trPr>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4.5†</w:t>
            </w:r>
          </w:p>
        </w:tc>
        <w:tc>
          <w:tcPr>
            <w:tcW w:w="10040" w:type="dxa"/>
            <w:vAlign w:val="bottom"/>
          </w:tcPr>
          <w:p>
            <w:pPr>
              <w:spacing w:after="0"/>
              <w:rPr>
                <w:sz w:val="20"/>
                <w:szCs w:val="20"/>
                <w:color w:val="auto"/>
              </w:rPr>
            </w:pPr>
            <w:r>
              <w:rPr>
                <w:rFonts w:ascii="Arial" w:cs="Arial" w:eastAsia="Arial" w:hAnsi="Arial"/>
                <w:sz w:val="18"/>
                <w:szCs w:val="18"/>
                <w:color w:val="auto"/>
                <w:w w:val="95"/>
              </w:rPr>
              <w:t>Form of Management Option Agreement (incorporated by reference from our Registration Statement on Form S-1 filed on March 29,</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2010)</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Preferential Reload Warrant (incorporated by reference from our Quarterly Report on Form 10-Q for the period ended March 31,</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2012 filed on May 15, 2012)</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Reload Warrants (incorporated by reference from our Quarterly Report on Form 10-Q for the period ended March 31, 2012 filed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May 15, 2012)</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Series 1 Warrant (incorporated by reference from Annex F to our Registration Statement on Form S-4 (File No. 333-180609)</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1160" w:type="dxa"/>
            <w:vAlign w:val="bottom"/>
          </w:tcPr>
          <w:p>
            <w:pPr>
              <w:jc w:val="center"/>
              <w:ind w:right="330"/>
              <w:spacing w:after="0"/>
              <w:rPr>
                <w:sz w:val="20"/>
                <w:szCs w:val="20"/>
                <w:color w:val="auto"/>
              </w:rPr>
            </w:pPr>
            <w:r>
              <w:rPr>
                <w:rFonts w:ascii="Arial" w:cs="Arial" w:eastAsia="Arial" w:hAnsi="Arial"/>
                <w:sz w:val="18"/>
                <w:szCs w:val="18"/>
                <w:color w:val="auto"/>
                <w:w w:val="87"/>
              </w:rPr>
              <w:t>4.9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Series 2 Warrant (incorporated by reference from Annex G to our Registration Statement on Form S-4 (File No. 333-180609)</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10.1†</w:t>
            </w:r>
          </w:p>
        </w:tc>
        <w:tc>
          <w:tcPr>
            <w:tcW w:w="10040" w:type="dxa"/>
            <w:vAlign w:val="bottom"/>
          </w:tcPr>
          <w:p>
            <w:pPr>
              <w:spacing w:after="0"/>
              <w:rPr>
                <w:sz w:val="20"/>
                <w:szCs w:val="20"/>
                <w:color w:val="auto"/>
              </w:rPr>
            </w:pPr>
            <w:r>
              <w:rPr>
                <w:rFonts w:ascii="Arial" w:cs="Arial" w:eastAsia="Arial" w:hAnsi="Arial"/>
                <w:sz w:val="18"/>
                <w:szCs w:val="18"/>
                <w:color w:val="auto"/>
                <w:w w:val="91"/>
              </w:rPr>
              <w:t>Vringo, Inc. 2012 Employee, Director and Consultant Equity Incentive Plan (incorporated by reference from our Quarterly Report on Form</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10-Q for the period ended September 30, 2012 filed on November 14, 2012)</w:t>
            </w:r>
          </w:p>
        </w:tc>
      </w:tr>
      <w:tr>
        <w:trPr>
          <w:trHeight w:val="432"/>
        </w:trPr>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10.2†</w:t>
            </w:r>
          </w:p>
        </w:tc>
        <w:tc>
          <w:tcPr>
            <w:tcW w:w="10040" w:type="dxa"/>
            <w:vAlign w:val="bottom"/>
          </w:tcPr>
          <w:p>
            <w:pPr>
              <w:spacing w:after="0"/>
              <w:rPr>
                <w:sz w:val="20"/>
                <w:szCs w:val="20"/>
                <w:color w:val="auto"/>
              </w:rPr>
            </w:pPr>
            <w:r>
              <w:rPr>
                <w:rFonts w:ascii="Arial" w:cs="Arial" w:eastAsia="Arial" w:hAnsi="Arial"/>
                <w:sz w:val="18"/>
                <w:szCs w:val="18"/>
                <w:color w:val="auto"/>
                <w:w w:val="97"/>
              </w:rPr>
              <w:t>Form of Stock Option Agreement (incorporated by reference from our Registration Statement on Form S-8 filed on July 26, 2012)</w:t>
            </w:r>
          </w:p>
        </w:tc>
      </w:tr>
      <w:tr>
        <w:trPr>
          <w:trHeight w:val="432"/>
        </w:trPr>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10.3†</w:t>
            </w:r>
          </w:p>
        </w:tc>
        <w:tc>
          <w:tcPr>
            <w:tcW w:w="10040" w:type="dxa"/>
            <w:vAlign w:val="bottom"/>
          </w:tcPr>
          <w:p>
            <w:pPr>
              <w:spacing w:after="0"/>
              <w:rPr>
                <w:sz w:val="20"/>
                <w:szCs w:val="20"/>
                <w:color w:val="auto"/>
              </w:rPr>
            </w:pPr>
            <w:r>
              <w:rPr>
                <w:rFonts w:ascii="Arial" w:cs="Arial" w:eastAsia="Arial" w:hAnsi="Arial"/>
                <w:sz w:val="18"/>
                <w:szCs w:val="18"/>
                <w:color w:val="auto"/>
                <w:w w:val="91"/>
              </w:rPr>
              <w:t>Form of Restricted Stock Unit Agreement (incorporated by reference from our Registration Statement on Form S-8 filed on July 26, 2012)</w:t>
            </w:r>
          </w:p>
        </w:tc>
      </w:tr>
      <w:tr>
        <w:trPr>
          <w:trHeight w:val="418"/>
        </w:trPr>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Master Content Provider Agreement, dated June 3, 2009, by and between Vringo and Maxis Mobile Services SDN BHD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418"/>
        </w:trPr>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Marketing Agreement, dated June 30, 2009, by and between Vringo and Emirates Telecommunications Corporation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418"/>
        </w:trPr>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Marketing Agreement, dated December 29, 2009, by and between Vringo and Hungama Digital Media Entertainment Pvt. Ltd.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418"/>
        </w:trPr>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Summary of Rental Agreement, dated March 27, 2006, by and between Vringo and BIG Power Centers (incorporated by reference from</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our Registration Statement on Form S-1 filing on January 29, 2010)</w:t>
            </w:r>
          </w:p>
        </w:tc>
      </w:tr>
      <w:tr>
        <w:trPr>
          <w:trHeight w:val="418"/>
        </w:trPr>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10.8†</w:t>
            </w:r>
          </w:p>
        </w:tc>
        <w:tc>
          <w:tcPr>
            <w:tcW w:w="10040" w:type="dxa"/>
            <w:vAlign w:val="bottom"/>
          </w:tcPr>
          <w:p>
            <w:pPr>
              <w:spacing w:after="0"/>
              <w:rPr>
                <w:sz w:val="20"/>
                <w:szCs w:val="20"/>
                <w:color w:val="auto"/>
              </w:rPr>
            </w:pPr>
            <w:r>
              <w:rPr>
                <w:rFonts w:ascii="Arial" w:cs="Arial" w:eastAsia="Arial" w:hAnsi="Arial"/>
                <w:sz w:val="18"/>
                <w:szCs w:val="18"/>
                <w:color w:val="auto"/>
                <w:w w:val="94"/>
              </w:rPr>
              <w:t>Employment Agreement, dated March 18, 2010, by and between Vringo and Andrew D. Perlman (incorporated by reference from our</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Registration Statement on Form S-1 filing on March 29, 2010)</w:t>
            </w:r>
          </w:p>
        </w:tc>
      </w:tr>
      <w:tr>
        <w:trPr>
          <w:trHeight w:val="648"/>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200"/>
              <w:spacing w:after="0"/>
              <w:rPr>
                <w:sz w:val="20"/>
                <w:szCs w:val="20"/>
                <w:color w:val="auto"/>
              </w:rPr>
            </w:pPr>
            <w:r>
              <w:rPr>
                <w:rFonts w:ascii="Arial" w:cs="Arial" w:eastAsia="Arial" w:hAnsi="Arial"/>
                <w:sz w:val="18"/>
                <w:szCs w:val="18"/>
                <w:color w:val="auto"/>
              </w:rPr>
              <w:t>10.9*†</w:t>
            </w:r>
          </w:p>
        </w:tc>
        <w:tc>
          <w:tcPr>
            <w:tcW w:w="10320" w:type="dxa"/>
            <w:vAlign w:val="bottom"/>
          </w:tcPr>
          <w:p>
            <w:pPr>
              <w:ind w:left="280"/>
              <w:spacing w:after="0"/>
              <w:rPr>
                <w:sz w:val="20"/>
                <w:szCs w:val="20"/>
                <w:color w:val="auto"/>
              </w:rPr>
            </w:pPr>
            <w:r>
              <w:rPr>
                <w:rFonts w:ascii="Arial" w:cs="Arial" w:eastAsia="Arial" w:hAnsi="Arial"/>
                <w:sz w:val="18"/>
                <w:szCs w:val="18"/>
                <w:color w:val="auto"/>
              </w:rPr>
              <w:t>Employment Agreement, dated February 13, 2013, by and between Vringo and Andrew D. Perlman</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10.10*†</w:t>
            </w:r>
          </w:p>
        </w:tc>
        <w:tc>
          <w:tcPr>
            <w:tcW w:w="10320" w:type="dxa"/>
            <w:vAlign w:val="bottom"/>
          </w:tcPr>
          <w:p>
            <w:pPr>
              <w:ind w:left="280"/>
              <w:spacing w:after="0"/>
              <w:rPr>
                <w:sz w:val="20"/>
                <w:szCs w:val="20"/>
                <w:color w:val="auto"/>
              </w:rPr>
            </w:pPr>
            <w:r>
              <w:rPr>
                <w:rFonts w:ascii="Arial" w:cs="Arial" w:eastAsia="Arial" w:hAnsi="Arial"/>
                <w:sz w:val="18"/>
                <w:szCs w:val="18"/>
                <w:color w:val="auto"/>
              </w:rPr>
              <w:t>Employment Agreement, dated February 13, 2013, by and between Vringo and Alexander R. Berger</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10.11†</w:t>
            </w: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Employment Agreement, dated June 22, 2011, by and between Innovate/Protect, Inc. and Andrew Kennedy Lang, as amended by</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Amendment No. 1 to Employment Agreement, dated November 14, 2011, and Amendment No. 2 to Employment Agreement, dated March</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11, 2012 (incorporated by reference from our 8-K filed on July 20,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10.12</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Agreement on Cooperation, dated July 15, 2010, between Vringo and Retromedya (incorporated by reference from our Current Report on</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Form 8-K filed on July 19, 2010)</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10.13</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Marketing Agreement, dated August 19, 2010, between Vringo and Everything Everywhere Limited. (incorporated by reference from our</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Form 10-Q filing on November 15, 2010)</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10.14</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Collaboration Agreement, dated September 15, 2010, between Vringo and Starhub Mobile PTE Ltd. (incorporated by reference from our</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Form 10-Q filing on November 15, 2010)</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10.15†</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Employment Agreement, dated December 15, 2010, by and between Vringo and Ellen Cohl (incorporated by reference from our Current</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Report on Form 8-K filed on December 20, 2010)</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10.16</w:t>
            </w:r>
          </w:p>
        </w:tc>
        <w:tc>
          <w:tcPr>
            <w:tcW w:w="10320" w:type="dxa"/>
            <w:vAlign w:val="bottom"/>
          </w:tcPr>
          <w:p>
            <w:pPr>
              <w:ind w:left="280"/>
              <w:spacing w:after="0"/>
              <w:rPr>
                <w:sz w:val="20"/>
                <w:szCs w:val="20"/>
                <w:color w:val="auto"/>
              </w:rPr>
            </w:pPr>
            <w:r>
              <w:rPr>
                <w:rFonts w:ascii="Arial" w:cs="Arial" w:eastAsia="Arial" w:hAnsi="Arial"/>
                <w:sz w:val="18"/>
                <w:szCs w:val="18"/>
                <w:color w:val="auto"/>
              </w:rPr>
              <w:t>Intercompany Cost Plus Agreement (incorporated by reference from our Form 10-K filing on March 31, 2011)</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10.17††</w:t>
            </w: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License agreement with ZTE Corporation, dated November 2, 2011 (incorporated by reference from our 10-K filed on March 30,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10.18†</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Separation Agreement between Jonathan Medved and Vringo (Israel) Ltd., dated as of March 8, 2012 (incorporated by reference from our</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8-K filed on March 14,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10.19</w:t>
            </w:r>
          </w:p>
        </w:tc>
        <w:tc>
          <w:tcPr>
            <w:tcW w:w="10320" w:type="dxa"/>
            <w:vAlign w:val="bottom"/>
          </w:tcPr>
          <w:p>
            <w:pPr>
              <w:ind w:left="280"/>
              <w:spacing w:after="0"/>
              <w:rPr>
                <w:sz w:val="20"/>
                <w:szCs w:val="20"/>
                <w:color w:val="auto"/>
              </w:rPr>
            </w:pPr>
            <w:r>
              <w:rPr>
                <w:rFonts w:ascii="Arial" w:cs="Arial" w:eastAsia="Arial" w:hAnsi="Arial"/>
                <w:sz w:val="18"/>
                <w:szCs w:val="18"/>
                <w:color w:val="auto"/>
                <w:w w:val="95"/>
              </w:rPr>
              <w:t>Agreement dated February 9, 2012, by and between the Company and Facebook, Inc. (incorporated by reference from our Quarterly</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Report on Form 10-Q for the period ended March 31, 2012 filed on May 15,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10.20</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Lease, dated July 10, 2012, by and between Vringo, Inc. and Teachers Insurance and Annuity Association of America, for the benefit of its</w:t>
            </w:r>
          </w:p>
        </w:tc>
      </w:tr>
      <w:tr>
        <w:trPr>
          <w:trHeight w:val="216"/>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7"/>
              </w:rPr>
              <w:t>separate Real Estate Account Landlord (incorporated by reference from our Quarterly Report on Form 10-Q for the period ended</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September 30, 2012 filed on November 14,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10.21††</w:t>
            </w:r>
          </w:p>
        </w:tc>
        <w:tc>
          <w:tcPr>
            <w:tcW w:w="10320" w:type="dxa"/>
            <w:vAlign w:val="bottom"/>
          </w:tcPr>
          <w:p>
            <w:pPr>
              <w:ind w:left="280"/>
              <w:spacing w:after="0"/>
              <w:rPr>
                <w:sz w:val="20"/>
                <w:szCs w:val="20"/>
                <w:color w:val="auto"/>
              </w:rPr>
            </w:pPr>
            <w:r>
              <w:rPr>
                <w:rFonts w:ascii="Arial" w:cs="Arial" w:eastAsia="Arial" w:hAnsi="Arial"/>
                <w:sz w:val="18"/>
                <w:szCs w:val="18"/>
                <w:color w:val="auto"/>
                <w:w w:val="94"/>
              </w:rPr>
              <w:t>Confidential Patent Purchase Agreement, dated August 9, 2012, by and between Vringo, Inc. and Nokia Corporation (incorporated by</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reference from our Quarterly Report on Form 10-Q for the period ended September 30, 2012 filed on November 14,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10.22</w:t>
            </w:r>
          </w:p>
        </w:tc>
        <w:tc>
          <w:tcPr>
            <w:tcW w:w="10320" w:type="dxa"/>
            <w:vAlign w:val="bottom"/>
          </w:tcPr>
          <w:p>
            <w:pPr>
              <w:ind w:left="280"/>
              <w:spacing w:after="0"/>
              <w:rPr>
                <w:sz w:val="20"/>
                <w:szCs w:val="20"/>
                <w:color w:val="auto"/>
              </w:rPr>
            </w:pPr>
            <w:r>
              <w:rPr>
                <w:rFonts w:ascii="Arial" w:cs="Arial" w:eastAsia="Arial" w:hAnsi="Arial"/>
                <w:sz w:val="18"/>
                <w:szCs w:val="18"/>
                <w:color w:val="auto"/>
                <w:w w:val="90"/>
              </w:rPr>
              <w:t>Form of Subscription Agreement, dated October 4, 2012, by and between Vringo, Inc. and each of the investors (incorporated by reference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from our Current Report on Form 8-K filed on October 5, 2012)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10.23</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Form of Subscription Agreement, dated August 9, 2012, by and between Vringo, Inc. and each of the investors (incorporated by reference</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from our Current Report on Form 8-K filed on August 9, 2012)</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10.24†*</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Form of Indemnification Agreement, dated January 31, 2013, by and between Vringo, Inc. and each of its Directors and Executive Officer.</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21</w:t>
            </w:r>
          </w:p>
        </w:tc>
        <w:tc>
          <w:tcPr>
            <w:tcW w:w="10320" w:type="dxa"/>
            <w:vAlign w:val="bottom"/>
          </w:tcPr>
          <w:p>
            <w:pPr>
              <w:ind w:left="280"/>
              <w:spacing w:after="0"/>
              <w:rPr>
                <w:sz w:val="20"/>
                <w:szCs w:val="20"/>
                <w:color w:val="auto"/>
              </w:rPr>
            </w:pPr>
            <w:r>
              <w:rPr>
                <w:rFonts w:ascii="Arial" w:cs="Arial" w:eastAsia="Arial" w:hAnsi="Arial"/>
                <w:sz w:val="18"/>
                <w:szCs w:val="18"/>
                <w:color w:val="auto"/>
              </w:rPr>
              <w:t>Subsidiaries of Vringo, Inc.</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23.1*</w:t>
            </w:r>
          </w:p>
        </w:tc>
        <w:tc>
          <w:tcPr>
            <w:tcW w:w="10320" w:type="dxa"/>
            <w:vAlign w:val="bottom"/>
          </w:tcPr>
          <w:p>
            <w:pPr>
              <w:ind w:left="280"/>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23.2*</w:t>
            </w:r>
          </w:p>
        </w:tc>
        <w:tc>
          <w:tcPr>
            <w:tcW w:w="10320" w:type="dxa"/>
            <w:vAlign w:val="bottom"/>
          </w:tcPr>
          <w:p>
            <w:pPr>
              <w:ind w:left="280"/>
              <w:spacing w:after="0"/>
              <w:rPr>
                <w:sz w:val="20"/>
                <w:szCs w:val="20"/>
                <w:color w:val="auto"/>
              </w:rPr>
            </w:pPr>
            <w:r>
              <w:rPr>
                <w:rFonts w:ascii="Arial" w:cs="Arial" w:eastAsia="Arial" w:hAnsi="Arial"/>
                <w:sz w:val="18"/>
                <w:szCs w:val="18"/>
                <w:color w:val="auto"/>
              </w:rPr>
              <w:t>Consent of Grant Thornton LLP</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31.1*</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Certification of Principal Executive Officer Pursuant to Rule 13-14(a) of the Securities Exchange Act of 1934, pursuant to Section 302 of</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31.2*</w:t>
            </w: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Certification of Principal Financial Officer Pursuant to Rule 13-14(a) of the Securities Exchange Act of 1934, pursuant to Section 302 of</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32.1**</w:t>
            </w:r>
          </w:p>
        </w:tc>
        <w:tc>
          <w:tcPr>
            <w:tcW w:w="10320" w:type="dxa"/>
            <w:vAlign w:val="bottom"/>
          </w:tcPr>
          <w:p>
            <w:pPr>
              <w:ind w:left="280"/>
              <w:spacing w:after="0"/>
              <w:rPr>
                <w:sz w:val="20"/>
                <w:szCs w:val="20"/>
                <w:color w:val="auto"/>
              </w:rPr>
            </w:pPr>
            <w:r>
              <w:rPr>
                <w:rFonts w:ascii="Arial" w:cs="Arial" w:eastAsia="Arial" w:hAnsi="Arial"/>
                <w:sz w:val="18"/>
                <w:szCs w:val="18"/>
                <w:color w:val="auto"/>
                <w:w w:val="94"/>
              </w:rPr>
              <w:t>Certification of Principal Executive Officer Pursuant to 18 U.S.C. Section 1350, pursuant to Section 906 of the Sarbanes-Oxley Act of</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418"/>
        </w:trPr>
        <w:tc>
          <w:tcPr>
            <w:tcW w:w="1100" w:type="dxa"/>
            <w:vAlign w:val="bottom"/>
          </w:tcPr>
          <w:p>
            <w:pPr>
              <w:ind w:left="200"/>
              <w:spacing w:after="0"/>
              <w:rPr>
                <w:sz w:val="20"/>
                <w:szCs w:val="20"/>
                <w:color w:val="auto"/>
              </w:rPr>
            </w:pPr>
            <w:r>
              <w:rPr>
                <w:rFonts w:ascii="Arial" w:cs="Arial" w:eastAsia="Arial" w:hAnsi="Arial"/>
                <w:sz w:val="18"/>
                <w:szCs w:val="18"/>
                <w:color w:val="auto"/>
              </w:rPr>
              <w:t>32.2**</w:t>
            </w:r>
          </w:p>
        </w:tc>
        <w:tc>
          <w:tcPr>
            <w:tcW w:w="10320" w:type="dxa"/>
            <w:vAlign w:val="bottom"/>
          </w:tcPr>
          <w:p>
            <w:pPr>
              <w:ind w:left="280"/>
              <w:spacing w:after="0"/>
              <w:rPr>
                <w:sz w:val="20"/>
                <w:szCs w:val="20"/>
                <w:color w:val="auto"/>
              </w:rPr>
            </w:pPr>
            <w:r>
              <w:rPr>
                <w:rFonts w:ascii="Arial" w:cs="Arial" w:eastAsia="Arial" w:hAnsi="Arial"/>
                <w:sz w:val="18"/>
                <w:szCs w:val="18"/>
                <w:color w:val="auto"/>
                <w:w w:val="95"/>
              </w:rPr>
              <w:t>Certification of Principal Financial Officer Pursuant to 18 U.S.C. Section 1350, pursuant to Section 906 of the Sarbanes-Oxley Act of</w:t>
            </w:r>
          </w:p>
        </w:tc>
      </w:tr>
      <w:tr>
        <w:trPr>
          <w:trHeight w:val="230"/>
        </w:trPr>
        <w:tc>
          <w:tcPr>
            <w:tcW w:w="1100" w:type="dxa"/>
            <w:vAlign w:val="bottom"/>
          </w:tcPr>
          <w:p>
            <w:pPr>
              <w:spacing w:after="0"/>
              <w:rPr>
                <w:sz w:val="20"/>
                <w:szCs w:val="20"/>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432"/>
        </w:trPr>
        <w:tc>
          <w:tcPr>
            <w:tcW w:w="1100" w:type="dxa"/>
            <w:vAlign w:val="bottom"/>
          </w:tcPr>
          <w:p>
            <w:pPr>
              <w:ind w:left="200"/>
              <w:spacing w:after="0"/>
              <w:rPr>
                <w:sz w:val="20"/>
                <w:szCs w:val="20"/>
                <w:color w:val="auto"/>
              </w:rPr>
            </w:pPr>
            <w:r>
              <w:rPr>
                <w:rFonts w:ascii="Arial" w:cs="Arial" w:eastAsia="Arial" w:hAnsi="Arial"/>
                <w:sz w:val="18"/>
                <w:szCs w:val="18"/>
                <w:color w:val="auto"/>
              </w:rPr>
              <w:t>101.INS</w:t>
            </w:r>
          </w:p>
        </w:tc>
        <w:tc>
          <w:tcPr>
            <w:tcW w:w="10320" w:type="dxa"/>
            <w:vAlign w:val="bottom"/>
          </w:tcPr>
          <w:p>
            <w:pPr>
              <w:ind w:left="280"/>
              <w:spacing w:after="0"/>
              <w:rPr>
                <w:sz w:val="20"/>
                <w:szCs w:val="20"/>
                <w:color w:val="auto"/>
              </w:rPr>
            </w:pPr>
            <w:r>
              <w:rPr>
                <w:rFonts w:ascii="Arial" w:cs="Arial" w:eastAsia="Arial" w:hAnsi="Arial"/>
                <w:sz w:val="18"/>
                <w:szCs w:val="18"/>
                <w:color w:val="auto"/>
              </w:rPr>
              <w:t>XBLR Instance Document</w:t>
            </w:r>
          </w:p>
        </w:tc>
      </w:tr>
      <w:tr>
        <w:trPr>
          <w:trHeight w:val="648"/>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886" w:gutter="0" w:footer="0" w:header="0"/>
        </w:sectPr>
      </w:pPr>
    </w:p>
    <w:bookmarkStart w:id="75" w:name="page76"/>
    <w:bookmarkEnd w:id="75"/>
    <w:p>
      <w:pPr>
        <w:spacing w:after="0" w:line="1" w:lineRule="exact"/>
        <w:rPr>
          <w:sz w:val="20"/>
          <w:szCs w:val="20"/>
          <w:color w:val="auto"/>
        </w:rPr>
      </w:pPr>
    </w:p>
    <w:tbl>
      <w:tblPr>
        <w:tblLayout w:type="fixed"/>
        <w:tblInd w:w="192"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XBLR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3"/>
              </w:rPr>
              <w:t>XBLR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6"/>
              </w:rPr>
              <w:t>XBLR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XBLR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XBLR Taxonomy Extension Presentation Linkbase Document</w:t>
            </w:r>
          </w:p>
        </w:tc>
      </w:tr>
    </w:tbl>
    <w:p>
      <w:pPr>
        <w:spacing w:after="0" w:line="202" w:lineRule="exact"/>
        <w:rPr>
          <w:sz w:val="20"/>
          <w:szCs w:val="20"/>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72" w:hanging="372"/>
        <w:spacing w:after="0"/>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372" w:hanging="372"/>
        <w:spacing w:after="0"/>
        <w:tabs>
          <w:tab w:leader="none" w:pos="3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372" w:hanging="372"/>
        <w:spacing w:after="0"/>
        <w:tabs>
          <w:tab w:leader="none" w:pos="3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441325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12"/>
          </w:cols>
          <w:pgMar w:left="248" w:top="882" w:right="11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EXECUTIVE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13th day of February,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by and between Andrew D. Perlman, an individual residing at the address listed in Exhibit "</w:t>
      </w:r>
      <w:r>
        <w:rPr>
          <w:rFonts w:ascii="Arial" w:cs="Arial" w:eastAsia="Arial" w:hAnsi="Arial"/>
          <w:sz w:val="18"/>
          <w:szCs w:val="18"/>
          <w:u w:val="single" w:color="auto"/>
          <w:color w:val="auto"/>
        </w:rPr>
        <w:t>A</w:t>
      </w:r>
      <w:r>
        <w:rPr>
          <w:rFonts w:ascii="Arial" w:cs="Arial" w:eastAsia="Arial" w:hAnsi="Arial"/>
          <w:sz w:val="18"/>
          <w:szCs w:val="18"/>
          <w:color w:val="auto"/>
        </w:rPr>
        <w:t>" ("</w:t>
      </w:r>
      <w:r>
        <w:rPr>
          <w:rFonts w:ascii="Arial" w:cs="Arial" w:eastAsia="Arial" w:hAnsi="Arial"/>
          <w:sz w:val="18"/>
          <w:szCs w:val="18"/>
          <w:u w:val="single" w:color="auto"/>
          <w:color w:val="auto"/>
        </w:rPr>
        <w:t>Executive</w:t>
      </w:r>
      <w:r>
        <w:rPr>
          <w:rFonts w:ascii="Arial" w:cs="Arial" w:eastAsia="Arial" w:hAnsi="Arial"/>
          <w:sz w:val="18"/>
          <w:szCs w:val="18"/>
          <w:color w:val="auto"/>
        </w:rPr>
        <w:t>"), and Vringo, Inc., a Delaware corporation with principal offices located at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15th Floor, New York, NY 10017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firstLine="63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continue to be employed by the Company as its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under the terms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the Company wishes to continue to employ Executive in such capacity;</w:t>
      </w:r>
    </w:p>
    <w:p>
      <w:pPr>
        <w:spacing w:after="0" w:line="162" w:lineRule="exact"/>
        <w:rPr>
          <w:sz w:val="20"/>
          <w:szCs w:val="20"/>
          <w:color w:val="auto"/>
        </w:rPr>
      </w:pPr>
    </w:p>
    <w:p>
      <w:pPr>
        <w:ind w:left="20" w:firstLine="622"/>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8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Subject to the terms of this Agreement, the Company agrees to continue to employ, and Executive agrees to continue to serve, as its CEO. The duties and responsibilities of Executive shall include the duties and responsibilities normally associated with such positions and such other executive officer duties and responsibilities consistent with such positions as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reasonably assign in good faith to Executive. At all times during the Employment Period (as defined below), the Executive shall report directly to the Board.</w:t>
      </w:r>
    </w:p>
    <w:p>
      <w:pPr>
        <w:spacing w:after="0" w:line="154" w:lineRule="exact"/>
        <w:rPr>
          <w:rFonts w:ascii="Arial" w:cs="Arial" w:eastAsia="Arial" w:hAnsi="Arial"/>
          <w:sz w:val="16"/>
          <w:szCs w:val="16"/>
          <w:color w:val="auto"/>
        </w:rPr>
      </w:pPr>
    </w:p>
    <w:p>
      <w:pPr>
        <w:jc w:val="both"/>
        <w:ind w:firstLine="1305"/>
        <w:spacing w:after="0" w:line="268" w:lineRule="auto"/>
        <w:tabs>
          <w:tab w:leader="none" w:pos="1907" w:val="left"/>
        </w:tabs>
        <w:numPr>
          <w:ilvl w:val="1"/>
          <w:numId w:val="45"/>
        </w:numPr>
        <w:rPr>
          <w:rFonts w:ascii="Arial" w:cs="Arial" w:eastAsia="Arial" w:hAnsi="Arial"/>
          <w:sz w:val="17"/>
          <w:szCs w:val="17"/>
          <w:color w:val="auto"/>
        </w:rPr>
      </w:pPr>
      <w:r>
        <w:rPr>
          <w:rFonts w:ascii="Arial" w:cs="Arial" w:eastAsia="Arial" w:hAnsi="Arial"/>
          <w:sz w:val="17"/>
          <w:szCs w:val="17"/>
          <w:color w:val="auto"/>
        </w:rPr>
        <w:t>Executive shall continue to serve as a member of the Board until the term of his directorship expires and he is not re-elected or his earlier resignation or removal from the Board. As long as the Executive remains the CEO of the Company, the Nominating and Governance Committee will recommend the Executive for reelection to the Board. At the unanimous (with the Executive abstaining) request of the Board, upon termination of his employment by the Company for Cause (as defined below) or by the Executive without Good Reason (as defined below), the Executive shall resign as a member of the Board and any committees thereof and, in the absence of any other written resignation proffered to the Board, this Agreement shall constitute such a written resignation, effective upon the termination of employment by the Company for Cause or by the Executive without Good Reason. 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both"/>
        <w:ind w:left="-656" w:firstLine="656"/>
        <w:spacing w:after="0" w:line="255"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The parties agree to commence negotiations to enter into a new employment agreement at least six (6) months prior to the expiration of the Employment Period and to conclude those negotiations no later than the date that is three (3) months prior to the expiration of the Employment Period (the "</w:t>
      </w:r>
      <w:r>
        <w:rPr>
          <w:rFonts w:ascii="Arial" w:cs="Arial" w:eastAsia="Arial" w:hAnsi="Arial"/>
          <w:sz w:val="18"/>
          <w:szCs w:val="18"/>
          <w:u w:val="single" w:color="auto"/>
          <w:color w:val="auto"/>
        </w:rPr>
        <w:t>Negotiations Period</w:t>
      </w:r>
      <w:r>
        <w:rPr>
          <w:rFonts w:ascii="Arial" w:cs="Arial" w:eastAsia="Arial" w:hAnsi="Arial"/>
          <w:sz w:val="18"/>
          <w:szCs w:val="18"/>
          <w:color w:val="auto"/>
        </w:rPr>
        <w:t>"), provided however, that it is the Executive's obligation to provide to the Chairman of the Compensation Committee a proposal regarding the terms of the continued employment prior to the commencement of the Negotiations Period.</w:t>
      </w:r>
    </w:p>
    <w:p>
      <w:pPr>
        <w:spacing w:after="0" w:line="192" w:lineRule="exact"/>
        <w:rPr>
          <w:rFonts w:ascii="Arial" w:cs="Arial" w:eastAsia="Arial" w:hAnsi="Arial"/>
          <w:sz w:val="18"/>
          <w:szCs w:val="18"/>
          <w:color w:val="auto"/>
        </w:rPr>
      </w:pPr>
    </w:p>
    <w:p>
      <w:pPr>
        <w:jc w:val="both"/>
        <w:ind w:left="-656" w:firstLine="656"/>
        <w:spacing w:after="0" w:line="242" w:lineRule="auto"/>
        <w:tabs>
          <w:tab w:leader="none" w:pos="70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Place of Employment</w:t>
      </w:r>
      <w:r>
        <w:rPr>
          <w:rFonts w:ascii="Arial" w:cs="Arial" w:eastAsia="Arial" w:hAnsi="Arial"/>
          <w:sz w:val="17"/>
          <w:szCs w:val="17"/>
          <w:color w:val="auto"/>
        </w:rPr>
        <w:t>. Executive's services shall be performed at the Company's offices located at 780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Avenue, 15th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201" w:lineRule="exact"/>
        <w:rPr>
          <w:rFonts w:ascii="Arial" w:cs="Arial" w:eastAsia="Arial" w:hAnsi="Arial"/>
          <w:sz w:val="17"/>
          <w:szCs w:val="17"/>
          <w:color w:val="auto"/>
        </w:rPr>
      </w:pPr>
    </w:p>
    <w:p>
      <w:pPr>
        <w:ind w:left="644" w:hanging="644"/>
        <w:spacing w:after="0"/>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76" w:lineRule="auto"/>
        <w:tabs>
          <w:tab w:leader="none" w:pos="1227"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as follows: (i) retroactive to January 1, 2013 until December 31, 2013, at an annual rate of $385,000; (ii) from January 1, 2014 to December 31, 2014, at an annual rate of $400,000; and (iii) from January 1, 2015 through the remainder of the Employment Period, at an annual rate of $415,000. The Base Salary shall be paid in periodic installments in accordance with the Company's regular payroll practices.</w:t>
      </w:r>
    </w:p>
    <w:p>
      <w:pPr>
        <w:spacing w:after="0" w:line="172" w:lineRule="exact"/>
        <w:rPr>
          <w:rFonts w:ascii="Arial" w:cs="Arial" w:eastAsia="Arial" w:hAnsi="Arial"/>
          <w:sz w:val="17"/>
          <w:szCs w:val="17"/>
          <w:color w:val="auto"/>
        </w:rPr>
      </w:pPr>
    </w:p>
    <w:p>
      <w:pPr>
        <w:jc w:val="both"/>
        <w:ind w:left="-656" w:firstLine="656"/>
        <w:spacing w:after="0" w:line="272" w:lineRule="auto"/>
        <w:tabs>
          <w:tab w:leader="none" w:pos="69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Bonuses and Incentive Compensation</w:t>
      </w:r>
      <w:r>
        <w:rPr>
          <w:rFonts w:ascii="Arial" w:cs="Arial" w:eastAsia="Arial" w:hAnsi="Arial"/>
          <w:sz w:val="17"/>
          <w:szCs w:val="17"/>
          <w:color w:val="auto"/>
        </w:rPr>
        <w:t>. During the Employment Period, the Executive will be eligible to participate in any annual bonus or other incentive compensation program that the Company may adopt from time to time for its executive officers. To the extent that the Company is required pursuant to Section 954 of the Dodd-Frank Wall Street Reform and Consumer Protection Act to develop and implement a policy (the "</w:t>
      </w:r>
      <w:r>
        <w:rPr>
          <w:rFonts w:ascii="Arial" w:cs="Arial" w:eastAsia="Arial" w:hAnsi="Arial"/>
          <w:sz w:val="17"/>
          <w:szCs w:val="17"/>
          <w:u w:val="single" w:color="auto"/>
          <w:color w:val="auto"/>
        </w:rPr>
        <w:t>Policy</w:t>
      </w:r>
      <w:r>
        <w:rPr>
          <w:rFonts w:ascii="Arial" w:cs="Arial" w:eastAsia="Arial" w:hAnsi="Arial"/>
          <w:sz w:val="17"/>
          <w:szCs w:val="17"/>
          <w:color w:val="auto"/>
        </w:rPr>
        <w:t>") providing for the recovery from the Executive of any payment of incentive-based compensation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396240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097" w:right="239" w:bottom="1440" w:gutter="0" w:footer="0" w:header="0"/>
        </w:sectPr>
      </w:pPr>
    </w:p>
    <w:bookmarkStart w:id="78" w:name="page79"/>
    <w:bookmarkEnd w:id="78"/>
    <w:p>
      <w:pPr>
        <w:jc w:val="both"/>
        <w:ind w:left="-656" w:firstLine="656"/>
        <w:spacing w:after="0" w:line="272"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177" w:lineRule="exact"/>
        <w:rPr>
          <w:rFonts w:ascii="Arial" w:cs="Arial" w:eastAsia="Arial" w:hAnsi="Arial"/>
          <w:sz w:val="17"/>
          <w:szCs w:val="17"/>
          <w:color w:val="auto"/>
        </w:rPr>
      </w:pPr>
    </w:p>
    <w:p>
      <w:pPr>
        <w:jc w:val="both"/>
        <w:ind w:left="-656" w:firstLine="656"/>
        <w:spacing w:after="0" w:line="257" w:lineRule="auto"/>
        <w:tabs>
          <w:tab w:leader="none" w:pos="6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8"/>
          <w:szCs w:val="18"/>
          <w:u w:val="single" w:color="auto"/>
          <w:color w:val="auto"/>
        </w:rPr>
        <w:t>Benefit Plans</w:t>
      </w:r>
      <w:r>
        <w:rPr>
          <w:rFonts w:ascii="Arial" w:cs="Arial" w:eastAsia="Arial" w:hAnsi="Arial"/>
          <w:sz w:val="18"/>
          <w:szCs w:val="18"/>
          <w:color w:val="auto"/>
        </w:rPr>
        <w:t>"),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8" w:lineRule="exact"/>
        <w:rPr>
          <w:rFonts w:ascii="Arial" w:cs="Arial" w:eastAsia="Arial" w:hAnsi="Arial"/>
          <w:sz w:val="18"/>
          <w:szCs w:val="18"/>
          <w:color w:val="auto"/>
        </w:rPr>
      </w:pPr>
    </w:p>
    <w:p>
      <w:pPr>
        <w:jc w:val="both"/>
        <w:ind w:left="-656" w:firstLine="656"/>
        <w:spacing w:after="0" w:line="259" w:lineRule="auto"/>
        <w:tabs>
          <w:tab w:leader="none" w:pos="6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the Executive shall be entitled to twenty (20) days of paid time off ("</w:t>
      </w:r>
      <w:r>
        <w:rPr>
          <w:rFonts w:ascii="Arial" w:cs="Arial" w:eastAsia="Arial" w:hAnsi="Arial"/>
          <w:sz w:val="18"/>
          <w:szCs w:val="18"/>
          <w:u w:val="single" w:color="auto"/>
          <w:color w:val="auto"/>
        </w:rPr>
        <w:t>PTO</w:t>
      </w:r>
      <w:r>
        <w:rPr>
          <w:rFonts w:ascii="Arial" w:cs="Arial" w:eastAsia="Arial" w:hAnsi="Arial"/>
          <w:sz w:val="18"/>
          <w:szCs w:val="18"/>
          <w:color w:val="auto"/>
        </w:rPr>
        <w:t>")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71" w:lineRule="auto"/>
        <w:tabs>
          <w:tab w:leader="none" w:pos="137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79" w:name="page80"/>
    <w:bookmarkEnd w:id="79"/>
    <w:p>
      <w:pPr>
        <w:jc w:val="both"/>
        <w:ind w:left="-1200" w:firstLine="1305"/>
        <w:spacing w:after="0" w:line="25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(ii) any and all reasonable expenses paid or incurred by the Executive in connection with and related to the performance of his duties and responsibilities for the Company up to and through the date of termination, and (iii) any benefits provided under the Company's employee benefit plans pursuant to, and in accordance with, the terms of such plans through the date of termination (collectively, the "</w:t>
      </w:r>
      <w:r>
        <w:rPr>
          <w:rFonts w:ascii="Arial" w:cs="Arial" w:eastAsia="Arial" w:hAnsi="Arial"/>
          <w:sz w:val="18"/>
          <w:szCs w:val="18"/>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The Company shall deduct, from all payments made hereunder, all applicable taxes, including income tax, FICA and FUTA, and other appropriate deductions.</w:t>
      </w:r>
    </w:p>
    <w:p>
      <w:pPr>
        <w:spacing w:after="0" w:line="192" w:lineRule="exact"/>
        <w:rPr>
          <w:rFonts w:ascii="Arial" w:cs="Arial" w:eastAsia="Arial" w:hAnsi="Arial"/>
          <w:sz w:val="18"/>
          <w:szCs w:val="18"/>
          <w:color w:val="auto"/>
        </w:rPr>
      </w:pPr>
    </w:p>
    <w:p>
      <w:pPr>
        <w:jc w:val="both"/>
        <w:ind w:left="-1200" w:firstLine="1305"/>
        <w:spacing w:after="0" w:line="287" w:lineRule="auto"/>
        <w:tabs>
          <w:tab w:leader="none" w:pos="76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 physical or mental disability that prevents the performance by the Executive, with or without reasonable accommodation, of his essential duties and responsibilities hereunder for ninety (90) consecutive days, or an aggregate of one-hundred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172" w:lineRule="exact"/>
        <w:rPr>
          <w:rFonts w:ascii="Arial" w:cs="Arial" w:eastAsia="Arial" w:hAnsi="Arial"/>
          <w:sz w:val="16"/>
          <w:szCs w:val="16"/>
          <w:color w:val="auto"/>
        </w:rPr>
      </w:pPr>
    </w:p>
    <w:p>
      <w:pPr>
        <w:ind w:left="760" w:hanging="655"/>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firstLine="653"/>
        <w:spacing w:after="0" w:line="277" w:lineRule="auto"/>
        <w:tabs>
          <w:tab w:leader="none" w:pos="13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At any time during the Employment Period, the Company may terminate this Agreement and the Executive's employment hereunder for Cause. Such termination shall be effective immediately upon notice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98" w:right="239" w:bottom="1440" w:gutter="0" w:footer="0" w:header="0"/>
        </w:sectPr>
      </w:pPr>
    </w:p>
    <w:bookmarkStart w:id="80" w:name="page81"/>
    <w:bookmarkEnd w:id="80"/>
    <w:p>
      <w:pPr>
        <w:jc w:val="both"/>
        <w:ind w:left="10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as used in this Agreement shall mean: (a)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18"/>
          <w:szCs w:val="18"/>
          <w:i w:val="1"/>
          <w:iCs w:val="1"/>
          <w:color w:val="auto"/>
        </w:rPr>
        <w:t xml:space="preserve">nolo contendere </w:t>
      </w:r>
      <w:r>
        <w:rPr>
          <w:rFonts w:ascii="Arial" w:cs="Arial" w:eastAsia="Arial" w:hAnsi="Arial"/>
          <w:sz w:val="18"/>
          <w:szCs w:val="18"/>
          <w:color w:val="auto"/>
        </w:rPr>
        <w:t>to a felony, (c) intentional breach of Section 10 of this Agreement, (d) an intentional breach of the Non-Disclosure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Agreement of even date herewith (the "</w:t>
      </w:r>
      <w:r>
        <w:rPr>
          <w:rFonts w:ascii="Arial" w:cs="Arial" w:eastAsia="Arial" w:hAnsi="Arial"/>
          <w:sz w:val="18"/>
          <w:szCs w:val="18"/>
          <w:u w:val="single" w:color="auto"/>
          <w:color w:val="auto"/>
        </w:rPr>
        <w:t>NDA</w:t>
      </w:r>
      <w:r>
        <w:rPr>
          <w:rFonts w:ascii="Arial" w:cs="Arial" w:eastAsia="Arial" w:hAnsi="Arial"/>
          <w:sz w:val="18"/>
          <w:szCs w:val="18"/>
          <w:color w:val="auto"/>
        </w:rPr>
        <w:t>"); or (e) a unanimous good faith finding by the Board (with the Executive abstaining) that Executive has engaged in fraud, dishonesty, gross negligence or misconduct which, if curable, has not been cured by Executive within thirty (30) days after his receipt of a written notice from the Board stating with reasonable specificity the basis of such finding.</w:t>
      </w:r>
    </w:p>
    <w:p>
      <w:pPr>
        <w:spacing w:after="0" w:line="195" w:lineRule="exact"/>
        <w:rPr>
          <w:sz w:val="20"/>
          <w:szCs w:val="20"/>
          <w:color w:val="auto"/>
        </w:rPr>
      </w:pPr>
    </w:p>
    <w:p>
      <w:pPr>
        <w:jc w:val="both"/>
        <w:ind w:left="100" w:firstLine="653"/>
        <w:spacing w:after="0" w:line="259" w:lineRule="auto"/>
        <w:tabs>
          <w:tab w:leader="none" w:pos="13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3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69" w:lineRule="auto"/>
        <w:tabs>
          <w:tab w:leader="none" w:pos="1331" w:val="left"/>
        </w:tabs>
        <w:numPr>
          <w:ilvl w:val="1"/>
          <w:numId w:val="50"/>
        </w:numPr>
        <w:rPr>
          <w:rFonts w:ascii="Arial" w:cs="Arial" w:eastAsia="Arial" w:hAnsi="Arial"/>
          <w:sz w:val="17"/>
          <w:szCs w:val="17"/>
          <w:color w:val="auto"/>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w:t>
      </w:r>
      <w:r>
        <w:rPr>
          <w:rFonts w:ascii="Arial" w:cs="Arial" w:eastAsia="Arial" w:hAnsi="Arial"/>
          <w:sz w:val="17"/>
          <w:szCs w:val="17"/>
          <w:u w:val="single" w:color="auto"/>
          <w:color w:val="auto"/>
        </w:rPr>
        <w:t>Good Reason</w:t>
      </w:r>
      <w:r>
        <w:rPr>
          <w:rFonts w:ascii="Arial" w:cs="Arial" w:eastAsia="Arial" w:hAnsi="Arial"/>
          <w:sz w:val="17"/>
          <w:szCs w:val="17"/>
          <w:color w:val="auto"/>
        </w:rPr>
        <w:t>" as used in this Agreement shall mean the occurrence of any of the following events: (a) the assignment, without the Executive's consent, to the Executive of duties that result in a substantial diminution of the duties that he assumed on the Effective Date; provided, however, the failure of the Executive to be reelected to the Board shall not be deemed to be a diminution of duties; (b) the assignment, without the Executive's consent, to the Executive of a title that is subordinate to the title Chief Executive Officer; (c) a reduction in Executive's Base Salary; (d) the Company's requirement that Executive regularly report to work in a location that is more than fifty miles from the Company's current New York office as of the date of this Agreement, without the Executive's consent; (e) a change in reporting relationship, provided however, that Good Reason does not include a change in the reporting relationship whereby Executive will report to the board of directors of an acquiring company after a Change of Control (as that term is defined in the Corporation's 2012 Employee, Director and Consultant Equity Incentive Plan); or (f) a material breach by the Company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399415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1" w:name="page82"/>
    <w:bookmarkEnd w:id="81"/>
    <w:p>
      <w:pPr>
        <w:jc w:val="both"/>
        <w:ind w:left="100" w:firstLine="653"/>
        <w:spacing w:after="0" w:line="255" w:lineRule="auto"/>
        <w:tabs>
          <w:tab w:leader="none" w:pos="1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193" w:lineRule="exact"/>
        <w:rPr>
          <w:rFonts w:ascii="Arial" w:cs="Arial" w:eastAsia="Arial" w:hAnsi="Arial"/>
          <w:sz w:val="18"/>
          <w:szCs w:val="18"/>
          <w:color w:val="auto"/>
        </w:rPr>
      </w:pPr>
    </w:p>
    <w:p>
      <w:pPr>
        <w:ind w:left="100" w:right="20" w:firstLine="653"/>
        <w:spacing w:after="0" w:line="308" w:lineRule="auto"/>
        <w:tabs>
          <w:tab w:leader="none" w:pos="1399"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46" w:lineRule="exact"/>
        <w:rPr>
          <w:rFonts w:ascii="Arial" w:cs="Arial" w:eastAsia="Arial" w:hAnsi="Arial"/>
          <w:sz w:val="17"/>
          <w:szCs w:val="17"/>
          <w:color w:val="auto"/>
        </w:rPr>
      </w:pPr>
    </w:p>
    <w:p>
      <w:pPr>
        <w:ind w:left="2020" w:hanging="619"/>
        <w:spacing w:after="0"/>
        <w:tabs>
          <w:tab w:leader="none" w:pos="2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420" w:firstLine="981"/>
        <w:spacing w:after="0" w:line="289" w:lineRule="auto"/>
        <w:tabs>
          <w:tab w:leader="none" w:pos="2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 amount of Base Salary (at the rate of Base Salary in effect immediately prior to the Executive's termination hereunder) equal to the lesser of (x) one (1) times the Executive's Base Salary, and (y) two (2) times the Base Salary payable for the number of full months remaining in the Employment Period. Except as otherwise provided in this Agreement, the Company shall pay to Executive the amounts provided in this Section 9(e)(3)(B)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252095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98" w:right="239" w:bottom="1440" w:gutter="0" w:footer="0" w:header="0"/>
        </w:sectPr>
      </w:pPr>
    </w:p>
    <w:bookmarkStart w:id="82" w:name="page83"/>
    <w:bookmarkEnd w:id="82"/>
    <w:p>
      <w:pPr>
        <w:jc w:val="both"/>
        <w:ind w:left="420" w:firstLine="981"/>
        <w:spacing w:after="0" w:line="289" w:lineRule="auto"/>
        <w:tabs>
          <w:tab w:leader="none" w:pos="2033" w:val="left"/>
        </w:tabs>
        <w:numPr>
          <w:ilvl w:val="1"/>
          <w:numId w:val="52"/>
        </w:numPr>
        <w:rPr>
          <w:rFonts w:ascii="Arial" w:cs="Arial" w:eastAsia="Arial" w:hAnsi="Arial"/>
          <w:sz w:val="16"/>
          <w:szCs w:val="16"/>
          <w:color w:val="auto"/>
        </w:rPr>
      </w:pPr>
      <w:r>
        <w:rPr>
          <w:rFonts w:ascii="Arial" w:cs="Arial" w:eastAsia="Arial" w:hAnsi="Arial"/>
          <w:sz w:val="16"/>
          <w:szCs w:val="16"/>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66" w:lineRule="exact"/>
        <w:rPr>
          <w:rFonts w:ascii="Arial" w:cs="Arial" w:eastAsia="Arial" w:hAnsi="Arial"/>
          <w:sz w:val="16"/>
          <w:szCs w:val="16"/>
          <w:color w:val="auto"/>
        </w:rPr>
      </w:pPr>
    </w:p>
    <w:p>
      <w:pPr>
        <w:jc w:val="both"/>
        <w:ind w:left="-1200" w:firstLine="1305"/>
        <w:spacing w:after="0" w:line="291" w:lineRule="auto"/>
        <w:tabs>
          <w:tab w:leader="none" w:pos="71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By Executive without Good Reason</w:t>
      </w:r>
      <w:r>
        <w:rPr>
          <w:rFonts w:ascii="Arial" w:cs="Arial" w:eastAsia="Arial" w:hAnsi="Arial"/>
          <w:sz w:val="16"/>
          <w:szCs w:val="16"/>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through the date the Employment Period is terminated. The Company shall deduct, from all payments made hereunder, all applicable taxes, including income tax, FICA and FUTA, and other appropriate deductions.</w:t>
      </w:r>
    </w:p>
    <w:p>
      <w:pPr>
        <w:spacing w:after="0" w:line="167" w:lineRule="exact"/>
        <w:rPr>
          <w:rFonts w:ascii="Arial" w:cs="Arial" w:eastAsia="Arial" w:hAnsi="Arial"/>
          <w:sz w:val="16"/>
          <w:szCs w:val="16"/>
          <w:color w:val="auto"/>
        </w:rPr>
      </w:pPr>
    </w:p>
    <w:p>
      <w:pPr>
        <w:jc w:val="both"/>
        <w:ind w:left="-1200" w:firstLine="1305"/>
        <w:spacing w:after="0" w:line="297" w:lineRule="auto"/>
        <w:tabs>
          <w:tab w:leader="none" w:pos="828"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By the Company without Cause</w:t>
      </w:r>
      <w:r>
        <w:rPr>
          <w:rFonts w:ascii="Arial" w:cs="Arial" w:eastAsia="Arial" w:hAnsi="Arial"/>
          <w:sz w:val="16"/>
          <w:szCs w:val="16"/>
          <w:color w:val="auto"/>
        </w:rPr>
        <w:t>. At any time during the Employment Period, the Company shall be entitled to terminate this Agreement and the Executive's employment with the Company without Cause upon written notice to the Executive.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158" w:lineRule="exact"/>
        <w:rPr>
          <w:rFonts w:ascii="Arial" w:cs="Arial" w:eastAsia="Arial" w:hAnsi="Arial"/>
          <w:sz w:val="16"/>
          <w:szCs w:val="16"/>
          <w:color w:val="auto"/>
        </w:rPr>
      </w:pPr>
    </w:p>
    <w:p>
      <w:pPr>
        <w:jc w:val="both"/>
        <w:ind w:left="-1200" w:firstLine="1305"/>
        <w:spacing w:after="0" w:line="264" w:lineRule="auto"/>
        <w:tabs>
          <w:tab w:leader="none" w:pos="80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261620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3" w:name="page84"/>
    <w:bookmarkEnd w:id="83"/>
    <w:p>
      <w:pPr>
        <w:jc w:val="both"/>
        <w:ind w:firstLine="1305"/>
        <w:spacing w:after="0" w:line="288" w:lineRule="auto"/>
        <w:tabs>
          <w:tab w:leader="none" w:pos="188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It is agreed that an express condition of the payment or provision by the Company of any severance amount or post-termination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w:t>
      </w:r>
    </w:p>
    <w:p>
      <w:pPr>
        <w:spacing w:after="0" w:line="205" w:lineRule="auto"/>
        <w:rPr>
          <w:sz w:val="20"/>
          <w:szCs w:val="20"/>
          <w:color w:val="auto"/>
        </w:rPr>
      </w:pPr>
      <w:r>
        <w:rPr>
          <w:rFonts w:ascii="Arial" w:cs="Arial" w:eastAsia="Arial" w:hAnsi="Arial"/>
          <w:sz w:val="18"/>
          <w:szCs w:val="18"/>
          <w:color w:val="auto"/>
        </w:rPr>
        <w:t>acceptable to the Company and Executive, and such release must be effective and irrevocable prior to the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termination of the Executive's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03" w:lineRule="exact"/>
        <w:rPr>
          <w:sz w:val="20"/>
          <w:szCs w:val="20"/>
          <w:color w:val="auto"/>
        </w:rPr>
      </w:pPr>
    </w:p>
    <w:p>
      <w:pPr>
        <w:ind w:left="1840" w:hanging="535"/>
        <w:spacing w:after="0"/>
        <w:tabs>
          <w:tab w:leader="none" w:pos="18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auto"/>
        </w:rPr>
      </w:pPr>
    </w:p>
    <w:p>
      <w:pPr>
        <w:jc w:val="both"/>
        <w:ind w:left="1300" w:firstLine="588"/>
        <w:spacing w:after="0" w:line="255" w:lineRule="auto"/>
        <w:tabs>
          <w:tab w:leader="none" w:pos="246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93" w:lineRule="exact"/>
        <w:rPr>
          <w:rFonts w:ascii="Arial" w:cs="Arial" w:eastAsia="Arial" w:hAnsi="Arial"/>
          <w:sz w:val="18"/>
          <w:szCs w:val="18"/>
          <w:color w:val="auto"/>
        </w:rPr>
      </w:pPr>
    </w:p>
    <w:p>
      <w:pPr>
        <w:ind w:left="2480" w:hanging="592"/>
        <w:spacing w:after="0"/>
        <w:tabs>
          <w:tab w:leader="none" w:pos="2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jc w:val="both"/>
        <w:ind w:left="1300" w:firstLine="588"/>
        <w:spacing w:after="0" w:line="271" w:lineRule="auto"/>
        <w:tabs>
          <w:tab w:leader="none" w:pos="2683"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w:t>
      </w:r>
      <w:r>
        <w:rPr>
          <w:rFonts w:ascii="Arial" w:cs="Arial" w:eastAsia="Arial" w:hAnsi="Arial"/>
          <w:sz w:val="18"/>
          <w:szCs w:val="18"/>
          <w:u w:val="single" w:color="auto"/>
          <w:color w:val="auto"/>
        </w:rPr>
        <w:t>Sections 10(b), (c) and (d)</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ind w:left="1880" w:hanging="575"/>
        <w:spacing w:after="0"/>
        <w:tabs>
          <w:tab w:leader="none" w:pos="18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Business Activity</w:t>
      </w:r>
      <w:r>
        <w:rPr>
          <w:rFonts w:ascii="Arial" w:cs="Arial" w:eastAsia="Arial" w:hAnsi="Arial"/>
          <w:sz w:val="17"/>
          <w:szCs w:val="17"/>
          <w:color w:val="auto"/>
        </w:rPr>
        <w:t>" as used in this Section 10, means that the Executive shall not, directly or indirectly:</w:t>
      </w:r>
    </w:p>
    <w:p>
      <w:pPr>
        <w:spacing w:after="0" w:line="236" w:lineRule="exact"/>
        <w:rPr>
          <w:rFonts w:ascii="Arial" w:cs="Arial" w:eastAsia="Arial" w:hAnsi="Arial"/>
          <w:sz w:val="17"/>
          <w:szCs w:val="17"/>
          <w:color w:val="auto"/>
        </w:rPr>
      </w:pPr>
    </w:p>
    <w:p>
      <w:pPr>
        <w:jc w:val="both"/>
        <w:ind w:left="1300" w:firstLine="588"/>
        <w:spacing w:after="0" w:line="257" w:lineRule="auto"/>
        <w:tabs>
          <w:tab w:leader="none" w:pos="2507" w:val="left"/>
        </w:tabs>
        <w:numPr>
          <w:ilvl w:val="2"/>
          <w:numId w:val="56"/>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(i) the primary value of which is monetizing patent portfolios or (ii) to any company primarily engaged in the business of monetizing patent portfolios. For the avoidance of doubt, engaging in the licensing of patents to or from third parties for the purpose of development and sale of products and services incorporating such patents by the licensee is not a competing activity; or</w:t>
      </w:r>
    </w:p>
    <w:p>
      <w:pPr>
        <w:spacing w:after="0" w:line="188" w:lineRule="exact"/>
        <w:rPr>
          <w:rFonts w:ascii="Arial" w:cs="Arial" w:eastAsia="Arial" w:hAnsi="Arial"/>
          <w:sz w:val="18"/>
          <w:szCs w:val="18"/>
          <w:color w:val="auto"/>
        </w:rPr>
      </w:pPr>
    </w:p>
    <w:p>
      <w:pPr>
        <w:ind w:left="1300" w:firstLine="588"/>
        <w:spacing w:after="0" w:line="277" w:lineRule="auto"/>
        <w:tabs>
          <w:tab w:leader="none" w:pos="2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solicit any material commercial relationships of the Company, other than in the furtherance of the business of the Company during the Employment Period;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provided however, that Restricted Business Activity shall not be construed to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providing services to any division, department or branch of another company that does not itself engage in whole or in part in the business of innovation, development and monetization of mobile technologies and intellectual property; or (iii) soliciting any material commercial relationships of the Company for the purpose of selling products or providing services that are not the same or substantially similar to the products or services sold by the Company during the Employment Period.</w:t>
      </w:r>
    </w:p>
    <w:p>
      <w:pPr>
        <w:spacing w:after="0" w:line="178" w:lineRule="exact"/>
        <w:rPr>
          <w:sz w:val="20"/>
          <w:szCs w:val="20"/>
          <w:color w:val="auto"/>
        </w:rPr>
      </w:pPr>
    </w:p>
    <w:p>
      <w:pPr>
        <w:ind w:right="20" w:firstLine="1305"/>
        <w:spacing w:after="0" w:line="277" w:lineRule="auto"/>
        <w:tabs>
          <w:tab w:leader="none" w:pos="18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as used in this Section 10, shall mean during the Employment Period plus two (2) years after the date the Executive is actually no longer employed by the Company.</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as used in this Section 10 shall mean worldwide.</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991"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1940" w:hanging="635"/>
        <w:spacing w:after="0"/>
        <w:tabs>
          <w:tab w:leader="none" w:pos="19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provisions of this Section 10 shall survive the termination of the Executive's employment hereunder and until the end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Period.</w:t>
      </w:r>
    </w:p>
    <w:p>
      <w:pPr>
        <w:spacing w:after="0" w:line="21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187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firstLine="1305"/>
        <w:spacing w:after="0" w:line="293" w:lineRule="auto"/>
        <w:tabs>
          <w:tab w:leader="none" w:pos="193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6" w:name="page87"/>
    <w:bookmarkEnd w:id="86"/>
    <w:p>
      <w:pPr>
        <w:jc w:val="both"/>
        <w:ind w:left="-1200" w:firstLine="1305"/>
        <w:spacing w:after="0" w:line="253" w:lineRule="auto"/>
        <w:tabs>
          <w:tab w:leader="none" w:pos="7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including, without limitation, that certain offer letter by the Company to Executive dated March 18, 2010,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 Notwithstanding the foregoing, the NDA is amended by this Agreement such that the period in Section 4 of the NDA during which the Executive agrees not to solicit Business Partners (as such term is defined in the NDA) shall be during the Executive's employment with the Company and for a period of two (2) years thereafter.</w:t>
      </w:r>
    </w:p>
    <w:p>
      <w:pPr>
        <w:spacing w:after="0" w:line="194" w:lineRule="exact"/>
        <w:rPr>
          <w:rFonts w:ascii="Arial" w:cs="Arial" w:eastAsia="Arial" w:hAnsi="Arial"/>
          <w:sz w:val="18"/>
          <w:szCs w:val="18"/>
          <w:color w:val="auto"/>
        </w:rPr>
      </w:pPr>
    </w:p>
    <w:p>
      <w:pPr>
        <w:jc w:val="both"/>
        <w:ind w:left="-1200" w:firstLine="1305"/>
        <w:spacing w:after="0" w:line="257" w:lineRule="auto"/>
        <w:tabs>
          <w:tab w:leader="none" w:pos="6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left="-1200" w:firstLine="1305"/>
        <w:spacing w:after="0" w:line="277" w:lineRule="auto"/>
        <w:tabs>
          <w:tab w:leader="none" w:pos="8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1200" w:firstLine="1305"/>
        <w:spacing w:after="0" w:line="277"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this Agreement or the Employment Period is terminated for any reason, the NDA (as amended by this Agreement) and Section 10 shall survive termination of this Agreement.</w:t>
      </w:r>
    </w:p>
    <w:p>
      <w:pPr>
        <w:spacing w:after="0" w:line="170" w:lineRule="exact"/>
        <w:rPr>
          <w:rFonts w:ascii="Arial" w:cs="Arial" w:eastAsia="Arial" w:hAnsi="Arial"/>
          <w:sz w:val="18"/>
          <w:szCs w:val="18"/>
          <w:color w:val="auto"/>
        </w:rPr>
      </w:pPr>
    </w:p>
    <w:p>
      <w:pPr>
        <w:ind w:left="-1200" w:firstLine="1305"/>
        <w:spacing w:after="0" w:line="277" w:lineRule="auto"/>
        <w:tabs>
          <w:tab w:leader="none" w:pos="7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of litigation between the parties hereto regarding this Agreement, the prevailing party shall be entitled to recover the costs and fees, including reasonable attorney's fees, incurred by such party in the litigation.</w:t>
      </w:r>
    </w:p>
    <w:p>
      <w:pPr>
        <w:spacing w:after="0" w:line="170" w:lineRule="exact"/>
        <w:rPr>
          <w:rFonts w:ascii="Arial" w:cs="Arial" w:eastAsia="Arial" w:hAnsi="Arial"/>
          <w:sz w:val="18"/>
          <w:szCs w:val="18"/>
          <w:color w:val="auto"/>
        </w:rPr>
      </w:pPr>
    </w:p>
    <w:p>
      <w:pPr>
        <w:ind w:left="-1200" w:firstLine="1305"/>
        <w:spacing w:after="0" w:line="277" w:lineRule="auto"/>
        <w:tabs>
          <w:tab w:leader="none" w:pos="7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left="-1200" w:firstLine="1305"/>
        <w:spacing w:after="0" w:line="255"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87" w:name="page88"/>
    <w:bookmarkEnd w:id="87"/>
    <w:p>
      <w:pPr>
        <w:jc w:val="both"/>
        <w:ind w:firstLine="1305"/>
        <w:spacing w:after="0" w:line="264" w:lineRule="auto"/>
        <w:tabs>
          <w:tab w:leader="none" w:pos="1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81" w:lineRule="exact"/>
        <w:rPr>
          <w:rFonts w:ascii="Arial" w:cs="Arial" w:eastAsia="Arial" w:hAnsi="Arial"/>
          <w:sz w:val="18"/>
          <w:szCs w:val="18"/>
          <w:color w:val="auto"/>
        </w:rPr>
      </w:pPr>
    </w:p>
    <w:p>
      <w:pPr>
        <w:ind w:right="20" w:firstLine="1305"/>
        <w:spacing w:after="0" w:line="308" w:lineRule="auto"/>
        <w:tabs>
          <w:tab w:leader="none" w:pos="1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8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Executive is a party.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 except that the Company shall reimburse the Executive for up to $10,000 for his legal fees incurred in connection with the review and negotiation of this Agreement prior to the Effective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firstLine="627"/>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//John Engelman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Engelman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Independent Director and Chair of the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EXECUTIVE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13th day of February,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by and between Alexander R. Berger, an individual residing at the address listed in Exhibit "</w:t>
      </w:r>
      <w:r>
        <w:rPr>
          <w:rFonts w:ascii="Arial" w:cs="Arial" w:eastAsia="Arial" w:hAnsi="Arial"/>
          <w:sz w:val="18"/>
          <w:szCs w:val="18"/>
          <w:u w:val="single" w:color="auto"/>
          <w:color w:val="auto"/>
        </w:rPr>
        <w:t>A</w:t>
      </w:r>
      <w:r>
        <w:rPr>
          <w:rFonts w:ascii="Arial" w:cs="Arial" w:eastAsia="Arial" w:hAnsi="Arial"/>
          <w:sz w:val="18"/>
          <w:szCs w:val="18"/>
          <w:color w:val="auto"/>
        </w:rPr>
        <w:t>" ("</w:t>
      </w:r>
      <w:r>
        <w:rPr>
          <w:rFonts w:ascii="Arial" w:cs="Arial" w:eastAsia="Arial" w:hAnsi="Arial"/>
          <w:sz w:val="18"/>
          <w:szCs w:val="18"/>
          <w:u w:val="single" w:color="auto"/>
          <w:color w:val="auto"/>
        </w:rPr>
        <w:t>Executive</w:t>
      </w:r>
      <w:r>
        <w:rPr>
          <w:rFonts w:ascii="Arial" w:cs="Arial" w:eastAsia="Arial" w:hAnsi="Arial"/>
          <w:sz w:val="18"/>
          <w:szCs w:val="18"/>
          <w:color w:val="auto"/>
        </w:rPr>
        <w:t>"), and Vringo, Inc., a Delaware corporation with principal offices located at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15th Floor, New York, NY 10017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left="20" w:firstLine="62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and the Company are parties to an Executive Employment Agreement dated August 10, 2011, which was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to Employment Agreement dated November 15, 2011, and further amended by Amendment No. 2 to Employment Agreement dated March 11, 2012 (as amended,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expired by its terms on February 9, 2013; and</w:t>
      </w:r>
    </w:p>
    <w:p>
      <w:pPr>
        <w:spacing w:after="0" w:line="225" w:lineRule="exact"/>
        <w:rPr>
          <w:sz w:val="20"/>
          <w:szCs w:val="20"/>
          <w:color w:val="auto"/>
        </w:rPr>
      </w:pPr>
    </w:p>
    <w:p>
      <w:pPr>
        <w:jc w:val="both"/>
        <w:ind w:left="20" w:right="20" w:firstLine="622"/>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continue to be employed by the Company as its Chief Operating Officer ("</w:t>
      </w:r>
      <w:r>
        <w:rPr>
          <w:rFonts w:ascii="Arial" w:cs="Arial" w:eastAsia="Arial" w:hAnsi="Arial"/>
          <w:sz w:val="18"/>
          <w:szCs w:val="18"/>
          <w:u w:val="single" w:color="auto"/>
          <w:color w:val="auto"/>
        </w:rPr>
        <w:t>COO</w:t>
      </w:r>
      <w:r>
        <w:rPr>
          <w:rFonts w:ascii="Arial" w:cs="Arial" w:eastAsia="Arial" w:hAnsi="Arial"/>
          <w:sz w:val="18"/>
          <w:szCs w:val="18"/>
          <w:color w:val="auto"/>
        </w:rPr>
        <w:t>") and Secretary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herein and the Company wishes to continue to employ Executive in such capacity;</w:t>
      </w:r>
    </w:p>
    <w:p>
      <w:pPr>
        <w:spacing w:after="0" w:line="162" w:lineRule="exact"/>
        <w:rPr>
          <w:sz w:val="20"/>
          <w:szCs w:val="20"/>
          <w:color w:val="auto"/>
        </w:rPr>
      </w:pPr>
    </w:p>
    <w:p>
      <w:pPr>
        <w:jc w:val="both"/>
        <w:ind w:left="20" w:firstLine="622"/>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agrees to continue to employ, and Executive agrees to continue to serve, as its COO and Secretary. The duties and responsibilities of Executive shall include the duties and responsibilities normally associated with such positions and such other executive officer duties and responsibilities consistent with such positions as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reasonably assign in good faith to Executive. At all times during the Employment Period (as defined below), the Executive shall report directly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0" w:name="page91"/>
    <w:bookmarkEnd w:id="90"/>
    <w:p>
      <w:pPr>
        <w:jc w:val="both"/>
        <w:ind w:left="-656" w:firstLine="1305"/>
        <w:spacing w:after="0" w:line="268" w:lineRule="auto"/>
        <w:tabs>
          <w:tab w:leader="none" w:pos="1314" w:val="left"/>
        </w:tabs>
        <w:numPr>
          <w:ilvl w:val="1"/>
          <w:numId w:val="63"/>
        </w:numPr>
        <w:rPr>
          <w:rFonts w:ascii="Arial" w:cs="Arial" w:eastAsia="Arial" w:hAnsi="Arial"/>
          <w:sz w:val="17"/>
          <w:szCs w:val="17"/>
          <w:color w:val="auto"/>
        </w:rPr>
      </w:pPr>
      <w:r>
        <w:rPr>
          <w:rFonts w:ascii="Arial" w:cs="Arial" w:eastAsia="Arial" w:hAnsi="Arial"/>
          <w:sz w:val="17"/>
          <w:szCs w:val="17"/>
          <w:color w:val="auto"/>
        </w:rPr>
        <w:t>Executive shall continue to serve as a member of the Board until the term of his directorship expires and he is not re-elected or his earlier resignation or removal from the Board. As long as the Executive remains the COO of the Company, the Nominating and Governance Committee will recommend the Executive for reelection to the Board. At the unanimous (with the Executive abstaining) request of the Board, upon termination of his employment by the Company for Cause (as defined below) or by the Executive without Good Reason (as defined below), the Executive shall resign as a member of the Board and any committees thereof and, in the absence of any other written resignation proffered to the Board, this Agreement shall constitute such a written resignation, effective upon the termination of employment by the Company for Cause or by the Executive without Good Reason. 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85" w:lineRule="exact"/>
        <w:rPr>
          <w:rFonts w:ascii="Arial" w:cs="Arial" w:eastAsia="Arial" w:hAnsi="Arial"/>
          <w:sz w:val="17"/>
          <w:szCs w:val="17"/>
          <w:color w:val="auto"/>
        </w:rPr>
      </w:pPr>
    </w:p>
    <w:p>
      <w:pPr>
        <w:jc w:val="both"/>
        <w:ind w:left="-656" w:firstLine="656"/>
        <w:spacing w:after="0" w:line="255" w:lineRule="auto"/>
        <w:tabs>
          <w:tab w:leader="none" w:pos="69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The parties agree to commence negotiations to enter into a new employment agreement at least six (6) months prior to the expiration of the Employment Period and to conclude those negotiations no later than the date that is three (3) months prior to the expiration of the Employment Period (the "</w:t>
      </w:r>
      <w:r>
        <w:rPr>
          <w:rFonts w:ascii="Arial" w:cs="Arial" w:eastAsia="Arial" w:hAnsi="Arial"/>
          <w:sz w:val="18"/>
          <w:szCs w:val="18"/>
          <w:u w:val="single" w:color="auto"/>
          <w:color w:val="auto"/>
        </w:rPr>
        <w:t>Negotiations Period</w:t>
      </w:r>
      <w:r>
        <w:rPr>
          <w:rFonts w:ascii="Arial" w:cs="Arial" w:eastAsia="Arial" w:hAnsi="Arial"/>
          <w:sz w:val="18"/>
          <w:szCs w:val="18"/>
          <w:color w:val="auto"/>
        </w:rPr>
        <w:t>"), provided however, that it is the Executive's obligation to provide to the Chairman of the Compensation Committee a proposal regarding the terms of the continued employment prior to the commencement of the Negotiations Period.</w:t>
      </w:r>
    </w:p>
    <w:p>
      <w:pPr>
        <w:spacing w:after="0" w:line="192" w:lineRule="exact"/>
        <w:rPr>
          <w:rFonts w:ascii="Arial" w:cs="Arial" w:eastAsia="Arial" w:hAnsi="Arial"/>
          <w:sz w:val="18"/>
          <w:szCs w:val="18"/>
          <w:color w:val="auto"/>
        </w:rPr>
      </w:pPr>
    </w:p>
    <w:p>
      <w:pPr>
        <w:jc w:val="both"/>
        <w:ind w:left="-656" w:firstLine="656"/>
        <w:spacing w:after="0" w:line="242" w:lineRule="auto"/>
        <w:tabs>
          <w:tab w:leader="none" w:pos="73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Place of Employment</w:t>
      </w:r>
      <w:r>
        <w:rPr>
          <w:rFonts w:ascii="Arial" w:cs="Arial" w:eastAsia="Arial" w:hAnsi="Arial"/>
          <w:sz w:val="17"/>
          <w:szCs w:val="17"/>
          <w:color w:val="auto"/>
        </w:rPr>
        <w:t>. Executive's services shall be performed at the Company's offices located at 780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Avenue, 15th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201" w:lineRule="exact"/>
        <w:rPr>
          <w:rFonts w:ascii="Arial" w:cs="Arial" w:eastAsia="Arial" w:hAnsi="Arial"/>
          <w:sz w:val="17"/>
          <w:szCs w:val="17"/>
          <w:color w:val="auto"/>
        </w:rPr>
      </w:pPr>
    </w:p>
    <w:p>
      <w:pPr>
        <w:ind w:left="684" w:hanging="684"/>
        <w:spacing w:after="0"/>
        <w:tabs>
          <w:tab w:leader="none" w:pos="68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76" w:lineRule="auto"/>
        <w:tabs>
          <w:tab w:leader="none" w:pos="1290"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Salary</w:t>
      </w:r>
      <w:r>
        <w:rPr>
          <w:rFonts w:ascii="Arial" w:cs="Arial" w:eastAsia="Arial" w:hAnsi="Arial"/>
          <w:sz w:val="17"/>
          <w:szCs w:val="17"/>
          <w:color w:val="auto"/>
        </w:rPr>
        <w:t>") as follows: (i) retroactive to January 1, 2013 until December 31, 2013, at an annual rate of $385,000; (ii) from January 1, 2014 to December 31, 2014, at an annual rate of $400,000; and (iii) from January 1, 2015 through the remainder of the Employment Period, at an annual rate of $415,000. The Base Salary shall be paid in periodic installments in accordance with the Company's regular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393065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91" w:name="page92"/>
    <w:bookmarkEnd w:id="91"/>
    <w:p>
      <w:pPr>
        <w:jc w:val="both"/>
        <w:ind w:left="-656" w:firstLine="656"/>
        <w:spacing w:after="0" w:line="272" w:lineRule="auto"/>
        <w:tabs>
          <w:tab w:leader="none" w:pos="721"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Bonuses and Incentive Compensation</w:t>
      </w:r>
      <w:r>
        <w:rPr>
          <w:rFonts w:ascii="Arial" w:cs="Arial" w:eastAsia="Arial" w:hAnsi="Arial"/>
          <w:sz w:val="17"/>
          <w:szCs w:val="17"/>
          <w:color w:val="auto"/>
        </w:rPr>
        <w:t>. During the Employment Period, the Executive will be eligible to participate in any annual bonus or other incentive compensation program that the Company may adopt from time to time for its executive officers. To the extent that the Company is required pursuant to Section 954 of the Dodd-Frank Wall Street Reform and Consumer Protection Act to develop and implement a policy (the "</w:t>
      </w:r>
      <w:r>
        <w:rPr>
          <w:rFonts w:ascii="Arial" w:cs="Arial" w:eastAsia="Arial" w:hAnsi="Arial"/>
          <w:sz w:val="17"/>
          <w:szCs w:val="17"/>
          <w:u w:val="single" w:color="auto"/>
          <w:color w:val="auto"/>
        </w:rPr>
        <w:t>Policy</w:t>
      </w:r>
      <w:r>
        <w:rPr>
          <w:rFonts w:ascii="Arial" w:cs="Arial" w:eastAsia="Arial" w:hAnsi="Arial"/>
          <w:sz w:val="17"/>
          <w:szCs w:val="17"/>
          <w:color w:val="auto"/>
        </w:rPr>
        <w:t>") providing for the recovery from the Executive of any payment of incentive-based compensation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177" w:lineRule="exact"/>
        <w:rPr>
          <w:rFonts w:ascii="Arial" w:cs="Arial" w:eastAsia="Arial" w:hAnsi="Arial"/>
          <w:sz w:val="17"/>
          <w:szCs w:val="17"/>
          <w:color w:val="auto"/>
        </w:rPr>
      </w:pPr>
    </w:p>
    <w:p>
      <w:pPr>
        <w:jc w:val="both"/>
        <w:ind w:left="-656" w:firstLine="656"/>
        <w:spacing w:after="0" w:line="272" w:lineRule="auto"/>
        <w:tabs>
          <w:tab w:leader="none" w:pos="667"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177" w:lineRule="exact"/>
        <w:rPr>
          <w:rFonts w:ascii="Arial" w:cs="Arial" w:eastAsia="Arial" w:hAnsi="Arial"/>
          <w:sz w:val="17"/>
          <w:szCs w:val="17"/>
          <w:color w:val="auto"/>
        </w:rPr>
      </w:pPr>
    </w:p>
    <w:p>
      <w:pPr>
        <w:jc w:val="both"/>
        <w:ind w:left="-656" w:firstLine="656"/>
        <w:spacing w:after="0" w:line="257" w:lineRule="auto"/>
        <w:tabs>
          <w:tab w:leader="none" w:pos="72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8"/>
          <w:szCs w:val="18"/>
          <w:u w:val="single" w:color="auto"/>
          <w:color w:val="auto"/>
        </w:rPr>
        <w:t>Benefit Plans</w:t>
      </w:r>
      <w:r>
        <w:rPr>
          <w:rFonts w:ascii="Arial" w:cs="Arial" w:eastAsia="Arial" w:hAnsi="Arial"/>
          <w:sz w:val="18"/>
          <w:szCs w:val="18"/>
          <w:color w:val="auto"/>
        </w:rPr>
        <w:t>"),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8" w:lineRule="exact"/>
        <w:rPr>
          <w:rFonts w:ascii="Arial" w:cs="Arial" w:eastAsia="Arial" w:hAnsi="Arial"/>
          <w:sz w:val="18"/>
          <w:szCs w:val="18"/>
          <w:color w:val="auto"/>
        </w:rPr>
      </w:pPr>
    </w:p>
    <w:p>
      <w:pPr>
        <w:jc w:val="both"/>
        <w:ind w:left="-656" w:firstLine="656"/>
        <w:spacing w:after="0" w:line="259" w:lineRule="auto"/>
        <w:tabs>
          <w:tab w:leader="none" w:pos="72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the Executive shall be entitled to twenty (20) days of paid time off ("</w:t>
      </w:r>
      <w:r>
        <w:rPr>
          <w:rFonts w:ascii="Arial" w:cs="Arial" w:eastAsia="Arial" w:hAnsi="Arial"/>
          <w:sz w:val="18"/>
          <w:szCs w:val="18"/>
          <w:u w:val="single" w:color="auto"/>
          <w:color w:val="auto"/>
        </w:rPr>
        <w:t>PTO</w:t>
      </w:r>
      <w:r>
        <w:rPr>
          <w:rFonts w:ascii="Arial" w:cs="Arial" w:eastAsia="Arial" w:hAnsi="Arial"/>
          <w:sz w:val="18"/>
          <w:szCs w:val="18"/>
          <w:color w:val="auto"/>
        </w:rPr>
        <w:t>")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401955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098" w:right="239" w:bottom="1440" w:gutter="0" w:footer="0" w:header="0"/>
        </w:sectPr>
      </w:pPr>
    </w:p>
    <w:bookmarkStart w:id="92" w:name="page93"/>
    <w:bookmarkEnd w:id="92"/>
    <w:p>
      <w:pPr>
        <w:ind w:left="684" w:hanging="684"/>
        <w:spacing w:after="0"/>
        <w:tabs>
          <w:tab w:leader="none" w:pos="68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71" w:lineRule="auto"/>
        <w:tabs>
          <w:tab w:leader="none" w:pos="145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auto"/>
        </w:rPr>
      </w:pPr>
    </w:p>
    <w:p>
      <w:pPr>
        <w:jc w:val="both"/>
        <w:ind w:left="-656" w:firstLine="1305"/>
        <w:spacing w:after="0" w:line="254" w:lineRule="auto"/>
        <w:tabs>
          <w:tab w:leader="none" w:pos="134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(ii) any and all reasonable expenses paid or incurred by the Executive in connection with and related to the performance of his duties and responsibilities for the Company up to and through the date of termination, and (iii) any benefits provided under the Company's employee benefit plans pursuant to, and in accordance with, the terms of such plans through the date of termination (collectively, the "</w:t>
      </w:r>
      <w:r>
        <w:rPr>
          <w:rFonts w:ascii="Arial" w:cs="Arial" w:eastAsia="Arial" w:hAnsi="Arial"/>
          <w:sz w:val="18"/>
          <w:szCs w:val="18"/>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The Company shall deduct, from all payments made hereunder, all applicable taxes, including income tax, FICA and FUTA, and other appropriate deductions.</w:t>
      </w:r>
    </w:p>
    <w:p>
      <w:pPr>
        <w:spacing w:after="0" w:line="192" w:lineRule="exact"/>
        <w:rPr>
          <w:rFonts w:ascii="Arial" w:cs="Arial" w:eastAsia="Arial" w:hAnsi="Arial"/>
          <w:sz w:val="18"/>
          <w:szCs w:val="18"/>
          <w:color w:val="auto"/>
        </w:rPr>
      </w:pPr>
    </w:p>
    <w:p>
      <w:pPr>
        <w:jc w:val="both"/>
        <w:ind w:left="-656" w:firstLine="1305"/>
        <w:spacing w:after="0" w:line="287" w:lineRule="auto"/>
        <w:tabs>
          <w:tab w:leader="none" w:pos="138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 physical or mental disability that prevents the performance by the Executive, with or without reasonable accommodation, of his essential duties and responsibilities hereunder for ninety (90) consecutive days, or an aggregate of one-hundred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393065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93" w:name="page94"/>
    <w:bookmarkEnd w:id="93"/>
    <w:p>
      <w:pPr>
        <w:ind w:left="760" w:hanging="655"/>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20" w:firstLine="653"/>
        <w:spacing w:after="0" w:line="277" w:lineRule="auto"/>
        <w:tabs>
          <w:tab w:leader="none" w:pos="137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any time during the Employment Period, the Company may terminate this Agreement and the Executive's employment hereunder for Cause. Such termination shall be effective immediately upon notice to the Executive.</w:t>
      </w:r>
    </w:p>
    <w:p>
      <w:pPr>
        <w:spacing w:after="0" w:line="170"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as used in this Agreement shall mean: (a)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18"/>
          <w:szCs w:val="18"/>
          <w:i w:val="1"/>
          <w:iCs w:val="1"/>
          <w:color w:val="auto"/>
        </w:rPr>
        <w:t xml:space="preserve">nolo contendere </w:t>
      </w:r>
      <w:r>
        <w:rPr>
          <w:rFonts w:ascii="Arial" w:cs="Arial" w:eastAsia="Arial" w:hAnsi="Arial"/>
          <w:sz w:val="18"/>
          <w:szCs w:val="18"/>
          <w:color w:val="auto"/>
        </w:rPr>
        <w:t>to a felony, (c) intentional breach of Section 10 of this Agreement, (d) an intentional breach of the Non-Disclosure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Agreement of even date herewith (the "</w:t>
      </w:r>
      <w:r>
        <w:rPr>
          <w:rFonts w:ascii="Arial" w:cs="Arial" w:eastAsia="Arial" w:hAnsi="Arial"/>
          <w:sz w:val="18"/>
          <w:szCs w:val="18"/>
          <w:u w:val="single" w:color="auto"/>
          <w:color w:val="auto"/>
        </w:rPr>
        <w:t>NDA</w:t>
      </w:r>
      <w:r>
        <w:rPr>
          <w:rFonts w:ascii="Arial" w:cs="Arial" w:eastAsia="Arial" w:hAnsi="Arial"/>
          <w:sz w:val="18"/>
          <w:szCs w:val="18"/>
          <w:color w:val="auto"/>
        </w:rPr>
        <w:t>"); or (e) a unanimous good faith finding by the Board (with the Executive abstaining) that Executive has engaged in fraud, dishonesty, gross negligence or misconduct which, if curable, has not been cured by Executive within thirty (30) days after his receipt of a written notice from the Board stating with reasonable specificity the basis of such finding.</w:t>
      </w:r>
    </w:p>
    <w:p>
      <w:pPr>
        <w:spacing w:after="0" w:line="195" w:lineRule="exact"/>
        <w:rPr>
          <w:sz w:val="20"/>
          <w:szCs w:val="20"/>
          <w:color w:val="auto"/>
        </w:rPr>
      </w:pPr>
    </w:p>
    <w:p>
      <w:pPr>
        <w:jc w:val="both"/>
        <w:ind w:left="100" w:firstLine="653"/>
        <w:spacing w:after="0" w:line="259" w:lineRule="auto"/>
        <w:tabs>
          <w:tab w:leader="none" w:pos="13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100" w:firstLine="653"/>
        <w:spacing w:after="0" w:line="277" w:lineRule="auto"/>
        <w:tabs>
          <w:tab w:leader="none" w:pos="13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4" w:name="page95"/>
    <w:bookmarkEnd w:id="94"/>
    <w:p>
      <w:pPr>
        <w:ind w:left="760" w:hanging="655"/>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69" w:lineRule="auto"/>
        <w:tabs>
          <w:tab w:leader="none" w:pos="1363" w:val="left"/>
        </w:tabs>
        <w:numPr>
          <w:ilvl w:val="1"/>
          <w:numId w:val="69"/>
        </w:numPr>
        <w:rPr>
          <w:rFonts w:ascii="Arial" w:cs="Arial" w:eastAsia="Arial" w:hAnsi="Arial"/>
          <w:sz w:val="17"/>
          <w:szCs w:val="17"/>
          <w:color w:val="auto"/>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w:t>
      </w:r>
      <w:r>
        <w:rPr>
          <w:rFonts w:ascii="Arial" w:cs="Arial" w:eastAsia="Arial" w:hAnsi="Arial"/>
          <w:sz w:val="17"/>
          <w:szCs w:val="17"/>
          <w:u w:val="single" w:color="auto"/>
          <w:color w:val="auto"/>
        </w:rPr>
        <w:t>Good Reason</w:t>
      </w:r>
      <w:r>
        <w:rPr>
          <w:rFonts w:ascii="Arial" w:cs="Arial" w:eastAsia="Arial" w:hAnsi="Arial"/>
          <w:sz w:val="17"/>
          <w:szCs w:val="17"/>
          <w:color w:val="auto"/>
        </w:rPr>
        <w:t>" as used in this Agreement shall mean the occurrence of any of the following events: (a) the assignment, without the Executive's consent, to the Executive of duties that result in a substantial diminution of the duties that he assumed on the Effective Date; provided, however, the failure of the Executive to be reelected to the Board shall not be deemed to be a diminution of duties; (b) the assignment, without the Executive's consent, to the Executive of a title that is subordinate to the title Chief Operating Officer; (c) a reduction in Executive's Base Salary; (d) the Company's requirement that Executive regularly report to work in a location that is more than fifty miles from the Company's current New York office as of the date of this Agreement, without the Executive's consent; (e) a change in reporting relationship, provided however, that Good Reason does not include a change in the reporting relationship whereby Executive will report to the board of directors of an acquiring company after a Change of Control (as that term is defined in the Corporation's 2012 Employee, Director and Consultant Equity Incentive Plan); or (f) a material breach by the Company of this Agreement.</w:t>
      </w:r>
    </w:p>
    <w:p>
      <w:pPr>
        <w:spacing w:after="0" w:line="182" w:lineRule="exact"/>
        <w:rPr>
          <w:rFonts w:ascii="Arial" w:cs="Arial" w:eastAsia="Arial" w:hAnsi="Arial"/>
          <w:sz w:val="17"/>
          <w:szCs w:val="17"/>
          <w:color w:val="auto"/>
        </w:rPr>
      </w:pPr>
    </w:p>
    <w:p>
      <w:pPr>
        <w:jc w:val="both"/>
        <w:ind w:left="100" w:firstLine="653"/>
        <w:spacing w:after="0" w:line="255" w:lineRule="auto"/>
        <w:tabs>
          <w:tab w:leader="none" w:pos="140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193" w:lineRule="exact"/>
        <w:rPr>
          <w:rFonts w:ascii="Arial" w:cs="Arial" w:eastAsia="Arial" w:hAnsi="Arial"/>
          <w:sz w:val="18"/>
          <w:szCs w:val="18"/>
          <w:color w:val="auto"/>
        </w:rPr>
      </w:pPr>
    </w:p>
    <w:p>
      <w:pPr>
        <w:ind w:left="100" w:firstLine="653"/>
        <w:spacing w:after="0" w:line="308" w:lineRule="auto"/>
        <w:tabs>
          <w:tab w:leader="none" w:pos="1444"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46" w:lineRule="exact"/>
        <w:rPr>
          <w:rFonts w:ascii="Arial" w:cs="Arial" w:eastAsia="Arial" w:hAnsi="Arial"/>
          <w:sz w:val="17"/>
          <w:szCs w:val="17"/>
          <w:color w:val="auto"/>
        </w:rPr>
      </w:pPr>
    </w:p>
    <w:p>
      <w:pPr>
        <w:ind w:left="2060" w:hanging="659"/>
        <w:spacing w:after="0"/>
        <w:tabs>
          <w:tab w:leader="none" w:pos="20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420" w:firstLine="981"/>
        <w:spacing w:after="0" w:line="289" w:lineRule="auto"/>
        <w:tabs>
          <w:tab w:leader="none" w:pos="2091"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 amount of Base Salary (at the rate of Base Salary in effect immediately prior to the Executive's termination hereunder) equal to the lesser of (x) one (1) times the Executive's Base Salary, and (y) two (2) times the Base Salary payable for the number of full months remaining in the Employment Period. Except as otherwise provided in this Agreement, the Company shall pay to Executive the amounts provided in this Section 9(e)(3)(B)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389255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95" w:name="page96"/>
    <w:bookmarkEnd w:id="95"/>
    <w:p>
      <w:pPr>
        <w:jc w:val="both"/>
        <w:ind w:left="420" w:firstLine="981"/>
        <w:spacing w:after="0" w:line="289" w:lineRule="auto"/>
        <w:tabs>
          <w:tab w:leader="none" w:pos="20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66" w:lineRule="exact"/>
        <w:rPr>
          <w:rFonts w:ascii="Arial" w:cs="Arial" w:eastAsia="Arial" w:hAnsi="Arial"/>
          <w:sz w:val="16"/>
          <w:szCs w:val="16"/>
          <w:color w:val="auto"/>
        </w:rPr>
      </w:pPr>
    </w:p>
    <w:p>
      <w:pPr>
        <w:jc w:val="both"/>
        <w:ind w:left="-1200" w:firstLine="1305"/>
        <w:spacing w:after="0" w:line="291" w:lineRule="auto"/>
        <w:tabs>
          <w:tab w:leader="none" w:pos="79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By Executive without Good Reason</w:t>
      </w:r>
      <w:r>
        <w:rPr>
          <w:rFonts w:ascii="Arial" w:cs="Arial" w:eastAsia="Arial" w:hAnsi="Arial"/>
          <w:sz w:val="16"/>
          <w:szCs w:val="16"/>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through the date the Employment Period is terminated. The Company shall deduct, from all payments made hereunder, all applicable taxes, including income tax, FICA and FUTA, and other appropriate deductions.</w:t>
      </w:r>
    </w:p>
    <w:p>
      <w:pPr>
        <w:spacing w:after="0" w:line="167" w:lineRule="exact"/>
        <w:rPr>
          <w:rFonts w:ascii="Arial" w:cs="Arial" w:eastAsia="Arial" w:hAnsi="Arial"/>
          <w:sz w:val="16"/>
          <w:szCs w:val="16"/>
          <w:color w:val="auto"/>
        </w:rPr>
      </w:pPr>
    </w:p>
    <w:p>
      <w:pPr>
        <w:jc w:val="both"/>
        <w:ind w:left="-1200" w:firstLine="1305"/>
        <w:spacing w:after="0" w:line="297" w:lineRule="auto"/>
        <w:tabs>
          <w:tab w:leader="none" w:pos="91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By the Company without Cause</w:t>
      </w:r>
      <w:r>
        <w:rPr>
          <w:rFonts w:ascii="Arial" w:cs="Arial" w:eastAsia="Arial" w:hAnsi="Arial"/>
          <w:sz w:val="16"/>
          <w:szCs w:val="16"/>
          <w:color w:val="auto"/>
        </w:rPr>
        <w:t>. At any time during the Employment Period, the Company shall be entitled to terminate this Agreement and the Executive's employment with the Company without Cause upon written notice to the Executive.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384175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6" w:name="page97"/>
    <w:bookmarkEnd w:id="96"/>
    <w:p>
      <w:pPr>
        <w:jc w:val="both"/>
        <w:ind w:firstLine="1305"/>
        <w:spacing w:after="0" w:line="264" w:lineRule="auto"/>
        <w:tabs>
          <w:tab w:leader="none" w:pos="207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auto"/>
        </w:rPr>
      </w:pPr>
    </w:p>
    <w:p>
      <w:pPr>
        <w:jc w:val="both"/>
        <w:ind w:firstLine="1305"/>
        <w:spacing w:after="0" w:line="288" w:lineRule="auto"/>
        <w:tabs>
          <w:tab w:leader="none" w:pos="195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It is agreed that an express condition of the payment or provision by the Company of any severance amount or post-termination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w:t>
      </w:r>
    </w:p>
    <w:p>
      <w:pPr>
        <w:spacing w:after="0" w:line="205" w:lineRule="auto"/>
        <w:rPr>
          <w:sz w:val="20"/>
          <w:szCs w:val="20"/>
          <w:color w:val="auto"/>
        </w:rPr>
      </w:pPr>
      <w:r>
        <w:rPr>
          <w:rFonts w:ascii="Arial" w:cs="Arial" w:eastAsia="Arial" w:hAnsi="Arial"/>
          <w:sz w:val="18"/>
          <w:szCs w:val="18"/>
          <w:color w:val="auto"/>
        </w:rPr>
        <w:t>acceptable to the Company and Executive, and such release must be effective and irrevocable prior to the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termination of the Executive's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03" w:lineRule="exact"/>
        <w:rPr>
          <w:sz w:val="20"/>
          <w:szCs w:val="20"/>
          <w:color w:val="auto"/>
        </w:rPr>
      </w:pPr>
    </w:p>
    <w:p>
      <w:pPr>
        <w:ind w:left="1920" w:hanging="615"/>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auto"/>
        </w:rPr>
      </w:pPr>
    </w:p>
    <w:p>
      <w:pPr>
        <w:jc w:val="both"/>
        <w:ind w:left="1300" w:firstLine="653"/>
        <w:spacing w:after="0" w:line="255" w:lineRule="auto"/>
        <w:tabs>
          <w:tab w:leader="none" w:pos="281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93" w:lineRule="exact"/>
        <w:rPr>
          <w:rFonts w:ascii="Arial" w:cs="Arial" w:eastAsia="Arial" w:hAnsi="Arial"/>
          <w:sz w:val="18"/>
          <w:szCs w:val="18"/>
          <w:color w:val="auto"/>
        </w:rPr>
      </w:pPr>
    </w:p>
    <w:p>
      <w:pPr>
        <w:ind w:left="2620" w:hanging="667"/>
        <w:spacing w:after="0"/>
        <w:tabs>
          <w:tab w:leader="none" w:pos="26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of the Code.</w:t>
      </w:r>
    </w:p>
    <w:p>
      <w:pPr>
        <w:spacing w:after="0" w:line="210" w:lineRule="exact"/>
        <w:rPr>
          <w:rFonts w:ascii="Arial" w:cs="Arial" w:eastAsia="Arial" w:hAnsi="Arial"/>
          <w:sz w:val="16"/>
          <w:szCs w:val="16"/>
          <w:color w:val="auto"/>
        </w:rPr>
      </w:pPr>
    </w:p>
    <w:p>
      <w:pPr>
        <w:jc w:val="both"/>
        <w:ind w:left="1300" w:firstLine="653"/>
        <w:spacing w:after="0" w:line="271" w:lineRule="auto"/>
        <w:tabs>
          <w:tab w:leader="none" w:pos="2765"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left="1280" w:hanging="624"/>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41"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w:t>
      </w:r>
      <w:r>
        <w:rPr>
          <w:rFonts w:ascii="Arial" w:cs="Arial" w:eastAsia="Arial" w:hAnsi="Arial"/>
          <w:sz w:val="18"/>
          <w:szCs w:val="18"/>
          <w:u w:val="single" w:color="auto"/>
          <w:color w:val="auto"/>
        </w:rPr>
        <w:t>Sections 10(b), (c) and (d)</w:t>
      </w:r>
      <w:r>
        <w:rPr>
          <w:rFonts w:ascii="Arial" w:cs="Arial" w:eastAsia="Arial" w:hAnsi="Arial"/>
          <w:sz w:val="18"/>
          <w:szCs w:val="18"/>
          <w:color w:val="auto"/>
        </w:rPr>
        <w:t xml:space="preserve"> below).</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Business Activity</w:t>
      </w:r>
      <w:r>
        <w:rPr>
          <w:rFonts w:ascii="Arial" w:cs="Arial" w:eastAsia="Arial" w:hAnsi="Arial"/>
          <w:sz w:val="17"/>
          <w:szCs w:val="17"/>
          <w:color w:val="auto"/>
        </w:rPr>
        <w:t>" as used in this Section 10, means that the Executive shall not, directly or indirectly:</w:t>
      </w:r>
    </w:p>
    <w:p>
      <w:pPr>
        <w:spacing w:after="0" w:line="236" w:lineRule="exact"/>
        <w:rPr>
          <w:rFonts w:ascii="Arial" w:cs="Arial" w:eastAsia="Arial" w:hAnsi="Arial"/>
          <w:sz w:val="17"/>
          <w:szCs w:val="17"/>
          <w:color w:val="auto"/>
        </w:rPr>
      </w:pPr>
    </w:p>
    <w:p>
      <w:pPr>
        <w:jc w:val="both"/>
        <w:ind w:left="1300" w:firstLine="653"/>
        <w:spacing w:after="0" w:line="257" w:lineRule="auto"/>
        <w:tabs>
          <w:tab w:leader="none" w:pos="2576" w:val="left"/>
        </w:tabs>
        <w:numPr>
          <w:ilvl w:val="2"/>
          <w:numId w:val="74"/>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(i) the primary value of which is monetizing patent portfolios or (ii) to any company primarily engaged in the business of monetizing patent portfolios. For the avoidance of doubt, engaging in the licensing of patents to or from third parties for the purpose of development and sale of products and services incorporating such patents by the licensee is not a competing activity; or</w:t>
      </w:r>
    </w:p>
    <w:p>
      <w:pPr>
        <w:spacing w:after="0" w:line="188" w:lineRule="exact"/>
        <w:rPr>
          <w:rFonts w:ascii="Arial" w:cs="Arial" w:eastAsia="Arial" w:hAnsi="Arial"/>
          <w:sz w:val="18"/>
          <w:szCs w:val="18"/>
          <w:color w:val="auto"/>
        </w:rPr>
      </w:pPr>
    </w:p>
    <w:p>
      <w:pPr>
        <w:ind w:left="1300" w:firstLine="653"/>
        <w:spacing w:after="0" w:line="277" w:lineRule="auto"/>
        <w:tabs>
          <w:tab w:leader="none" w:pos="2806" w:val="left"/>
        </w:tabs>
        <w:numPr>
          <w:ilvl w:val="2"/>
          <w:numId w:val="74"/>
        </w:numPr>
        <w:rPr>
          <w:rFonts w:ascii="Arial" w:cs="Arial" w:eastAsia="Arial" w:hAnsi="Arial"/>
          <w:sz w:val="18"/>
          <w:szCs w:val="18"/>
          <w:color w:val="auto"/>
        </w:rPr>
      </w:pPr>
      <w:r>
        <w:rPr>
          <w:rFonts w:ascii="Arial" w:cs="Arial" w:eastAsia="Arial" w:hAnsi="Arial"/>
          <w:sz w:val="18"/>
          <w:szCs w:val="18"/>
          <w:color w:val="auto"/>
        </w:rPr>
        <w:t>solicit any material commercial relationships of the Company, other than in the furtherance of the business of the Company during the Employment Period;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provided however, that Restricted Business Activity shall not be construed to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providing services to any division, department or branch of another company that does not itself engage in whole or in part in the business of innovation, development and monetization of mobile technologies and intellectual property; or (iii) soliciting any material commercial relationships of the Company for the purpose of selling products or providing services that are not the same or substantially similar to the products or services sold by the Company during the Employment Period.</w:t>
      </w:r>
    </w:p>
    <w:p>
      <w:pPr>
        <w:spacing w:after="0" w:line="178" w:lineRule="exact"/>
        <w:rPr>
          <w:sz w:val="20"/>
          <w:szCs w:val="20"/>
          <w:color w:val="auto"/>
        </w:rPr>
      </w:pPr>
    </w:p>
    <w:p>
      <w:pPr>
        <w:ind w:firstLine="1305"/>
        <w:spacing w:after="0" w:line="277" w:lineRule="auto"/>
        <w:tabs>
          <w:tab w:leader="none" w:pos="19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as used in this Section 10, shall mean during the Employment Period plus two (2) years after the date the Executive is actually no longer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ind w:left="1960" w:hanging="655"/>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as used in this Section 10 shall mean worldwide.</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081"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provisions of this Section 10 shall survive the termination of the Executive's employment hereunder and until the end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Restricted Period.</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2108"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firstLine="1305"/>
        <w:spacing w:after="0" w:line="293" w:lineRule="auto"/>
        <w:tabs>
          <w:tab w:leader="none" w:pos="201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99" w:name="page100"/>
    <w:bookmarkEnd w:id="99"/>
    <w:p>
      <w:pPr>
        <w:jc w:val="both"/>
        <w:ind w:left="-1200" w:firstLine="1305"/>
        <w:spacing w:after="0" w:line="289" w:lineRule="auto"/>
        <w:tabs>
          <w:tab w:leader="none" w:pos="7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including, without limitation, the Prior Agreement,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 Notwithstanding the foregoing, the NDA is amended by this Agreement such that the period in Section 4 of the NDA during which the Executive agrees not to solicit Business Partners (as such term is defined in the NDA) shall be during the Executive's employment with the Company and for a period of two (2) years thereafter.</w:t>
      </w:r>
    </w:p>
    <w:p>
      <w:pPr>
        <w:spacing w:after="0" w:line="166" w:lineRule="exact"/>
        <w:rPr>
          <w:rFonts w:ascii="Arial" w:cs="Arial" w:eastAsia="Arial" w:hAnsi="Arial"/>
          <w:sz w:val="16"/>
          <w:szCs w:val="16"/>
          <w:color w:val="auto"/>
        </w:rPr>
      </w:pPr>
    </w:p>
    <w:p>
      <w:pPr>
        <w:jc w:val="both"/>
        <w:ind w:left="-1200" w:firstLine="1305"/>
        <w:spacing w:after="0" w:line="257" w:lineRule="auto"/>
        <w:tabs>
          <w:tab w:leader="none" w:pos="8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left="-1200" w:firstLine="1305"/>
        <w:spacing w:after="0" w:line="277" w:lineRule="auto"/>
        <w:tabs>
          <w:tab w:leader="none" w:pos="9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1200" w:firstLine="1305"/>
        <w:spacing w:after="0" w:line="277"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this Agreement or the Employment Period is terminated for any reason, the NDA (as amended by this Agreement) and Section 10 shall survive termination of this Agreement.</w:t>
      </w:r>
    </w:p>
    <w:p>
      <w:pPr>
        <w:spacing w:after="0" w:line="170" w:lineRule="exact"/>
        <w:rPr>
          <w:rFonts w:ascii="Arial" w:cs="Arial" w:eastAsia="Arial" w:hAnsi="Arial"/>
          <w:sz w:val="18"/>
          <w:szCs w:val="18"/>
          <w:color w:val="auto"/>
        </w:rPr>
      </w:pPr>
    </w:p>
    <w:p>
      <w:pPr>
        <w:ind w:left="-1200" w:firstLine="1305"/>
        <w:spacing w:after="0" w:line="277" w:lineRule="auto"/>
        <w:tabs>
          <w:tab w:leader="none" w:pos="8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of litigation between the parties hereto regarding this Agreement, the prevailing party shall be entitled to recover the costs and fees, including reasonable attorney's fees, incurred by such party in the litigation.</w:t>
      </w:r>
    </w:p>
    <w:p>
      <w:pPr>
        <w:spacing w:after="0" w:line="170" w:lineRule="exact"/>
        <w:rPr>
          <w:rFonts w:ascii="Arial" w:cs="Arial" w:eastAsia="Arial" w:hAnsi="Arial"/>
          <w:sz w:val="18"/>
          <w:szCs w:val="18"/>
          <w:color w:val="auto"/>
        </w:rPr>
      </w:pPr>
    </w:p>
    <w:p>
      <w:pPr>
        <w:ind w:left="-1200" w:firstLine="1305"/>
        <w:spacing w:after="0" w:line="277" w:lineRule="auto"/>
        <w:tabs>
          <w:tab w:leader="none" w:pos="8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left="-1200" w:firstLine="1305"/>
        <w:spacing w:after="0" w:line="255" w:lineRule="auto"/>
        <w:tabs>
          <w:tab w:leader="none" w:pos="7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00" w:name="page101"/>
    <w:bookmarkEnd w:id="100"/>
    <w:p>
      <w:pPr>
        <w:jc w:val="both"/>
        <w:ind w:firstLine="1305"/>
        <w:spacing w:after="0" w:line="264" w:lineRule="auto"/>
        <w:tabs>
          <w:tab w:leader="none" w:pos="21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81" w:lineRule="exact"/>
        <w:rPr>
          <w:rFonts w:ascii="Arial" w:cs="Arial" w:eastAsia="Arial" w:hAnsi="Arial"/>
          <w:sz w:val="18"/>
          <w:szCs w:val="18"/>
          <w:color w:val="auto"/>
        </w:rPr>
      </w:pPr>
    </w:p>
    <w:p>
      <w:pPr>
        <w:ind w:firstLine="1305"/>
        <w:spacing w:after="0" w:line="308" w:lineRule="auto"/>
        <w:tabs>
          <w:tab w:leader="none" w:pos="195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9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Executive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Executive is a party.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 except that the Company shall reimburse the Executive for up to $10,000 for his legal fees incurred in connection with the review and negotiation of this Agreement prior to the Effective Date.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firstLine="627"/>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Alexander R. Berger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//John Engelman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Engelman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Independent Director and Chair of the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THIS INDEMNIFICATION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this 31st day of January, 2013, by and between</w:t>
      </w:r>
      <w:r>
        <w:rPr>
          <w:rFonts w:ascii="Arial" w:cs="Arial" w:eastAsia="Arial" w:hAnsi="Arial"/>
          <w:sz w:val="18"/>
          <w:szCs w:val="18"/>
          <w:b w:val="1"/>
          <w:bCs w:val="1"/>
          <w:color w:val="auto"/>
        </w:rPr>
        <w:t xml:space="preserve"> VRINGO,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and ________________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Agent performs a valuable service to the Corporation in his capacity as _________ of the Corporation;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has adopted provisions providing for indemnification of directors and officers included in its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and its Amended and Restated Bylaws (the "</w:t>
      </w:r>
      <w:r>
        <w:rPr>
          <w:rFonts w:ascii="Arial" w:cs="Arial" w:eastAsia="Arial" w:hAnsi="Arial"/>
          <w:sz w:val="18"/>
          <w:szCs w:val="18"/>
          <w:b w:val="1"/>
          <w:bCs w:val="1"/>
          <w:color w:val="auto"/>
        </w:rPr>
        <w:t>Bylaws</w:t>
      </w:r>
      <w:r>
        <w:rPr>
          <w:rFonts w:ascii="Arial" w:cs="Arial" w:eastAsia="Arial" w:hAnsi="Arial"/>
          <w:sz w:val="18"/>
          <w:szCs w:val="18"/>
          <w:color w:val="auto"/>
        </w:rPr>
        <w:t>") providing for the indemnification of the directors, officers, employees and other agents of the Corporation, including persons serving at the request of the Corporation in such capacities with other corporations or enterprises, as authorized by the Delaware General Corporation Law, as amended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Charter, the Bylaws and the DGCL, by their non-exclusive nature, permit contracts between the Corporation and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and other agents with respect to indemnification of such persons;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recognition of Agent's need for (a) substantial protection against personal liability based on Agent's reliance on the Charter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and (b) specific contractual assurance that the protection provided in the Charter and the Bylaws will be available to Agent (regardless of, among other things, any amendment to or revocation of the Charter and/or the Bylaws, any change in the composition of the Corporation's board of directors or a change in control of the Corporation);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Agent to continue to serve as [a director/an officer] of the Corporation, the Corporation has determined and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this Agreement with Agent;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supersedes and replaces the indemnification provisions set forth in any employment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Agent.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Agent's service as an officer of the Corporation following the date hereof,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Corporation and Agent hereby agree as follows:</w:t>
      </w:r>
    </w:p>
    <w:p>
      <w:pPr>
        <w:spacing w:after="0" w:line="162" w:lineRule="exact"/>
        <w:rPr>
          <w:sz w:val="20"/>
          <w:szCs w:val="20"/>
          <w:color w:val="auto"/>
        </w:rPr>
      </w:pPr>
    </w:p>
    <w:p>
      <w:pPr>
        <w:jc w:val="both"/>
        <w:ind w:firstLine="656"/>
        <w:spacing w:after="0" w:line="255" w:lineRule="auto"/>
        <w:tabs>
          <w:tab w:leader="none" w:pos="1391"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Services to the Corporation</w:t>
      </w:r>
      <w:r>
        <w:rPr>
          <w:rFonts w:ascii="Arial" w:cs="Arial" w:eastAsia="Arial" w:hAnsi="Arial"/>
          <w:sz w:val="18"/>
          <w:szCs w:val="18"/>
          <w:color w:val="auto"/>
        </w:rPr>
        <w:t>. Agent will serve, at the will of the Corporation (subject to any contractual obligation that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assumed apart from this Agreement) or under separate contract, if any such contract exists, as an officer of the Corporation or as a director, officer or other fiduciary of an affiliate of the Corporation (including any employee benefit plan of the Corporation) in a manner consistent with his fiduciary duties so long as he is duly elected and qualified in accordance with the provisions of the Bylaws or other applicable charter documents/is a duly appointed officer of the Corporation or such affiliate; provided, however, that Agent may at any time and for any reason resign from such position (subject to any contractual obligation that Agent may have assumed apart from this Agreement) and that the Corporation or any affiliate shall have no obligation under this Agreement to continue Agent in any such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3" w:name="page104"/>
    <w:bookmarkEnd w:id="103"/>
    <w:p>
      <w:pPr>
        <w:jc w:val="both"/>
        <w:ind w:firstLine="656"/>
        <w:spacing w:after="0" w:line="314" w:lineRule="auto"/>
        <w:tabs>
          <w:tab w:leader="none" w:pos="1445"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Indemnity of Agent</w:t>
      </w:r>
      <w:r>
        <w:rPr>
          <w:rFonts w:ascii="Arial" w:cs="Arial" w:eastAsia="Arial" w:hAnsi="Arial"/>
          <w:sz w:val="16"/>
          <w:szCs w:val="16"/>
          <w:color w:val="auto"/>
        </w:rPr>
        <w:t>. The Corporation agrees to hold harmless and indemnify Agent to the fullest extent authorized or permitted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Charter, the Bylaws and the DGCL, as the same may be amended from time to time (but, only to the extent that such amendment permits the Corporation to provide broader indemnification rights than the Charter, the Bylaws or the DGCL permitted prior to adoption of such amendment).</w:t>
      </w:r>
    </w:p>
    <w:p>
      <w:pPr>
        <w:spacing w:after="0" w:line="142" w:lineRule="exact"/>
        <w:rPr>
          <w:rFonts w:ascii="Arial" w:cs="Arial" w:eastAsia="Arial" w:hAnsi="Arial"/>
          <w:sz w:val="16"/>
          <w:szCs w:val="16"/>
          <w:color w:val="auto"/>
        </w:rPr>
      </w:pPr>
    </w:p>
    <w:p>
      <w:pPr>
        <w:ind w:right="20" w:firstLine="656"/>
        <w:spacing w:after="0" w:line="282" w:lineRule="auto"/>
        <w:tabs>
          <w:tab w:leader="none" w:pos="1431"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Additional Indemnity</w:t>
      </w:r>
      <w:r>
        <w:rPr>
          <w:rFonts w:ascii="Arial" w:cs="Arial" w:eastAsia="Arial" w:hAnsi="Arial"/>
          <w:sz w:val="18"/>
          <w:szCs w:val="18"/>
          <w:color w:val="auto"/>
        </w:rPr>
        <w:t>. In addition to and not in limitation of the indemnification otherwise provided for herein, and subject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exclusions set forth in Section 4 hereof, the Corporation further agrees to hold harmless and indemnify Agent:</w:t>
      </w:r>
    </w:p>
    <w:p>
      <w:pPr>
        <w:spacing w:after="0" w:line="165" w:lineRule="exact"/>
        <w:rPr>
          <w:rFonts w:ascii="Arial" w:cs="Arial" w:eastAsia="Arial" w:hAnsi="Arial"/>
          <w:sz w:val="18"/>
          <w:szCs w:val="18"/>
          <w:color w:val="auto"/>
        </w:rPr>
      </w:pPr>
    </w:p>
    <w:p>
      <w:pPr>
        <w:jc w:val="both"/>
        <w:ind w:firstLine="1305"/>
        <w:spacing w:after="0" w:line="270" w:lineRule="auto"/>
        <w:tabs>
          <w:tab w:leader="none" w:pos="2041" w:val="left"/>
        </w:tabs>
        <w:numPr>
          <w:ilvl w:val="1"/>
          <w:numId w:val="81"/>
        </w:numPr>
        <w:rPr>
          <w:rFonts w:ascii="Arial" w:cs="Arial" w:eastAsia="Arial" w:hAnsi="Arial"/>
          <w:sz w:val="17"/>
          <w:szCs w:val="17"/>
          <w:color w:val="auto"/>
        </w:rPr>
      </w:pPr>
      <w:r>
        <w:rPr>
          <w:rFonts w:ascii="Arial" w:cs="Arial" w:eastAsia="Arial" w:hAnsi="Arial"/>
          <w:sz w:val="17"/>
          <w:szCs w:val="17"/>
          <w:color w:val="auto"/>
        </w:rPr>
        <w:t>against any and all expenses (including attorneys' fees), witness fees, damages, judgments, fines and amounts paid in settlement and any other amounts that Agent becomes legally obligated to pay (including any federal, state or local taxes imposed on Agent as a result of receipt of reimbursements or advances of expenses under this Agreement) because of any claim or claims made against or by him in connection with any threatened, pending or completed action, suit or proceeding, including any appeal and the premium, security for, and other costs relating to any costs bond, supersedes bond, or other appeal bond or its equivalent, whether civil, criminal, arbitrational, administrative or investigative, whether formal or informal (including an action by or in the right of the Corporation), to which Agent is, was or at any time becomes a party or a witness, or is threatened to be made a party or a witness, by reason of the fact that Agent is, was or at any time becomes a director, officer, employee or other agent of the Corporation, or is or was serving or at any time serves at the request of the Corporation as a director, officer, employee or other agent of another corporation, partnership, joint venture, trust, employee benefit plan or other enterprise; and</w:t>
      </w:r>
    </w:p>
    <w:p>
      <w:pPr>
        <w:spacing w:after="0" w:line="181" w:lineRule="exact"/>
        <w:rPr>
          <w:rFonts w:ascii="Arial" w:cs="Arial" w:eastAsia="Arial" w:hAnsi="Arial"/>
          <w:sz w:val="17"/>
          <w:szCs w:val="17"/>
          <w:color w:val="auto"/>
        </w:rPr>
      </w:pPr>
    </w:p>
    <w:p>
      <w:pPr>
        <w:ind w:firstLine="1305"/>
        <w:spacing w:after="0" w:line="277" w:lineRule="auto"/>
        <w:tabs>
          <w:tab w:leader="none" w:pos="19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otherwise to the fullest extent as may be provided to Agent by the Corporation under the non-exclusivity provisions of the DGCL, the Charter and the Bylaws.</w:t>
      </w:r>
    </w:p>
    <w:p>
      <w:pPr>
        <w:spacing w:after="0" w:line="166" w:lineRule="exact"/>
        <w:rPr>
          <w:rFonts w:ascii="Arial" w:cs="Arial" w:eastAsia="Arial" w:hAnsi="Arial"/>
          <w:sz w:val="18"/>
          <w:szCs w:val="18"/>
          <w:color w:val="auto"/>
        </w:rPr>
      </w:pPr>
    </w:p>
    <w:p>
      <w:pPr>
        <w:ind w:left="1340" w:hanging="684"/>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Limitations on Additional Indemnity</w:t>
      </w:r>
      <w:r>
        <w:rPr>
          <w:rFonts w:ascii="Arial" w:cs="Arial" w:eastAsia="Arial" w:hAnsi="Arial"/>
          <w:sz w:val="18"/>
          <w:szCs w:val="18"/>
          <w:color w:val="auto"/>
        </w:rPr>
        <w:t>. No indemnity pursuant to Section 3 hereof shall be paid by the Corporation:</w:t>
      </w:r>
    </w:p>
    <w:p>
      <w:pPr>
        <w:spacing w:after="0" w:line="229" w:lineRule="exact"/>
        <w:rPr>
          <w:rFonts w:ascii="Arial" w:cs="Arial" w:eastAsia="Arial" w:hAnsi="Arial"/>
          <w:sz w:val="18"/>
          <w:szCs w:val="18"/>
          <w:color w:val="auto"/>
        </w:rPr>
      </w:pPr>
    </w:p>
    <w:p>
      <w:pPr>
        <w:jc w:val="both"/>
        <w:ind w:firstLine="1305"/>
        <w:spacing w:after="0" w:line="297" w:lineRule="auto"/>
        <w:tabs>
          <w:tab w:leader="none" w:pos="2081" w:val="left"/>
        </w:tabs>
        <w:numPr>
          <w:ilvl w:val="1"/>
          <w:numId w:val="81"/>
        </w:numPr>
        <w:rPr>
          <w:rFonts w:ascii="Arial" w:cs="Arial" w:eastAsia="Arial" w:hAnsi="Arial"/>
          <w:sz w:val="16"/>
          <w:szCs w:val="16"/>
          <w:color w:val="auto"/>
        </w:rPr>
      </w:pPr>
      <w:r>
        <w:rPr>
          <w:rFonts w:ascii="Arial" w:cs="Arial" w:eastAsia="Arial" w:hAnsi="Arial"/>
          <w:sz w:val="16"/>
          <w:szCs w:val="16"/>
          <w:color w:val="auto"/>
        </w:rPr>
        <w:t>on account of any claim or proceeding against Agent for an accounting of profits made from the purchase or sale by Agent of securities of the Corporation pursuant to the provisions of Section 16(b) of the Securities Exchange Act of 1934, as heretofore or hereafter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similar provisions of any federal, state or local law, provided, however, if and when Agent ultimately establishes in any such proceeding that no recovery of profits from Agent is permitted under Section 16(b) of the Exchange Act or such similar provision of any similar federal, state or local law, then, notwithstanding anything to the contrary provided in this Section 4(a), indemnification pursuant to this Agreement shall then be permitted;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ind w:right="380" w:firstLine="1305"/>
        <w:spacing w:after="0" w:line="277" w:lineRule="auto"/>
        <w:tabs>
          <w:tab w:leader="none" w:pos="19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 account of Agent's conduct that is established by a final judgment as knowingly fraudulent or deliberately dishonest or that constituted willful misconduct;</w:t>
      </w:r>
    </w:p>
    <w:p>
      <w:pPr>
        <w:spacing w:after="0" w:line="170" w:lineRule="exact"/>
        <w:rPr>
          <w:rFonts w:ascii="Arial" w:cs="Arial" w:eastAsia="Arial" w:hAnsi="Arial"/>
          <w:sz w:val="18"/>
          <w:szCs w:val="18"/>
          <w:color w:val="auto"/>
        </w:rPr>
      </w:pPr>
    </w:p>
    <w:p>
      <w:pPr>
        <w:ind w:right="20" w:firstLine="1305"/>
        <w:spacing w:after="0" w:line="277" w:lineRule="auto"/>
        <w:tabs>
          <w:tab w:leader="none" w:pos="20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 account and to the extent of Agent's conduct that is established by a final judgment as constituting a breach of Agent's duty of loyalty to the Corporation or resulting in any personal profit or advantage to which Agent was not legally entitled;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 account and to the extent of any payment which is actually made to Agent under any valid and collectible insurance policy or under any valid and enforceable indemnity clause, bylaw or agreement, except to the extent of any excess indemnifiable amounts not covered under such insurance, clause, bylaw or;</w:t>
      </w:r>
    </w:p>
    <w:p>
      <w:pPr>
        <w:spacing w:after="0" w:line="181" w:lineRule="exact"/>
        <w:rPr>
          <w:rFonts w:ascii="Arial" w:cs="Arial" w:eastAsia="Arial" w:hAnsi="Arial"/>
          <w:sz w:val="18"/>
          <w:szCs w:val="18"/>
          <w:color w:val="auto"/>
        </w:rPr>
      </w:pPr>
    </w:p>
    <w:p>
      <w:pPr>
        <w:ind w:right="180" w:firstLine="1305"/>
        <w:spacing w:after="0" w:line="254" w:lineRule="auto"/>
        <w:tabs>
          <w:tab w:leader="none" w:pos="19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the extent indemnification is prohibited by applicable law (and, in this respect, both the Corporation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Both the Corporation and Agent acknowledge that, in certain instances, federal law or applicable public policy may prohibit the Company from indemnifying, exonerating or holding harmless its directors, officers, employees, agents or fiduciaries under this Agreement or otherwise. The Agent understands and acknowledges that the Corporation may be required in the future to undertake with the Securities and Exchange Commission to submit the question of indemnification, exoneration or hold harmless rights to a court in certain circumstances for a determination of the Corporation's right under public policy to indemnify, exonerate or hold harmless the Agent.; or</w:t>
      </w:r>
    </w:p>
    <w:p>
      <w:pPr>
        <w:spacing w:after="0" w:line="192" w:lineRule="exact"/>
        <w:rPr>
          <w:rFonts w:ascii="Arial" w:cs="Arial" w:eastAsia="Arial" w:hAnsi="Arial"/>
          <w:sz w:val="18"/>
          <w:szCs w:val="18"/>
          <w:color w:val="auto"/>
        </w:rPr>
      </w:pPr>
    </w:p>
    <w:p>
      <w:pPr>
        <w:jc w:val="both"/>
        <w:ind w:firstLine="1305"/>
        <w:spacing w:after="0" w:line="259" w:lineRule="auto"/>
        <w:tabs>
          <w:tab w:leader="none" w:pos="1994"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initiated by Agent, or any proceeding by Agent against the Corporation or its directors, officers, employees or other agents,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(iv) the proceeding is initiated pursuant to Section 11 hereof.</w:t>
      </w:r>
    </w:p>
    <w:p>
      <w:pPr>
        <w:spacing w:after="0" w:line="182" w:lineRule="exact"/>
        <w:rPr>
          <w:rFonts w:ascii="Arial" w:cs="Arial" w:eastAsia="Arial" w:hAnsi="Arial"/>
          <w:sz w:val="18"/>
          <w:szCs w:val="18"/>
          <w:color w:val="auto"/>
        </w:rPr>
      </w:pPr>
    </w:p>
    <w:p>
      <w:pPr>
        <w:ind w:firstLine="656"/>
        <w:spacing w:after="0" w:line="277" w:lineRule="auto"/>
        <w:tabs>
          <w:tab w:leader="none" w:pos="1323"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Continuation of Indemnity</w:t>
      </w:r>
      <w:r>
        <w:rPr>
          <w:rFonts w:ascii="Arial" w:cs="Arial" w:eastAsia="Arial" w:hAnsi="Arial"/>
          <w:sz w:val="17"/>
          <w:szCs w:val="17"/>
          <w:color w:val="auto"/>
        </w:rPr>
        <w:t>. All agreements and obligations of the Corporation contained herein shall continue during the period Agent is</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officer, employee or other agent of the Corporation (or is or was serving at the request of the Corporation as a director, officer, employee or other agent of another corporation, partnership, joint venture, trust, employee benefit plan or other enterprise) and shall continue thereafter so long as Agent shall be subject to any possible claim or threatened, pending or completed action, suit or proceeding, whether civil, criminal, arbitrational, administrative or investigative, by reason of the fact that Agent was serving in the capacity referred to herein.</w:t>
      </w:r>
    </w:p>
    <w:p>
      <w:pPr>
        <w:spacing w:after="0" w:line="168" w:lineRule="exact"/>
        <w:rPr>
          <w:rFonts w:ascii="Arial" w:cs="Arial" w:eastAsia="Arial" w:hAnsi="Arial"/>
          <w:sz w:val="17"/>
          <w:szCs w:val="17"/>
          <w:color w:val="auto"/>
        </w:rPr>
      </w:pPr>
    </w:p>
    <w:p>
      <w:pPr>
        <w:ind w:right="60" w:firstLine="656"/>
        <w:spacing w:after="0" w:line="281" w:lineRule="auto"/>
        <w:tabs>
          <w:tab w:leader="none" w:pos="1323"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Partial Indemnification</w:t>
      </w:r>
      <w:r>
        <w:rPr>
          <w:rFonts w:ascii="Arial" w:cs="Arial" w:eastAsia="Arial" w:hAnsi="Arial"/>
          <w:sz w:val="17"/>
          <w:szCs w:val="17"/>
          <w:color w:val="auto"/>
        </w:rPr>
        <w:t>. Agent shall be entitled under this Agreement to indemnification by the Corporation for a portion of the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attorneys' fees), witness fees, damages, judgments, fines and amounts paid in settlement and any other amounts that Agent becomes legally obligated to pay in connection with any action, suit or proceeding referred to in Section 3 hereof even if not entitled hereunder to indemnification for the total amount thereof, and the Corporation shall indemnify Agent for the portion thereof to which Agent is entitled.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ind w:right="40" w:firstLine="656"/>
        <w:spacing w:after="0" w:line="277" w:lineRule="auto"/>
        <w:tabs>
          <w:tab w:leader="none" w:pos="1323"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Notification and Defense of Claim</w:t>
      </w:r>
      <w:r>
        <w:rPr>
          <w:rFonts w:ascii="Arial" w:cs="Arial" w:eastAsia="Arial" w:hAnsi="Arial"/>
          <w:sz w:val="17"/>
          <w:szCs w:val="17"/>
          <w:color w:val="auto"/>
        </w:rPr>
        <w:t>. As soon as practicable, and in any event, not later than thirty (30) days after Agent becomes aware, by</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other overt communication, of any pending or threatened litigation, claim or assessment, Agent will, if a claim in respect thereof is to be made against the Corporation under this Agreement, notify the Corporation of such pending or threatened litigation, claim or assessment; but the omission so to notify the Corporation will not relieve it from any liability which it may have to Agent otherwise than under this Agreement. With respect to any such pending or threatened litigation, claim or assessment as to which Agent notifies the Corporation of the commencement thereof:</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Corporation will be entitled to participate therein at its own expense;</w:t>
      </w:r>
    </w:p>
    <w:p>
      <w:pPr>
        <w:spacing w:after="0" w:line="225" w:lineRule="exact"/>
        <w:rPr>
          <w:rFonts w:ascii="Arial" w:cs="Arial" w:eastAsia="Arial" w:hAnsi="Arial"/>
          <w:sz w:val="18"/>
          <w:szCs w:val="18"/>
          <w:color w:val="auto"/>
        </w:rPr>
      </w:pPr>
    </w:p>
    <w:p>
      <w:pPr>
        <w:jc w:val="both"/>
        <w:ind w:firstLine="1305"/>
        <w:spacing w:after="0" w:line="269" w:lineRule="auto"/>
        <w:tabs>
          <w:tab w:leader="none" w:pos="2082" w:val="left"/>
        </w:tabs>
        <w:numPr>
          <w:ilvl w:val="1"/>
          <w:numId w:val="84"/>
        </w:numPr>
        <w:rPr>
          <w:rFonts w:ascii="Arial" w:cs="Arial" w:eastAsia="Arial" w:hAnsi="Arial"/>
          <w:sz w:val="17"/>
          <w:szCs w:val="17"/>
          <w:color w:val="auto"/>
        </w:rPr>
      </w:pPr>
      <w:r>
        <w:rPr>
          <w:rFonts w:ascii="Arial" w:cs="Arial" w:eastAsia="Arial" w:hAnsi="Arial"/>
          <w:sz w:val="17"/>
          <w:szCs w:val="17"/>
          <w:color w:val="auto"/>
        </w:rPr>
        <w:t>except as otherwise provided below, the Corporation may, at its option and jointly with any other indemnifying party similarly notified and electing to assume such defense, assume the defense thereof, with counsel reasonably satisfactory to Agent. After notice from the Corporation to Agent of its election to assume the defense thereof, the Corporation will not be liable to Agent under this Agreement for any legal or other expenses subsequently incurred by Agent in connection with the defense thereof except for reasonable costs of investigation or otherwise as provided below. Agent shall have the right to employ separate counsel in such action, suit or proceeding but the fees and expenses of such counsel incurred after notice from the Corporation of its assumption of the defense thereof shall be at the expense of Agent unless (i) the employment of counsel by Agent has been authorized by the Corporation, (ii) Agent shall have reasonably concluded, and so notified the Corporation, that there is an actual conflict of interest between the Corporation and Agent in the conduct of the defense of such action, or (iii) the Corporation shall not in fact have employed counsel to assume the defense of Agent in connection with such action, in any of such cases the fees and expenses of Agent's separate counsel shall be at the expense of the Corporation. The Corporation shall not be entitled to assume the defense of any action, suit or proceeding brought by or on behalf of the Corporation or as to which Agent shall have made the conclusion provided for in clause (ii) above; and</w:t>
      </w:r>
    </w:p>
    <w:p>
      <w:pPr>
        <w:spacing w:after="0" w:line="182" w:lineRule="exact"/>
        <w:rPr>
          <w:rFonts w:ascii="Arial" w:cs="Arial" w:eastAsia="Arial" w:hAnsi="Arial"/>
          <w:sz w:val="17"/>
          <w:szCs w:val="17"/>
          <w:color w:val="auto"/>
        </w:rPr>
      </w:pPr>
    </w:p>
    <w:p>
      <w:pPr>
        <w:jc w:val="both"/>
        <w:ind w:firstLine="1305"/>
        <w:spacing w:after="0" w:line="259" w:lineRule="auto"/>
        <w:tabs>
          <w:tab w:leader="none" w:pos="2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Corporation shall not be liable to indemnify Agent under this Agreement for any amounts paid in settlement of any action or claim effected without its written consent, which shall not be unreasonably withheld or delayed. The Corporation shall be permitted to settle any action or claim except that it shall not settle any action or claim in any manner which would impose any penalty or limitation on Agent without Agent's written consent, which may be given or withheld in Agent's sole discretion.</w:t>
      </w:r>
    </w:p>
    <w:p>
      <w:pPr>
        <w:spacing w:after="0" w:line="182" w:lineRule="exact"/>
        <w:rPr>
          <w:rFonts w:ascii="Arial" w:cs="Arial" w:eastAsia="Arial" w:hAnsi="Arial"/>
          <w:sz w:val="18"/>
          <w:szCs w:val="18"/>
          <w:color w:val="auto"/>
        </w:rPr>
      </w:pPr>
    </w:p>
    <w:p>
      <w:pPr>
        <w:ind w:firstLine="656"/>
        <w:spacing w:after="0" w:line="271" w:lineRule="auto"/>
        <w:tabs>
          <w:tab w:leader="none" w:pos="1323"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prior to the final disposition of any proceeding, promptly following request therefor, all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by Agent in connection with such proceeding upon the Corporation's receipt of an undertaking by or on behalf of Agent to repay said amounts if it shall be determined ultimately that Agent is not entitled to be indemnified under the provisions of this Agreement, the Charter, the Bylaws, the DGCL or otherwise. Such undertaking shall be accepted by the Corporation without regard to the financial ability of Agent to make such repayment. Without limiting the foregoing, if any action, suit or proceeding is disposed of on the merits or otherwise (including a disposition without prejudice), without (i) the final disposition being adverse to Agent, (ii) a final adjudication that Agent was liable to the Corporation, (iii) a plea of guilty (iv) a final adjudication that Agent did not act in good faith, and in a manner he reasonably believed to be in or not opposed to the best interests of the Corporation, or (v) with respect to any criminal proceeding, a final adjudication that Agent had reasonable cause to believe his conduct was unlawful, Agent shall be considered for the purposes hereof to have been wholly successful with respect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ind w:right="20" w:firstLine="656"/>
        <w:spacing w:after="0" w:line="298" w:lineRule="auto"/>
        <w:tabs>
          <w:tab w:leader="none" w:pos="1323"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Information Sharing</w:t>
      </w:r>
      <w:r>
        <w:rPr>
          <w:rFonts w:ascii="Arial" w:cs="Arial" w:eastAsia="Arial" w:hAnsi="Arial"/>
          <w:sz w:val="16"/>
          <w:szCs w:val="16"/>
          <w:color w:val="auto"/>
        </w:rPr>
        <w:t>. To the extent that the Corporation receives a request or requests from a governmental third party or other licensing</w:t>
      </w:r>
      <w:r>
        <w:rPr>
          <w:rFonts w:ascii="Arial" w:cs="Arial" w:eastAsia="Arial" w:hAnsi="Arial"/>
          <w:sz w:val="16"/>
          <w:szCs w:val="16"/>
          <w:b w:val="1"/>
          <w:bCs w:val="1"/>
          <w:color w:val="auto"/>
        </w:rPr>
        <w:t xml:space="preserve"> </w:t>
      </w:r>
      <w:r>
        <w:rPr>
          <w:rFonts w:ascii="Arial" w:cs="Arial" w:eastAsia="Arial" w:hAnsi="Arial"/>
          <w:sz w:val="16"/>
          <w:szCs w:val="16"/>
          <w:color w:val="auto"/>
        </w:rPr>
        <w:t>or regulating organization (the "</w:t>
      </w:r>
      <w:r>
        <w:rPr>
          <w:rFonts w:ascii="Arial" w:cs="Arial" w:eastAsia="Arial" w:hAnsi="Arial"/>
          <w:sz w:val="16"/>
          <w:szCs w:val="16"/>
          <w:b w:val="1"/>
          <w:bCs w:val="1"/>
          <w:color w:val="auto"/>
        </w:rPr>
        <w:t>Requesting Agency"</w:t>
      </w:r>
      <w:r>
        <w:rPr>
          <w:rFonts w:ascii="Arial" w:cs="Arial" w:eastAsia="Arial" w:hAnsi="Arial"/>
          <w:sz w:val="16"/>
          <w:szCs w:val="16"/>
          <w:color w:val="auto"/>
        </w:rPr>
        <w:t>), whether formal or informal, to produce documentation or other information concerning an investigation, whether formal or informal, being conducted by the Requesting Agency, and such investigation is reasonably likely to include review of any actions or failures to act by Agent, the Corporation shall promptly give notice to Agent of said request or requests and any subsequent request. In addition, the Corporation shall provide Agent with a copy of any and all information or documentation that the Corporation shall provide to the Requesting Agency.</w:t>
      </w:r>
    </w:p>
    <w:p>
      <w:pPr>
        <w:spacing w:after="0" w:line="154" w:lineRule="exact"/>
        <w:rPr>
          <w:rFonts w:ascii="Arial" w:cs="Arial" w:eastAsia="Arial" w:hAnsi="Arial"/>
          <w:sz w:val="16"/>
          <w:szCs w:val="16"/>
          <w:color w:val="auto"/>
        </w:rPr>
      </w:pPr>
    </w:p>
    <w:p>
      <w:pPr>
        <w:ind w:right="500" w:firstLine="656"/>
        <w:spacing w:after="0" w:line="282" w:lineRule="auto"/>
        <w:tabs>
          <w:tab w:leader="none" w:pos="1368"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 Imputation</w:t>
      </w:r>
      <w:r>
        <w:rPr>
          <w:rFonts w:ascii="Arial" w:cs="Arial" w:eastAsia="Arial" w:hAnsi="Arial"/>
          <w:sz w:val="18"/>
          <w:szCs w:val="18"/>
          <w:color w:val="auto"/>
        </w:rPr>
        <w:t>. The knowledge and/or actions, or failure to act, of any director, officer, agent or employee of the Corporation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itself shall not be imputed to Agent for purposes of determining any rights under this Agreement.</w:t>
      </w:r>
    </w:p>
    <w:p>
      <w:pPr>
        <w:spacing w:after="0" w:line="161" w:lineRule="exact"/>
        <w:rPr>
          <w:rFonts w:ascii="Arial" w:cs="Arial" w:eastAsia="Arial" w:hAnsi="Arial"/>
          <w:sz w:val="18"/>
          <w:szCs w:val="18"/>
          <w:color w:val="auto"/>
        </w:rPr>
      </w:pPr>
    </w:p>
    <w:p>
      <w:pPr>
        <w:ind w:firstLine="656"/>
        <w:spacing w:after="0" w:line="254" w:lineRule="auto"/>
        <w:tabs>
          <w:tab w:leader="none" w:pos="136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Any right to indemnification or advances granted by this Agreement to Agent shall be enforceable by or on behalf of Agent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court of competent jurisdiction if (i) the claim for indemnification or advances is denied, in whole or in part, or (ii) no disposition of such claim is made within ninety (90) days of request therefor. Agent, in such enforcement action, if successful in whole or in part, shall be entitled to be paid also the expense of prosecuting his claim. It shall be a defense to any action for which a claim for indemnification is made under Section 3 hereof (other than an action brought to enforce a claim for advance or reimbursement of expenses under this Agreement, provided that the required undertaking has been tendered to the Corporation) that Agent is not entitled to indemnification because of the limitations set forth in Section 4 hereof. Neither the failure of the Corporation (including its board of directors or its stockholders) to have made a determination prior to the commencement of such enforcement action that indemnification of Agent is proper in the circumstances, nor an actual determination by the Corporation (including its board of directors or its stockholders) that such indemnification is improper shall be a defense to the action or create a presumption that Agent is not entitled to indemnification under this Agreement or otherwise.</w:t>
      </w:r>
    </w:p>
    <w:p>
      <w:pPr>
        <w:spacing w:after="0" w:line="186" w:lineRule="exact"/>
        <w:rPr>
          <w:rFonts w:ascii="Arial" w:cs="Arial" w:eastAsia="Arial" w:hAnsi="Arial"/>
          <w:sz w:val="18"/>
          <w:szCs w:val="18"/>
          <w:color w:val="auto"/>
        </w:rPr>
      </w:pPr>
    </w:p>
    <w:p>
      <w:pPr>
        <w:jc w:val="both"/>
        <w:ind w:right="240" w:firstLine="656"/>
        <w:spacing w:after="0" w:line="266" w:lineRule="auto"/>
        <w:tabs>
          <w:tab w:leader="none" w:pos="1368"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Corporation shall be subrogated to the extent of such payment to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of recovery of Agent, who shall execute all documents required and shall do all acts that may be necessary to secure such rights and to enable the Corporation effectively to bring suit to enforce such rights.</w:t>
      </w:r>
    </w:p>
    <w:p>
      <w:pPr>
        <w:spacing w:after="0" w:line="176" w:lineRule="exact"/>
        <w:rPr>
          <w:rFonts w:ascii="Arial" w:cs="Arial" w:eastAsia="Arial" w:hAnsi="Arial"/>
          <w:sz w:val="18"/>
          <w:szCs w:val="18"/>
          <w:color w:val="auto"/>
        </w:rPr>
      </w:pPr>
    </w:p>
    <w:p>
      <w:pPr>
        <w:ind w:right="40" w:firstLine="656"/>
        <w:spacing w:after="0" w:line="266" w:lineRule="auto"/>
        <w:tabs>
          <w:tab w:leader="none" w:pos="1368"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Non-Exclusivity of Rights</w:t>
      </w:r>
      <w:r>
        <w:rPr>
          <w:rFonts w:ascii="Arial" w:cs="Arial" w:eastAsia="Arial" w:hAnsi="Arial"/>
          <w:sz w:val="18"/>
          <w:szCs w:val="18"/>
          <w:color w:val="auto"/>
        </w:rPr>
        <w:t>. The rights conferred on Agent by this Agreement shall not be exclusive of any other right which Agent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or hereafter acquire under any statute, provision of the Charter or Bylaws, agreement, vote of stockholders or directors, or otherwise, both as to action in his official capacity and as to action in another capacity while holding office.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ind w:left="1320" w:hanging="68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20" w:firstLine="1305"/>
        <w:spacing w:after="0" w:line="286" w:lineRule="auto"/>
        <w:tabs>
          <w:tab w:leader="none" w:pos="1958"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rights conferred on Agent by this Agreement shall continue after Agent has ceased to be a director, officer, employee or other agent of the Corporation or to serve at the request of the Corporation as a director, officer, employee or other agent of another corporation, partnership, joint venture, trust, employee benefit plan or other enterprise, and shall inure to the benefit of Agent's heirs, executors and administrators.</w:t>
      </w:r>
    </w:p>
    <w:p>
      <w:pPr>
        <w:spacing w:after="0" w:line="165" w:lineRule="exact"/>
        <w:rPr>
          <w:rFonts w:ascii="Arial" w:cs="Arial" w:eastAsia="Arial" w:hAnsi="Arial"/>
          <w:sz w:val="17"/>
          <w:szCs w:val="17"/>
          <w:color w:val="auto"/>
        </w:rPr>
      </w:pPr>
    </w:p>
    <w:p>
      <w:pPr>
        <w:jc w:val="both"/>
        <w:ind w:left="-20" w:firstLine="1305"/>
        <w:spacing w:after="0" w:line="264" w:lineRule="auto"/>
        <w:tabs>
          <w:tab w:leader="none" w:pos="198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Corporation shall require any successor (whether direct or indirect, by purchase, merger, consolidation or otherwise) to all or substantially all of the business or assets of the Corporation, expressly to assume and agree to perform this Agreement in the same manner and to the same extent that the Corporation would be required to perform if no such succession had taken place.</w:t>
      </w:r>
    </w:p>
    <w:p>
      <w:pPr>
        <w:spacing w:after="0" w:line="177" w:lineRule="exact"/>
        <w:rPr>
          <w:rFonts w:ascii="Arial" w:cs="Arial" w:eastAsia="Arial" w:hAnsi="Arial"/>
          <w:sz w:val="18"/>
          <w:szCs w:val="18"/>
          <w:color w:val="auto"/>
        </w:rPr>
      </w:pPr>
    </w:p>
    <w:p>
      <w:pPr>
        <w:ind w:left="-20" w:right="20" w:firstLine="656"/>
        <w:spacing w:after="0" w:line="261"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Separability</w:t>
      </w:r>
      <w:r>
        <w:rPr>
          <w:rFonts w:ascii="Arial" w:cs="Arial" w:eastAsia="Arial" w:hAnsi="Arial"/>
          <w:sz w:val="18"/>
          <w:szCs w:val="18"/>
          <w:color w:val="auto"/>
        </w:rPr>
        <w:t>. Each of the provisions of this Agreement is a separate and distinct agreement and independent of the others, so that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hereof shall be held to be invalid or unenforceable for any reason, such invalidity or unenforceability shall not affect the validity or enforceability of the other provisions hereof. Furthermore, if this Agreement shall be invalidated in its entirety on any ground, then the Corporation shall nevertheless indemnify Agent to the fullest extent provided by the Charter, the Bylaws, the DGCL or any other applicable law.</w:t>
      </w:r>
    </w:p>
    <w:p>
      <w:pPr>
        <w:spacing w:after="0" w:line="180" w:lineRule="exact"/>
        <w:rPr>
          <w:rFonts w:ascii="Arial" w:cs="Arial" w:eastAsia="Arial" w:hAnsi="Arial"/>
          <w:sz w:val="18"/>
          <w:szCs w:val="18"/>
          <w:color w:val="auto"/>
        </w:rPr>
      </w:pPr>
    </w:p>
    <w:p>
      <w:pPr>
        <w:ind w:left="-20" w:right="20" w:firstLine="656"/>
        <w:spacing w:after="0" w:line="274" w:lineRule="auto"/>
        <w:tabs>
          <w:tab w:leader="none" w:pos="1303"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and enforced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regard to its principles of conflicts of laws. The Corporation and Agent hereby irrevocably and unconditionally (i) agree that any action or proceeding arising out of or in connection with this Agreement may be brought in the Delaware Court of Chancery, (ii) consent to submit to the jurisdiction of the Delaware Court of Chancery for purposes of any action or proceeding arising out of or in connection with this Agreement, (iii) waive any objection to the laying of venue of any such action or proceeding in the Delaware Court of Chancery, and (iv) waive, and agree not to plead or to make, any claim that any such action or proceeding brought in the Delaware Court of Chancery has been brought in an improper or inconvenient forum.</w:t>
      </w:r>
    </w:p>
    <w:p>
      <w:pPr>
        <w:spacing w:after="0" w:line="173" w:lineRule="exact"/>
        <w:rPr>
          <w:rFonts w:ascii="Arial" w:cs="Arial" w:eastAsia="Arial" w:hAnsi="Arial"/>
          <w:sz w:val="17"/>
          <w:szCs w:val="17"/>
          <w:color w:val="auto"/>
        </w:rPr>
      </w:pPr>
    </w:p>
    <w:p>
      <w:pPr>
        <w:ind w:left="-20" w:right="280" w:firstLine="656"/>
        <w:spacing w:after="0" w:line="282"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Amendment and Termination</w:t>
      </w:r>
      <w:r>
        <w:rPr>
          <w:rFonts w:ascii="Arial" w:cs="Arial" w:eastAsia="Arial" w:hAnsi="Arial"/>
          <w:sz w:val="18"/>
          <w:szCs w:val="18"/>
          <w:color w:val="auto"/>
        </w:rPr>
        <w:t>. No amendment, modification, termination or cancellation of this Agreement shall be effective unless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w:t>
      </w:r>
    </w:p>
    <w:p>
      <w:pPr>
        <w:spacing w:after="0" w:line="161" w:lineRule="exact"/>
        <w:rPr>
          <w:rFonts w:ascii="Arial" w:cs="Arial" w:eastAsia="Arial" w:hAnsi="Arial"/>
          <w:sz w:val="18"/>
          <w:szCs w:val="18"/>
          <w:color w:val="auto"/>
        </w:rPr>
      </w:pPr>
    </w:p>
    <w:p>
      <w:pPr>
        <w:ind w:left="-20" w:right="120" w:firstLine="656"/>
        <w:spacing w:after="0" w:line="266"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 original but all of which together shall constitute but one and the same Agreement. Only one such counterpart need be produced to evidence the existence of this Agreement.</w:t>
      </w:r>
    </w:p>
    <w:p>
      <w:pPr>
        <w:spacing w:after="0" w:line="176" w:lineRule="exact"/>
        <w:rPr>
          <w:rFonts w:ascii="Arial" w:cs="Arial" w:eastAsia="Arial" w:hAnsi="Arial"/>
          <w:sz w:val="18"/>
          <w:szCs w:val="18"/>
          <w:color w:val="auto"/>
        </w:rPr>
      </w:pPr>
    </w:p>
    <w:p>
      <w:pPr>
        <w:ind w:left="-20" w:right="60" w:firstLine="656"/>
        <w:spacing w:after="0" w:line="266"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requests, demands and other communications hereunder shall be in writing and shall be deemed to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7" w:right="239" w:bottom="1440" w:gutter="0" w:footer="0" w:header="0"/>
        </w:sectPr>
      </w:pPr>
    </w:p>
    <w:bookmarkStart w:id="108" w:name="page109"/>
    <w:bookmarkEnd w:id="108"/>
    <w:p>
      <w:pPr>
        <w:ind w:left="1940" w:hanging="65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to Agent, at the address indicated on the signature page hereof.</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to the Corporation, to:</w:t>
      </w:r>
    </w:p>
    <w:p>
      <w:pPr>
        <w:spacing w:after="0" w:line="225"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23" w:lineRule="exact"/>
        <w:rPr>
          <w:rFonts w:ascii="Arial" w:cs="Arial" w:eastAsia="Arial" w:hAnsi="Arial"/>
          <w:sz w:val="18"/>
          <w:szCs w:val="18"/>
          <w:color w:val="auto"/>
        </w:rPr>
      </w:pPr>
    </w:p>
    <w:p>
      <w:pPr>
        <w:ind w:left="1940" w:right="6940"/>
        <w:spacing w:after="0" w:line="255" w:lineRule="auto"/>
        <w:rPr>
          <w:rFonts w:ascii="Arial" w:cs="Arial" w:eastAsia="Arial" w:hAnsi="Arial"/>
          <w:sz w:val="18"/>
          <w:szCs w:val="18"/>
          <w:color w:val="auto"/>
        </w:rPr>
      </w:pPr>
      <w:r>
        <w:rPr>
          <w:rFonts w:ascii="Arial" w:cs="Arial" w:eastAsia="Arial" w:hAnsi="Arial"/>
          <w:sz w:val="18"/>
          <w:szCs w:val="18"/>
          <w:color w:val="auto"/>
        </w:rPr>
        <w:t>780 Third Avenue, 15th Floor New York, NY 10017 Attention: Chief Executive Officer</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to such other address as may have been furnished to Agent by the Corporation.</w:t>
      </w:r>
    </w:p>
    <w:p>
      <w:pPr>
        <w:spacing w:after="0" w:line="221" w:lineRule="exact"/>
        <w:rPr>
          <w:sz w:val="20"/>
          <w:szCs w:val="20"/>
          <w:color w:val="auto"/>
        </w:rPr>
      </w:pPr>
    </w:p>
    <w:p>
      <w:pPr>
        <w:ind w:left="-20" w:firstLine="656"/>
        <w:spacing w:after="0" w:line="282" w:lineRule="auto"/>
        <w:tabs>
          <w:tab w:leader="none" w:pos="132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109" w:name="page110"/>
    <w:bookmarkEnd w:id="109"/>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on and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154940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NY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81280</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40"/>
          </w:cols>
          <w:pgMar w:left="900" w:top="1097" w:right="6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Subsidiaries of Vringo, Inc.</w:t>
            </w:r>
          </w:p>
        </w:tc>
        <w:tc>
          <w:tcPr>
            <w:tcW w:w="4660" w:type="dxa"/>
            <w:vAlign w:val="bottom"/>
          </w:tcPr>
          <w:p>
            <w:pPr>
              <w:spacing w:after="0"/>
              <w:rPr>
                <w:sz w:val="17"/>
                <w:szCs w:val="17"/>
                <w:color w:val="auto"/>
              </w:rPr>
            </w:pPr>
          </w:p>
        </w:tc>
      </w:tr>
      <w:tr>
        <w:trPr>
          <w:trHeight w:val="460"/>
        </w:trPr>
        <w:tc>
          <w:tcPr>
            <w:tcW w:w="466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Jurisdiction of Incorporation</w:t>
            </w:r>
          </w:p>
        </w:tc>
      </w:tr>
      <w:tr>
        <w:trPr>
          <w:trHeight w:val="202"/>
        </w:trPr>
        <w:tc>
          <w:tcPr>
            <w:tcW w:w="20" w:type="dxa"/>
            <w:vAlign w:val="bottom"/>
          </w:tcPr>
          <w:p>
            <w:pPr>
              <w:spacing w:after="0"/>
              <w:rPr>
                <w:sz w:val="17"/>
                <w:szCs w:val="17"/>
                <w:color w:val="auto"/>
              </w:rPr>
            </w:pPr>
          </w:p>
        </w:tc>
        <w:tc>
          <w:tcPr>
            <w:tcW w:w="4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Vringo (Israel), Ltd.</w:t>
            </w: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Israel</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Innovate/Protect,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I/P Engine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I/P Labs,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Infrastructure,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Vringo Germany GmbH</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648"/>
        </w:trPr>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 333-164575, No. 333-178700, No. 333-180493, No. 333-180609, and No. 333-182823) on Forms S-3, and the registrations statements (No. 333-181477 and No. 333-182853) on Forms S-8, of Vringo Inc. of our report dated March 21, 2013, with respect to the consolidated balance sheets of Vringo Inc. as of December 31, 2012, and the related consolidated statements of operations, changes in stockholders' equity, and cash flows for the year ended December 31, 2012, and for the cumulative period from June 8, 2011 (inception) through December 31, 2012, which report appears in the December 31, 2012 annual report on Form 10-K of Vringo Inc.</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 dated March 21, 2013 contains an explanatory paragraph that states that the consolidated financial statements reflect the effect of a merger transaction that took place on July 19, 2012 and was accounted for as a reverse acquisition. Consequently, the consolidated financial statements for periods prior to the merger reflect the historical results of the accounting acquirer, which is the legal acquiree, and the consolidated financial statements for the period from the merger date through December 31, 2012 reflect the results of the combined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same report also refers to our audit of the adjustments that were applied to revise the 2011 consolidated financial statements, as more fully described in Note 2(a) and Note 2(t) to the consolidated financial statements. However, we were not engaged to audit, review, or apply any procedures to the 2011 consolidated financial statements other than with respect to such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issued our report dated March 2, 2012, with respect to the consolidated financial statements of Innovate/Protect, Inc. and subsidiaries (predecessor company to Vringo, Inc. and subsidiaries) included in the Annual Report on Form 10-K of Vringo, Inc. for the year ended December 31, 2012. We hereby consent to the incorporation by reference of said report in the Registration Statements of Vringo, Inc. on Forms S-3 (File No. 333-182823, File No. 333-180493, File No. 333-178700, File No. 333-164575 and File No. 333-180609) and on Forms S-8 (File No. 333-182853 and File No. 333-181477).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187"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1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187" w:val="left"/>
        </w:tabs>
        <w:numPr>
          <w:ilvl w:val="0"/>
          <w:numId w:val="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1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Ellen Cohl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2012 as filed with the Securities and Exchange Commission on the date hereof (the "Report") I, Andrew D. Perlman, Principal Executive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21, 2013</w:t>
      </w:r>
    </w:p>
    <w:p>
      <w:pPr>
        <w:ind w:left="572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2012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21, 2013</w:t>
      </w:r>
    </w:p>
    <w:p>
      <w:pPr>
        <w:ind w:left="572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Ellen Cohl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lowerLetter"/>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1)"/>
      <w:numFmt w:val="lowerLetter"/>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15"/>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decimal"/>
      <w:start w:val="1"/>
    </w:lvl>
    <w:lvl w:ilvl="1">
      <w:lvlJc w:val="left"/>
      <w:lvlText w:val="(%2)"/>
      <w:numFmt w:val="lowerLetter"/>
      <w:start w:val="3"/>
    </w:lvl>
  </w:abstractNum>
  <w:abstractNum w:abstractNumId="19">
    <w:nsid w:val="354FE9F9"/>
    <w:multiLevelType w:val="hybridMultilevel"/>
    <w:lvl w:ilvl="0">
      <w:lvlJc w:val="left"/>
      <w:lvlText w:val="%1"/>
      <w:numFmt w:val="decimal"/>
      <w:start w:val="1"/>
    </w:lvl>
    <w:lvl w:ilvl="1">
      <w:lvlJc w:val="left"/>
      <w:lvlText w:val="(%2)"/>
      <w:numFmt w:val="lowerLetter"/>
      <w:start w:val="2"/>
    </w:lvl>
  </w:abstractNum>
  <w:abstractNum w:abstractNumId="20">
    <w:nsid w:val="15B5AF5C"/>
    <w:multiLevelType w:val="hybridMultilevel"/>
    <w:lvl w:ilvl="0">
      <w:lvlJc w:val="left"/>
      <w:lvlText w:val="(%1)"/>
      <w:numFmt w:val="decimal"/>
      <w:start w:val="7"/>
    </w:lvl>
    <w:lvl w:ilvl="1">
      <w:lvlJc w:val="left"/>
      <w:lvlText w:val="%2"/>
      <w:numFmt w:val="lowerLetter"/>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decimal"/>
      <w:start w:val="3"/>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5"/>
    </w:lvl>
  </w:abstractNum>
  <w:abstractNum w:abstractNumId="27">
    <w:nsid w:val="77AE35EB"/>
    <w:multiLevelType w:val="hybridMultilevel"/>
    <w:lvl w:ilvl="0">
      <w:lvlJc w:val="left"/>
      <w:lvlText w:val="(%1)"/>
      <w:numFmt w:val="decimal"/>
      <w:start w:val="7"/>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
      <w:numFmt w:val="bullet"/>
      <w:start w:val="1"/>
    </w:lvl>
    <w:lvl w:ilvl="1">
      <w:lvlJc w:val="left"/>
      <w:lvlText w:val="(%2)"/>
      <w:numFmt w:val="decimal"/>
      <w:start w:val="1"/>
    </w:lvl>
  </w:abstractNum>
  <w:abstractNum w:abstractNumId="30">
    <w:nsid w:val="5FF87E05"/>
    <w:multiLevelType w:val="hybridMultilevel"/>
    <w:lvl w:ilvl="0">
      <w:lvlJc w:val="left"/>
      <w:lvlText w:val="(%1)"/>
      <w:numFmt w:val="decimal"/>
      <w:start w:val="10"/>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lowerLetter"/>
      <w:start w:val="4"/>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1."/>
      <w:numFmt w:val="decimal"/>
      <w:start w:val="1"/>
    </w:lvl>
    <w:lvl w:ilvl="1">
      <w:lvlJc w:val="left"/>
      <w:lvlText w:val="(%2)"/>
      <w:numFmt w:val="lowerLetter"/>
      <w:start w:val="1"/>
    </w:lvl>
  </w:abstractNum>
  <w:abstractNum w:abstractNumId="45">
    <w:nsid w:val="42C296BD"/>
    <w:multiLevelType w:val="hybridMultilevel"/>
    <w:lvl w:ilvl="0">
      <w:lvlJc w:val="left"/>
      <w:lvlText w:val="%1."/>
      <w:numFmt w:val="decimal"/>
      <w:start w:val="2"/>
    </w:lvl>
    <w:lvl w:ilvl="1">
      <w:lvlJc w:val="left"/>
      <w:lvlText w:val="(%2)"/>
      <w:numFmt w:val="lowerLetter"/>
      <w:start w:val="1"/>
    </w:lvl>
  </w:abstractNum>
  <w:abstractNum w:abstractNumId="46">
    <w:nsid w:val="168E121F"/>
    <w:multiLevelType w:val="hybridMultilevel"/>
    <w:lvl w:ilvl="0">
      <w:lvlJc w:val="left"/>
      <w:lvlText w:val="%1."/>
      <w:numFmt w:val="decimal"/>
      <w:start w:val="6"/>
    </w:lvl>
    <w:lvl w:ilvl="1">
      <w:lvlJc w:val="left"/>
      <w:lvlText w:val="(%2)"/>
      <w:numFmt w:val="lowerLetter"/>
      <w:start w:val="1"/>
    </w:lvl>
  </w:abstractNum>
  <w:abstractNum w:abstractNumId="47">
    <w:nsid w:val="1EBA5D23"/>
    <w:multiLevelType w:val="hybridMultilevel"/>
    <w:lvl w:ilvl="0">
      <w:lvlJc w:val="left"/>
      <w:lvlText w:val="(%1)"/>
      <w:numFmt w:val="lowerLetter"/>
      <w:start w:val="2"/>
    </w:lvl>
    <w:lvl w:ilvl="1">
      <w:lvlJc w:val="left"/>
      <w:lvlText w:val="(%2)"/>
      <w:numFmt w:val="decimal"/>
      <w:start w:val="1"/>
    </w:lvl>
  </w:abstractNum>
  <w:abstractNum w:abstractNumId="48">
    <w:nsid w:val="661E3F1E"/>
    <w:multiLevelType w:val="hybridMultilevel"/>
    <w:lvl w:ilvl="0">
      <w:lvlJc w:val="left"/>
      <w:lvlText w:val="%1"/>
      <w:numFmt w:val="lowerLetter"/>
      <w:start w:val="1"/>
    </w:lvl>
    <w:lvl w:ilvl="1">
      <w:lvlJc w:val="left"/>
      <w:lvlText w:val="(%2)"/>
      <w:numFmt w:val="decimal"/>
      <w:start w:val="2"/>
    </w:lvl>
  </w:abstractNum>
  <w:abstractNum w:abstractNumId="49">
    <w:nsid w:val="5DC79EA8"/>
    <w:multiLevelType w:val="hybridMultilevel"/>
    <w:lvl w:ilvl="0">
      <w:lvlJc w:val="left"/>
      <w:lvlText w:val="(%1)"/>
      <w:numFmt w:val="lowerLetter"/>
      <w:start w:val="5"/>
    </w:lvl>
    <w:lvl w:ilvl="1">
      <w:lvlJc w:val="left"/>
      <w:lvlText w:val="(%2)"/>
      <w:numFmt w:val="decimal"/>
      <w:start w:val="1"/>
    </w:lvl>
  </w:abstractNum>
  <w:abstractNum w:abstractNumId="50">
    <w:nsid w:val="540A471C"/>
    <w:multiLevelType w:val="hybridMultilevel"/>
    <w:lvl w:ilvl="0">
      <w:lvlJc w:val="left"/>
      <w:lvlText w:val="(%1)"/>
      <w:numFmt w:val="decimal"/>
      <w:start w:val="2"/>
    </w:lvl>
    <w:lvl w:ilvl="1">
      <w:lvlJc w:val="left"/>
      <w:lvlText w:val="(%2)"/>
      <w:numFmt w:val="upperLetter"/>
      <w:start w:val="1"/>
    </w:lvl>
  </w:abstractNum>
  <w:abstractNum w:abstractNumId="51">
    <w:nsid w:val="7BD3EE7B"/>
    <w:multiLevelType w:val="hybridMultilevel"/>
    <w:lvl w:ilvl="0">
      <w:lvlJc w:val="left"/>
      <w:lvlText w:val="%1"/>
      <w:numFmt w:val="lowerLetter"/>
      <w:start w:val="1"/>
    </w:lvl>
    <w:lvl w:ilvl="1">
      <w:lvlJc w:val="left"/>
      <w:lvlText w:val="(%2)"/>
      <w:numFmt w:val="upperLetter"/>
      <w:start w:val="3"/>
    </w:lvl>
  </w:abstractNum>
  <w:abstractNum w:abstractNumId="52">
    <w:nsid w:val="51D9C564"/>
    <w:multiLevelType w:val="hybridMultilevel"/>
    <w:lvl w:ilvl="0">
      <w:lvlJc w:val="left"/>
      <w:lvlText w:val="(%1)"/>
      <w:numFmt w:val="lowerLetter"/>
      <w:start w:val="6"/>
    </w:lvl>
    <w:lvl w:ilvl="1">
      <w:lvlJc w:val="left"/>
      <w:lvlText w:val="%2"/>
      <w:numFmt w:val="upperLetter"/>
      <w:start w:val="1"/>
    </w:lvl>
  </w:abstractNum>
  <w:abstractNum w:abstractNumId="53">
    <w:nsid w:val="613EFDC5"/>
    <w:multiLevelType w:val="hybridMultilevel"/>
    <w:lvl w:ilvl="0">
      <w:lvlJc w:val="left"/>
      <w:lvlText w:val="(%1)"/>
      <w:numFmt w:val="lowerRoman"/>
      <w:start w:val="1"/>
    </w:lvl>
  </w:abstractNum>
  <w:abstractNum w:abstractNumId="54">
    <w:nsid w:val="BF72B14"/>
    <w:multiLevelType w:val="hybridMultilevel"/>
    <w:lvl w:ilvl="0">
      <w:lvlJc w:val="left"/>
      <w:lvlText w:val="(%1)"/>
      <w:numFmt w:val="lowerLetter"/>
      <w:start w:val="10"/>
    </w:lvl>
    <w:lvl w:ilvl="1">
      <w:lvlJc w:val="left"/>
      <w:lvlText w:val="(%2)"/>
      <w:numFmt w:val="decimal"/>
      <w:start w:val="1"/>
    </w:lvl>
  </w:abstractNum>
  <w:abstractNum w:abstractNumId="55">
    <w:nsid w:val="11447B7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6">
    <w:nsid w:val="42963E5A"/>
    <w:multiLevelType w:val="hybridMultilevel"/>
    <w:lvl w:ilvl="0">
      <w:lvlJc w:val="left"/>
      <w:lvlText w:val="(%1)"/>
      <w:numFmt w:val="lowerLetter"/>
      <w:start w:val="3"/>
    </w:lvl>
  </w:abstractNum>
  <w:abstractNum w:abstractNumId="57">
    <w:nsid w:val="A0382C5"/>
    <w:multiLevelType w:val="hybridMultilevel"/>
    <w:lvl w:ilvl="0">
      <w:lvlJc w:val="left"/>
      <w:lvlText w:val="(%1)"/>
      <w:numFmt w:val="lowerLetter"/>
      <w:start w:val="6"/>
    </w:lvl>
  </w:abstractNum>
  <w:abstractNum w:abstractNumId="58">
    <w:nsid w:val="8F2B15E"/>
    <w:multiLevelType w:val="hybridMultilevel"/>
    <w:lvl w:ilvl="0">
      <w:lvlJc w:val="left"/>
      <w:lvlText w:val="%1."/>
      <w:numFmt w:val="decimal"/>
      <w:start w:val="11"/>
    </w:lvl>
    <w:lvl w:ilvl="1">
      <w:lvlJc w:val="left"/>
      <w:lvlText w:val="(%2)"/>
      <w:numFmt w:val="lowerLetter"/>
      <w:start w:val="1"/>
    </w:lvl>
  </w:abstractNum>
  <w:abstractNum w:abstractNumId="59">
    <w:nsid w:val="1A32234B"/>
    <w:multiLevelType w:val="hybridMultilevel"/>
    <w:lvl w:ilvl="0">
      <w:lvlJc w:val="left"/>
      <w:lvlText w:val="(%1)"/>
      <w:numFmt w:val="lowerLetter"/>
      <w:start w:val="3"/>
    </w:lvl>
  </w:abstractNum>
  <w:abstractNum w:abstractNumId="60">
    <w:nsid w:val="3B0FD379"/>
    <w:multiLevelType w:val="hybridMultilevel"/>
    <w:lvl w:ilvl="0">
      <w:lvlJc w:val="left"/>
      <w:lvlText w:val="(%1)"/>
      <w:numFmt w:val="lowerLetter"/>
      <w:start w:val="10"/>
    </w:lvl>
  </w:abstractNum>
  <w:abstractNum w:abstractNumId="61">
    <w:nsid w:val="68EB2F63"/>
    <w:multiLevelType w:val="hybridMultilevel"/>
    <w:lvl w:ilvl="0">
      <w:lvlJc w:val="left"/>
      <w:lvlText w:val="%1."/>
      <w:numFmt w:val="decimal"/>
      <w:start w:val="1"/>
    </w:lvl>
    <w:lvl w:ilvl="1">
      <w:lvlJc w:val="left"/>
      <w:lvlText w:val="(%2)"/>
      <w:numFmt w:val="lowerLetter"/>
      <w:start w:val="1"/>
    </w:lvl>
  </w:abstractNum>
  <w:abstractNum w:abstractNumId="62">
    <w:nsid w:val="4962813B"/>
    <w:multiLevelType w:val="hybridMultilevel"/>
    <w:lvl w:ilvl="0">
      <w:lvlJc w:val="left"/>
      <w:lvlText w:val="%1"/>
      <w:numFmt w:val="decimal"/>
      <w:start w:val="1"/>
    </w:lvl>
    <w:lvl w:ilvl="1">
      <w:lvlJc w:val="left"/>
      <w:lvlText w:val="(%2)"/>
      <w:numFmt w:val="lowerLetter"/>
      <w:start w:val="2"/>
    </w:lvl>
  </w:abstractNum>
  <w:abstractNum w:abstractNumId="63">
    <w:nsid w:val="60B6DF70"/>
    <w:multiLevelType w:val="hybridMultilevel"/>
    <w:lvl w:ilvl="0">
      <w:lvlJc w:val="left"/>
      <w:lvlText w:val="%1."/>
      <w:numFmt w:val="decimal"/>
      <w:start w:val="2"/>
    </w:lvl>
    <w:lvl w:ilvl="1">
      <w:lvlJc w:val="left"/>
      <w:lvlText w:val="(%2)"/>
      <w:numFmt w:val="lowerLetter"/>
      <w:start w:val="1"/>
    </w:lvl>
  </w:abstractNum>
  <w:abstractNum w:abstractNumId="64">
    <w:nsid w:val="6A5EE64"/>
    <w:multiLevelType w:val="hybridMultilevel"/>
    <w:lvl w:ilvl="0">
      <w:lvlJc w:val="left"/>
      <w:lvlText w:val="%1."/>
      <w:numFmt w:val="decimal"/>
      <w:start w:val="5"/>
    </w:lvl>
  </w:abstractNum>
  <w:abstractNum w:abstractNumId="65">
    <w:nsid w:val="14330624"/>
    <w:multiLevelType w:val="hybridMultilevel"/>
    <w:lvl w:ilvl="0">
      <w:lvlJc w:val="left"/>
      <w:lvlText w:val="%1."/>
      <w:numFmt w:val="decimal"/>
      <w:start w:val="9"/>
    </w:lvl>
    <w:lvl w:ilvl="1">
      <w:lvlJc w:val="left"/>
      <w:lvlText w:val="(%2)"/>
      <w:numFmt w:val="lowerLetter"/>
      <w:start w:val="1"/>
    </w:lvl>
  </w:abstractNum>
  <w:abstractNum w:abstractNumId="66">
    <w:nsid w:val="7FFFCA11"/>
    <w:multiLevelType w:val="hybridMultilevel"/>
    <w:lvl w:ilvl="0">
      <w:lvlJc w:val="left"/>
      <w:lvlText w:val="(%1)"/>
      <w:numFmt w:val="lowerLetter"/>
      <w:start w:val="4"/>
    </w:lvl>
    <w:lvl w:ilvl="1">
      <w:lvlJc w:val="left"/>
      <w:lvlText w:val="(%2)"/>
      <w:numFmt w:val="decimal"/>
      <w:start w:val="1"/>
    </w:lvl>
  </w:abstractNum>
  <w:abstractNum w:abstractNumId="67">
    <w:nsid w:val="1A27709E"/>
    <w:multiLevelType w:val="hybridMultilevel"/>
    <w:lvl w:ilvl="0">
      <w:lvlJc w:val="left"/>
      <w:lvlText w:val="(%1)"/>
      <w:numFmt w:val="decimal"/>
      <w:start w:val="2"/>
    </w:lvl>
  </w:abstractNum>
  <w:abstractNum w:abstractNumId="68">
    <w:nsid w:val="71EA1109"/>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69">
    <w:nsid w:val="100F59DC"/>
    <w:multiLevelType w:val="hybridMultilevel"/>
    <w:lvl w:ilvl="0">
      <w:lvlJc w:val="left"/>
      <w:lvlText w:val="%1"/>
      <w:numFmt w:val="lowerLetter"/>
      <w:start w:val="1"/>
    </w:lvl>
    <w:lvl w:ilvl="1">
      <w:lvlJc w:val="left"/>
      <w:lvlText w:val="(%2)"/>
      <w:numFmt w:val="upperLetter"/>
      <w:start w:val="3"/>
    </w:lvl>
  </w:abstractNum>
  <w:abstractNum w:abstractNumId="70">
    <w:nsid w:val="7FB7E0AA"/>
    <w:multiLevelType w:val="hybridMultilevel"/>
    <w:lvl w:ilvl="0">
      <w:lvlJc w:val="left"/>
      <w:lvlText w:val="(%1)"/>
      <w:numFmt w:val="lowerLetter"/>
      <w:start w:val="6"/>
    </w:lvl>
    <w:lvl w:ilvl="1">
      <w:lvlJc w:val="left"/>
      <w:lvlText w:val="%2"/>
      <w:numFmt w:val="upperLetter"/>
      <w:start w:val="1"/>
    </w:lvl>
  </w:abstractNum>
  <w:abstractNum w:abstractNumId="71">
    <w:nsid w:val="6EB5BD4"/>
    <w:multiLevelType w:val="hybridMultilevel"/>
    <w:lvl w:ilvl="0">
      <w:lvlJc w:val="left"/>
      <w:lvlText w:val="(%1)"/>
      <w:numFmt w:val="lowerLetter"/>
      <w:start w:val="8"/>
    </w:lvl>
  </w:abstractNum>
  <w:abstractNum w:abstractNumId="72">
    <w:nsid w:val="6F6DD9AC"/>
    <w:multiLevelType w:val="hybridMultilevel"/>
    <w:lvl w:ilvl="0">
      <w:lvlJc w:val="left"/>
      <w:lvlText w:val="(%1)"/>
      <w:numFmt w:val="lowerLetter"/>
      <w:start w:val="10"/>
    </w:lvl>
    <w:lvl w:ilvl="1">
      <w:lvlJc w:val="left"/>
      <w:lvlText w:val="(%2)"/>
      <w:numFmt w:val="decimal"/>
      <w:start w:val="1"/>
    </w:lvl>
  </w:abstractNum>
  <w:abstractNum w:abstractNumId="73">
    <w:nsid w:val="94211F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4">
    <w:nsid w:val="885E1B"/>
    <w:multiLevelType w:val="hybridMultilevel"/>
    <w:lvl w:ilvl="0">
      <w:lvlJc w:val="left"/>
      <w:lvlText w:val="(%1)"/>
      <w:numFmt w:val="lowerLetter"/>
      <w:start w:val="3"/>
    </w:lvl>
  </w:abstractNum>
  <w:abstractNum w:abstractNumId="75">
    <w:nsid w:val="76272110"/>
    <w:multiLevelType w:val="hybridMultilevel"/>
    <w:lvl w:ilvl="0">
      <w:lvlJc w:val="left"/>
      <w:lvlText w:val="%1"/>
      <w:numFmt w:val="decimal"/>
      <w:start w:val="1"/>
    </w:lvl>
    <w:lvl w:ilvl="1">
      <w:lvlJc w:val="left"/>
      <w:lvlText w:val="(%2)"/>
      <w:numFmt w:val="lowerLetter"/>
      <w:start w:val="4"/>
    </w:lvl>
  </w:abstractNum>
  <w:abstractNum w:abstractNumId="76">
    <w:nsid w:val="4C04A8AF"/>
    <w:multiLevelType w:val="hybridMultilevel"/>
    <w:lvl w:ilvl="0">
      <w:lvlJc w:val="left"/>
      <w:lvlText w:val="%1."/>
      <w:numFmt w:val="decimal"/>
      <w:start w:val="11"/>
    </w:lvl>
    <w:lvl w:ilvl="1">
      <w:lvlJc w:val="left"/>
      <w:lvlText w:val="(%2)"/>
      <w:numFmt w:val="lowerLetter"/>
      <w:start w:val="1"/>
    </w:lvl>
  </w:abstractNum>
  <w:abstractNum w:abstractNumId="77">
    <w:nsid w:val="1716703B"/>
    <w:multiLevelType w:val="hybridMultilevel"/>
    <w:lvl w:ilvl="0">
      <w:lvlJc w:val="left"/>
      <w:lvlText w:val="(%1)"/>
      <w:numFmt w:val="lowerLetter"/>
      <w:start w:val="3"/>
    </w:lvl>
  </w:abstractNum>
  <w:abstractNum w:abstractNumId="78">
    <w:nsid w:val="14E17E33"/>
    <w:multiLevelType w:val="hybridMultilevel"/>
    <w:lvl w:ilvl="0">
      <w:lvlJc w:val="left"/>
      <w:lvlText w:val="(%1)"/>
      <w:numFmt w:val="lowerLetter"/>
      <w:start w:val="10"/>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2"/>
    </w:lvl>
    <w:lvl w:ilvl="1">
      <w:lvlJc w:val="left"/>
      <w:lvlText w:val="(%2)"/>
      <w:numFmt w:val="lowerLetter"/>
      <w:start w:val="1"/>
    </w:lvl>
  </w:abstractNum>
  <w:abstractNum w:abstractNumId="81">
    <w:nsid w:val="68EBC550"/>
    <w:multiLevelType w:val="hybridMultilevel"/>
    <w:lvl w:ilvl="0">
      <w:lvlJc w:val="left"/>
      <w:lvlText w:val="%1"/>
      <w:numFmt w:val="decimal"/>
      <w:start w:val="1"/>
    </w:lvl>
    <w:lvl w:ilvl="1">
      <w:lvlJc w:val="left"/>
      <w:lvlText w:val="(%2)"/>
      <w:numFmt w:val="lowerLetter"/>
      <w:start w:val="2"/>
    </w:lvl>
  </w:abstractNum>
  <w:abstractNum w:abstractNumId="82">
    <w:nsid w:val="2DF6D648"/>
    <w:multiLevelType w:val="hybridMultilevel"/>
    <w:lvl w:ilvl="0">
      <w:lvlJc w:val="left"/>
      <w:lvlText w:val="%1."/>
      <w:numFmt w:val="decimal"/>
      <w:start w:val="5"/>
    </w:lvl>
    <w:lvl w:ilvl="1">
      <w:lvlJc w:val="left"/>
      <w:lvlText w:val="%2"/>
      <w:numFmt w:val="lowerLetter"/>
      <w:start w:val="1"/>
    </w:lvl>
  </w:abstractNum>
  <w:abstractNum w:abstractNumId="83">
    <w:nsid w:val="46B7D447"/>
    <w:multiLevelType w:val="hybridMultilevel"/>
    <w:lvl w:ilvl="0">
      <w:lvlJc w:val="left"/>
      <w:lvlText w:val="%1."/>
      <w:numFmt w:val="decimal"/>
      <w:start w:val="7"/>
    </w:lvl>
    <w:lvl w:ilvl="1">
      <w:lvlJc w:val="left"/>
      <w:lvlText w:val="(%2)"/>
      <w:numFmt w:val="lowerLetter"/>
      <w:start w:val="1"/>
    </w:lvl>
  </w:abstractNum>
  <w:abstractNum w:abstractNumId="84">
    <w:nsid w:val="4A2AC315"/>
    <w:multiLevelType w:val="hybridMultilevel"/>
    <w:lvl w:ilvl="0">
      <w:lvlJc w:val="left"/>
      <w:lvlText w:val="%1."/>
      <w:numFmt w:val="decimal"/>
      <w:start w:val="9"/>
    </w:lvl>
  </w:abstractNum>
  <w:abstractNum w:abstractNumId="85">
    <w:nsid w:val="39EE015C"/>
    <w:multiLevelType w:val="hybridMultilevel"/>
    <w:lvl w:ilvl="0">
      <w:lvlJc w:val="left"/>
      <w:lvlText w:val="%1."/>
      <w:numFmt w:val="decimal"/>
      <w:start w:val="14"/>
    </w:lvl>
    <w:lvl w:ilvl="1">
      <w:lvlJc w:val="left"/>
      <w:lvlText w:val="(%2)"/>
      <w:numFmt w:val="lowerLetter"/>
      <w:start w:val="1"/>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decimal"/>
      <w:start w:val="20"/>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decimal"/>
      <w:start w:val="5"/>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decimal"/>
      <w:start w:val="5"/>
    </w:lvl>
  </w:abstractNum>
  <w:abstractNum w:abstractNumId="95">
    <w:nsid w:val="50801EE1"/>
    <w:multiLevelType w:val="hybridMultilevel"/>
    <w:lvl w:ilvl="0">
      <w:lvlJc w:val="left"/>
      <w:lvlText w:val="%1)"/>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2019-12-07T17:28:33Z</dcterms:created>
  <dcterms:modified xsi:type="dcterms:W3CDTF">2019-12-07T17:28:33Z</dcterms:modified>
</cp:coreProperties>
</file>