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June 19,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VRINGO, INC.</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tbl>
      <w:tblPr>
        <w:tblLayout w:type="fixed"/>
        <w:tblInd w:w="880" w:type="dxa"/>
        <w:tblCellMar>
          <w:top w:w="0" w:type="dxa"/>
          <w:left w:w="0" w:type="dxa"/>
          <w:bottom w:w="0" w:type="dxa"/>
          <w:right w:w="0" w:type="dxa"/>
        </w:tblCellMar>
      </w:tblPr>
      <w:tr>
        <w:trPr>
          <w:trHeight w:val="216"/>
        </w:trPr>
        <w:tc>
          <w:tcPr>
            <w:tcW w:w="216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Delaware</w:t>
            </w:r>
          </w:p>
        </w:tc>
        <w:tc>
          <w:tcPr>
            <w:tcW w:w="552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001-34785</w:t>
            </w:r>
          </w:p>
        </w:tc>
        <w:tc>
          <w:tcPr>
            <w:tcW w:w="1660" w:type="dxa"/>
            <w:vAlign w:val="bottom"/>
          </w:tcPr>
          <w:p>
            <w:pPr>
              <w:jc w:val="center"/>
              <w:ind w:left="170"/>
              <w:spacing w:after="0"/>
              <w:rPr>
                <w:sz w:val="20"/>
                <w:szCs w:val="20"/>
                <w:color w:val="auto"/>
              </w:rPr>
            </w:pPr>
            <w:r>
              <w:rPr>
                <w:rFonts w:ascii="Arial" w:cs="Arial" w:eastAsia="Arial" w:hAnsi="Arial"/>
                <w:sz w:val="18"/>
                <w:szCs w:val="18"/>
                <w:b w:val="1"/>
                <w:bCs w:val="1"/>
                <w:color w:val="auto"/>
                <w:w w:val="91"/>
              </w:rPr>
              <w:t>20-4988129</w:t>
            </w:r>
          </w:p>
        </w:tc>
      </w:tr>
      <w:tr>
        <w:trPr>
          <w:trHeight w:val="216"/>
        </w:trPr>
        <w:tc>
          <w:tcPr>
            <w:tcW w:w="216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(State or other jurisdiction</w:t>
            </w:r>
          </w:p>
        </w:tc>
        <w:tc>
          <w:tcPr>
            <w:tcW w:w="552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(Commission</w:t>
            </w:r>
          </w:p>
        </w:tc>
        <w:tc>
          <w:tcPr>
            <w:tcW w:w="1660" w:type="dxa"/>
            <w:vAlign w:val="bottom"/>
          </w:tcPr>
          <w:p>
            <w:pPr>
              <w:jc w:val="center"/>
              <w:ind w:left="15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16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of incorporation)</w:t>
            </w:r>
          </w:p>
        </w:tc>
        <w:tc>
          <w:tcPr>
            <w:tcW w:w="5520" w:type="dxa"/>
            <w:vAlign w:val="bottom"/>
          </w:tcPr>
          <w:p>
            <w:pPr>
              <w:jc w:val="center"/>
              <w:ind w:right="110"/>
              <w:spacing w:after="0"/>
              <w:rPr>
                <w:sz w:val="20"/>
                <w:szCs w:val="20"/>
                <w:color w:val="auto"/>
              </w:rPr>
            </w:pPr>
            <w:r>
              <w:rPr>
                <w:rFonts w:ascii="Arial" w:cs="Arial" w:eastAsia="Arial" w:hAnsi="Arial"/>
                <w:sz w:val="18"/>
                <w:szCs w:val="18"/>
                <w:b w:val="1"/>
                <w:bCs w:val="1"/>
                <w:color w:val="auto"/>
                <w:w w:val="94"/>
              </w:rPr>
              <w:t>File Number)</w:t>
            </w:r>
          </w:p>
        </w:tc>
        <w:tc>
          <w:tcPr>
            <w:tcW w:w="1660" w:type="dxa"/>
            <w:vAlign w:val="bottom"/>
          </w:tcPr>
          <w:p>
            <w:pPr>
              <w:jc w:val="center"/>
              <w:ind w:left="170"/>
              <w:spacing w:after="0"/>
              <w:rPr>
                <w:sz w:val="20"/>
                <w:szCs w:val="20"/>
                <w:color w:val="auto"/>
              </w:rPr>
            </w:pPr>
            <w:r>
              <w:rPr>
                <w:rFonts w:ascii="Arial" w:cs="Arial" w:eastAsia="Arial" w:hAnsi="Arial"/>
                <w:sz w:val="18"/>
                <w:szCs w:val="18"/>
                <w:b w:val="1"/>
                <w:bCs w:val="1"/>
                <w:color w:val="auto"/>
                <w:w w:val="92"/>
              </w:rPr>
              <w:t>Identification No.)</w:t>
            </w:r>
          </w:p>
        </w:tc>
      </w:tr>
      <w:tr>
        <w:trPr>
          <w:trHeight w:val="414"/>
        </w:trPr>
        <w:tc>
          <w:tcPr>
            <w:tcW w:w="2160" w:type="dxa"/>
            <w:vAlign w:val="bottom"/>
          </w:tcPr>
          <w:p>
            <w:pPr>
              <w:spacing w:after="0"/>
              <w:rPr>
                <w:sz w:val="24"/>
                <w:szCs w:val="24"/>
                <w:color w:val="auto"/>
              </w:rPr>
            </w:pPr>
          </w:p>
        </w:tc>
        <w:tc>
          <w:tcPr>
            <w:tcW w:w="552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44 W. 28th Street</w:t>
            </w:r>
          </w:p>
        </w:tc>
        <w:tc>
          <w:tcPr>
            <w:tcW w:w="1660" w:type="dxa"/>
            <w:vAlign w:val="bottom"/>
          </w:tcPr>
          <w:p>
            <w:pPr>
              <w:spacing w:after="0"/>
              <w:rPr>
                <w:sz w:val="24"/>
                <w:szCs w:val="24"/>
                <w:color w:val="auto"/>
              </w:rPr>
            </w:pPr>
          </w:p>
        </w:tc>
      </w:tr>
      <w:tr>
        <w:trPr>
          <w:trHeight w:val="216"/>
        </w:trPr>
        <w:tc>
          <w:tcPr>
            <w:tcW w:w="2160" w:type="dxa"/>
            <w:vAlign w:val="bottom"/>
          </w:tcPr>
          <w:p>
            <w:pPr>
              <w:spacing w:after="0"/>
              <w:rPr>
                <w:sz w:val="18"/>
                <w:szCs w:val="18"/>
                <w:color w:val="auto"/>
              </w:rPr>
            </w:pPr>
          </w:p>
        </w:tc>
        <w:tc>
          <w:tcPr>
            <w:tcW w:w="552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New York, New York 10001</w:t>
            </w:r>
          </w:p>
        </w:tc>
        <w:tc>
          <w:tcPr>
            <w:tcW w:w="1660" w:type="dxa"/>
            <w:vAlign w:val="bottom"/>
          </w:tcPr>
          <w:p>
            <w:pPr>
              <w:spacing w:after="0"/>
              <w:rPr>
                <w:sz w:val="18"/>
                <w:szCs w:val="18"/>
                <w:color w:val="auto"/>
              </w:rPr>
            </w:pPr>
          </w:p>
        </w:tc>
      </w:tr>
      <w:tr>
        <w:trPr>
          <w:trHeight w:val="234"/>
        </w:trPr>
        <w:tc>
          <w:tcPr>
            <w:tcW w:w="2160" w:type="dxa"/>
            <w:vAlign w:val="bottom"/>
          </w:tcPr>
          <w:p>
            <w:pPr>
              <w:spacing w:after="0"/>
              <w:rPr>
                <w:sz w:val="20"/>
                <w:szCs w:val="20"/>
                <w:color w:val="auto"/>
              </w:rPr>
            </w:pPr>
          </w:p>
        </w:tc>
        <w:tc>
          <w:tcPr>
            <w:tcW w:w="552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(Address of Principal Executive Offices and Zip Code)</w:t>
            </w:r>
          </w:p>
        </w:tc>
        <w:tc>
          <w:tcPr>
            <w:tcW w:w="166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2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Registrant’s telephone number, including area code: (646) 525-4319</w:t>
            </w:r>
          </w:p>
        </w:tc>
        <w:tc>
          <w:tcPr>
            <w:tcW w:w="166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jc w:val="both"/>
        <w:ind w:right="4600" w:firstLine="8"/>
        <w:spacing w:after="0" w:line="224" w:lineRule="exact"/>
        <w:tabs>
          <w:tab w:leader="none" w:pos="207"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 xml:space="preserve">Written communications pursuant to Rule 425 under the Securities Act (17 CFR 230.425) </w:t>
      </w:r>
      <w:r>
        <w:rPr>
          <w:rFonts w:ascii="MS PGothic" w:cs="MS PGothic" w:eastAsia="MS PGothic" w:hAnsi="MS PGothic"/>
          <w:sz w:val="16"/>
          <w:szCs w:val="16"/>
          <w:color w:val="auto"/>
        </w:rPr>
        <w:t>☐</w:t>
      </w:r>
      <w:r>
        <w:rPr>
          <w:rFonts w:ascii="Arial" w:cs="Arial" w:eastAsia="Arial" w:hAnsi="Arial"/>
          <w:sz w:val="16"/>
          <w:szCs w:val="16"/>
          <w:color w:val="auto"/>
        </w:rPr>
        <w:t xml:space="preserve"> Soliciting material pursuant to Rule 14a-12 under the Exchange Act (17 CFR 240.14a-12)</w:t>
      </w:r>
    </w:p>
    <w:p>
      <w:pPr>
        <w:jc w:val="both"/>
        <w:ind w:right="3000"/>
        <w:spacing w:after="0" w:line="225" w:lineRule="exact"/>
        <w:rPr>
          <w:rFonts w:ascii="MS PGothic" w:cs="MS PGothic" w:eastAsia="MS PGothic" w:hAnsi="MS PGothic"/>
          <w:sz w:val="16"/>
          <w:szCs w:val="16"/>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Pre-commencement communications pursuant to Rule 14d-2(b) under the Exchange Act (17 CFR 240.14d-2(b)) </w:t>
      </w:r>
      <w:r>
        <w:rPr>
          <w:rFonts w:ascii="MS PGothic" w:cs="MS PGothic" w:eastAsia="MS PGothic" w:hAnsi="MS PGothic"/>
          <w:sz w:val="16"/>
          <w:szCs w:val="16"/>
          <w:color w:val="auto"/>
        </w:rPr>
        <w:t>☐</w:t>
      </w:r>
      <w:r>
        <w:rPr>
          <w:rFonts w:ascii="Arial" w:cs="Arial" w:eastAsia="Arial" w:hAnsi="Arial"/>
          <w:sz w:val="16"/>
          <w:szCs w:val="16"/>
          <w:color w:val="auto"/>
        </w:rPr>
        <w:t xml:space="preserve">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445" w:right="359" w:bottom="1440" w:gutter="0" w:footer="0" w:header="0"/>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previously disclosed, on March 12, 2012, Vringo, Inc. (the “</w:t>
      </w:r>
      <w:r>
        <w:rPr>
          <w:rFonts w:ascii="Arial" w:cs="Arial" w:eastAsia="Arial" w:hAnsi="Arial"/>
          <w:sz w:val="18"/>
          <w:szCs w:val="18"/>
          <w:u w:val="single" w:color="auto"/>
          <w:color w:val="auto"/>
        </w:rPr>
        <w:t>Company</w:t>
      </w:r>
      <w:r>
        <w:rPr>
          <w:rFonts w:ascii="Arial" w:cs="Arial" w:eastAsia="Arial" w:hAnsi="Arial"/>
          <w:sz w:val="18"/>
          <w:szCs w:val="18"/>
          <w:color w:val="auto"/>
        </w:rPr>
        <w:t>”), VIP Merger Sub, Inc., a wholly-owned subsidiary of the Company (“</w:t>
      </w:r>
      <w:r>
        <w:rPr>
          <w:rFonts w:ascii="Arial" w:cs="Arial" w:eastAsia="Arial" w:hAnsi="Arial"/>
          <w:sz w:val="18"/>
          <w:szCs w:val="18"/>
          <w:u w:val="single" w:color="auto"/>
          <w:color w:val="auto"/>
        </w:rPr>
        <w:t>Merger Sub</w:t>
      </w:r>
      <w:r>
        <w:rPr>
          <w:rFonts w:ascii="Arial" w:cs="Arial" w:eastAsia="Arial" w:hAnsi="Arial"/>
          <w:sz w:val="18"/>
          <w:szCs w:val="18"/>
          <w:color w:val="auto"/>
        </w:rPr>
        <w:t>”), and Innovate/Protect, Inc. (“</w:t>
      </w:r>
      <w:r>
        <w:rPr>
          <w:rFonts w:ascii="Arial" w:cs="Arial" w:eastAsia="Arial" w:hAnsi="Arial"/>
          <w:sz w:val="18"/>
          <w:szCs w:val="18"/>
          <w:u w:val="single" w:color="auto"/>
          <w:color w:val="auto"/>
        </w:rPr>
        <w:t>Innovate/Protect</w:t>
      </w:r>
      <w:r>
        <w:rPr>
          <w:rFonts w:ascii="Arial" w:cs="Arial" w:eastAsia="Arial" w:hAnsi="Arial"/>
          <w:sz w:val="18"/>
          <w:szCs w:val="18"/>
          <w:color w:val="auto"/>
        </w:rPr>
        <w:t>”) entered into a merger agreement (as may be amended or modified, the “</w:t>
      </w:r>
      <w:r>
        <w:rPr>
          <w:rFonts w:ascii="Arial" w:cs="Arial" w:eastAsia="Arial" w:hAnsi="Arial"/>
          <w:sz w:val="18"/>
          <w:szCs w:val="18"/>
          <w:u w:val="single" w:color="auto"/>
          <w:color w:val="auto"/>
        </w:rPr>
        <w:t>Merger Agreement</w:t>
      </w:r>
      <w:r>
        <w:rPr>
          <w:rFonts w:ascii="Arial" w:cs="Arial" w:eastAsia="Arial" w:hAnsi="Arial"/>
          <w:sz w:val="18"/>
          <w:szCs w:val="18"/>
          <w:color w:val="auto"/>
        </w:rPr>
        <w:t>”), pursuant to which Innovate/Protect will merge with and into Merger Sub, with Merger Sub surviving the merger as a wholly-owned subsidiary of the Company (the “</w:t>
      </w:r>
      <w:r>
        <w:rPr>
          <w:rFonts w:ascii="Arial" w:cs="Arial" w:eastAsia="Arial" w:hAnsi="Arial"/>
          <w:sz w:val="18"/>
          <w:szCs w:val="18"/>
          <w:u w:val="single" w:color="auto"/>
          <w:color w:val="auto"/>
        </w:rPr>
        <w:t>Merger</w:t>
      </w:r>
      <w:r>
        <w:rPr>
          <w:rFonts w:ascii="Arial" w:cs="Arial" w:eastAsia="Arial" w:hAnsi="Arial"/>
          <w:sz w:val="18"/>
          <w:szCs w:val="18"/>
          <w:color w:val="auto"/>
        </w:rPr>
        <w:t>”). The consummation of the Merger with Innovate/Protect is subject to stockholders’ approval and other closing conditions. A copy of the Merger Agreement was filed as Exhibit 2.1 to the Company’s Current Report on Form 8-K filed with the Securities and Exchange Commission (the “</w:t>
      </w:r>
      <w:r>
        <w:rPr>
          <w:rFonts w:ascii="Arial" w:cs="Arial" w:eastAsia="Arial" w:hAnsi="Arial"/>
          <w:sz w:val="18"/>
          <w:szCs w:val="18"/>
          <w:u w:val="single" w:color="auto"/>
          <w:color w:val="auto"/>
        </w:rPr>
        <w:t>SEC</w:t>
      </w:r>
      <w:r>
        <w:rPr>
          <w:rFonts w:ascii="Arial" w:cs="Arial" w:eastAsia="Arial" w:hAnsi="Arial"/>
          <w:sz w:val="18"/>
          <w:szCs w:val="18"/>
          <w:color w:val="auto"/>
        </w:rPr>
        <w:t>”) on March 14, 2012 and is incorporated herein by reference.</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Current Report on Form 8-K is being filed to provide (i) the unaudited pro forma consolidated statement of operation for the three month period ended March 31, 2012, (ii) the unaudited pro forma consolidated balance sheets, as of March 31, 2012 and (iii) the unaudited pro forma consolidated statement of operation, for the period from June 8, 2011 (date of inception of Innovate/Protect) through December 31, 2011.</w:t>
      </w:r>
    </w:p>
    <w:p>
      <w:pPr>
        <w:spacing w:after="0" w:line="18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Company has filed with the SEC a registration statement on Form S-3 for the resale of up to 2,672,756 shares and subsequently amended to 2,526,289 shares of common stock issued and issuable upon exercise of warrants held by certain security holders named therein which has not yet become effective. No securities may be sold nor offers to buy securities be accepted prior to the time the registration statement becomes effective.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Additional Information Will Be Filed with the SEC</w:t>
      </w:r>
    </w:p>
    <w:p>
      <w:pPr>
        <w:spacing w:after="0" w:line="22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 xml:space="preserve">This report does not constitute an offer to sell or the solicitation of an offer to buy any securities of the Company, or Innovate/Protect or the solicitation of any vote or approval. In connection with the proposed Merger, the Company filed a Registration Statement on Form S-4 with the SEC on April 6, 2012, subsequently amended on May 17, 2012, June 1, 2012 and June 12, 2012, which includes a preliminary proxy statement/prospectus of the Company. These materials are not yet final and will be further amended. The proxy statement/prospectus contains important information about the Company, Innovate/Protect, the Merger and related matters. The Company will mail or otherwise deliver the proxy statement/prospectus to its stockholders and the stockholders of Innovate/Protect once it is final. </w:t>
      </w:r>
      <w:r>
        <w:rPr>
          <w:rFonts w:ascii="Arial" w:cs="Arial" w:eastAsia="Arial" w:hAnsi="Arial"/>
          <w:sz w:val="16"/>
          <w:szCs w:val="16"/>
          <w:b w:val="1"/>
          <w:bCs w:val="1"/>
          <w:color w:val="auto"/>
        </w:rPr>
        <w:t>Investors and security holders of the Company and Innovate/Protect are urged to read carefully the</w:t>
      </w:r>
      <w:r>
        <w:rPr>
          <w:rFonts w:ascii="Arial" w:cs="Arial" w:eastAsia="Arial" w:hAnsi="Arial"/>
          <w:sz w:val="16"/>
          <w:szCs w:val="16"/>
          <w:color w:val="auto"/>
        </w:rPr>
        <w:t xml:space="preserve"> </w:t>
      </w:r>
      <w:r>
        <w:rPr>
          <w:rFonts w:ascii="Arial" w:cs="Arial" w:eastAsia="Arial" w:hAnsi="Arial"/>
          <w:sz w:val="16"/>
          <w:szCs w:val="16"/>
          <w:b w:val="1"/>
          <w:bCs w:val="1"/>
          <w:color w:val="auto"/>
        </w:rPr>
        <w:t>proxy statement/prospectus relating to the merger (including any amendments or supplements thereto) in its entirety when it is available, because it will contain important information about the Company, Innovate/Protect and the proposed transaction.</w:t>
      </w:r>
    </w:p>
    <w:p>
      <w:pPr>
        <w:spacing w:after="0" w:line="16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Investors and security holders of the Company will be able to obtain free copies of the proxy statement/prospectus for the proposed merger (when it is available) and other documents filed with the SEC by the Company through the website maintained by the SEC at www.sec.gov. In addition, investors and security holders of the Company and Innovate/Protect will be able to obtain free copies of the proxy statement/prospectus for the proposed merger (when it is available) by contacting Vringo, Inc., Attn.: Cliff Weinstein, VP Corporate Development, at 44 W. 28th Street, New York, New York 10001, or by e-mail at cliff@vringo.com. Investors and security holders of Innovate/Protect will also be able to obtain free copies of the proxy statement/prospectus for the merger by contacting Innovate/Protect, Attn.: Chief Operating Officer, 380 Madison Avenue, 22nd Floor, New York, NY 10017, or by e-mail at info@innovateprotect.com.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403860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Statements in this report regarding the proposed Merger between the Company and Innovate/Protect; the expected timetable for completing the transaction; the potential value created by the proposed Merger for the Company’s and Innovate/Protect’s stockholders; the potential of the combined companies’ technology platform; the Company’s respective or combined ability to raise capital to fund our combined operations and business plan; the continued listing of the Company’s or the combined company’s securities on the NYSE Amex; market acceptance of the Company’s products; our collective ability to protect our intellectual property rights; competition from other providers and products; our ability to license and monetize the patents owned by Innovate/Protect, including the outcome of the litigation against online search firms and other companies; the combined company’s management and board of directors; and any other statements about the Company’s or Innovate/Protect’s management teams’ future expectations, beliefs, goals, plans or prospects constitute forward-looking statements within the meaning of the Private Securities Litigation Reform Act of 1995. Any statements that are not statements of historical fact (including statements containing the words “believes,” “plans,” “could,” “anticipates,” “expects,” “estimates,” “plans,” “should,” “target,” “will,” “would” and similar expressions) should also be considered to be forward-looking statements. There are a number of important factors that could cause actual results or events to differ materially from those indicated by such forward-looking statements, including: the risk that the Company and Innovate/Protect may not be able to complete the proposed transaction; the inability to realize the potential value created by the proposed merger for the Company’s and Innovate/Protect’s stockholders; our respective or combined inability to raise capital to fund our combined operations and business plan; the Company’s or the combined company’s inability to maintain the listing of our securities on the NYSE Amex; the potential lack of market acceptance of the Company’s products; our collective inability to protect our intellectual property rights; potential competition from other providers and products; our inability to license and monetize the patents owned by Innovate/Protect, including the outcome of the litigation against online search firms and other companies; and other risks and uncertainties more fully described in the Company’s Annual Report on Form 10-K for the year ended December 31, 2011 and its Quarterly Report on Form 10-Q for the quarter ended March 31, 2012, as filed with the SEC, as well as the other filings that the Company makes with the SEC. Investors and stockholders are also urged to read the risk factors set forth in the proxy statement/prospectus carefully.</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addition, the statements in this report reflect our expectations and beliefs as of the date of this report. The Company anticipates that subsequent events and developments will cause its expectations and beliefs to change. However, while the Company may elect to update these forward-looking statements publicly at some point in the future, the company specifically disclaims any obligation to do so, whether as a result of new information, future events or otherwise. These forward-looking statements should not be relied upon as representing the Company’s views as of any date after the date of this release.</w:t>
      </w:r>
    </w:p>
    <w:p>
      <w:pPr>
        <w:spacing w:after="0" w:line="18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 Forma Financial Information.</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The unaudited pro forma combined financial statements reflecting the Merger are filed herewith as Exhibit 99.1.</w:t>
      </w:r>
    </w:p>
    <w:p>
      <w:pPr>
        <w:spacing w:after="0" w:line="225"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99.1</w:t>
      </w:r>
      <w:r>
        <w:rPr>
          <w:rFonts w:ascii="Arial" w:cs="Arial" w:eastAsia="Arial" w:hAnsi="Arial"/>
          <w:sz w:val="16"/>
          <w:szCs w:val="16"/>
          <w:color w:val="auto"/>
        </w:rPr>
        <w:t>Unaudited Pro Forma Combined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720" w:firstLine="41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0" w:type="dxa"/>
            <w:vAlign w:val="bottom"/>
          </w:tcPr>
          <w:p>
            <w:pPr>
              <w:spacing w:after="0"/>
              <w:rPr>
                <w:sz w:val="20"/>
                <w:szCs w:val="20"/>
                <w:color w:val="auto"/>
              </w:rPr>
            </w:pPr>
          </w:p>
        </w:tc>
        <w:tc>
          <w:tcPr>
            <w:tcW w:w="3160" w:type="dxa"/>
            <w:vAlign w:val="bottom"/>
            <w:gridSpan w:val="2"/>
          </w:tcPr>
          <w:p>
            <w:pPr>
              <w:ind w:left="1860"/>
              <w:spacing w:after="0"/>
              <w:rPr>
                <w:sz w:val="20"/>
                <w:szCs w:val="20"/>
                <w:color w:val="auto"/>
              </w:rPr>
            </w:pPr>
            <w:r>
              <w:rPr>
                <w:rFonts w:ascii="Arial" w:cs="Arial" w:eastAsia="Arial" w:hAnsi="Arial"/>
                <w:sz w:val="18"/>
                <w:szCs w:val="18"/>
                <w:b w:val="1"/>
                <w:bCs w:val="1"/>
                <w:color w:val="auto"/>
              </w:rPr>
              <w:t>VRINGO, INC.</w:t>
            </w:r>
          </w:p>
        </w:tc>
        <w:tc>
          <w:tcPr>
            <w:tcW w:w="4860" w:type="dxa"/>
            <w:vAlign w:val="bottom"/>
          </w:tcPr>
          <w:p>
            <w:pPr>
              <w:spacing w:after="0"/>
              <w:rPr>
                <w:sz w:val="20"/>
                <w:szCs w:val="20"/>
                <w:color w:val="auto"/>
              </w:rPr>
            </w:pPr>
          </w:p>
        </w:tc>
      </w:tr>
      <w:tr>
        <w:trPr>
          <w:trHeight w:val="648"/>
        </w:trPr>
        <w:tc>
          <w:tcPr>
            <w:tcW w:w="3400" w:type="dxa"/>
            <w:vAlign w:val="bottom"/>
          </w:tcPr>
          <w:p>
            <w:pPr>
              <w:spacing w:after="0"/>
              <w:rPr>
                <w:sz w:val="20"/>
                <w:szCs w:val="20"/>
                <w:color w:val="auto"/>
              </w:rPr>
            </w:pPr>
            <w:r>
              <w:rPr>
                <w:rFonts w:ascii="Arial" w:cs="Arial" w:eastAsia="Arial" w:hAnsi="Arial"/>
                <w:sz w:val="18"/>
                <w:szCs w:val="18"/>
                <w:color w:val="auto"/>
              </w:rPr>
              <w:t>Dated: June 19, 2012</w:t>
            </w:r>
          </w:p>
        </w:tc>
        <w:tc>
          <w:tcPr>
            <w:tcW w:w="8020" w:type="dxa"/>
            <w:vAlign w:val="bottom"/>
            <w:gridSpan w:val="3"/>
          </w:tcPr>
          <w:p>
            <w:pPr>
              <w:ind w:left="1860"/>
              <w:spacing w:after="0"/>
              <w:rPr>
                <w:sz w:val="20"/>
                <w:szCs w:val="20"/>
                <w:color w:val="auto"/>
              </w:rPr>
            </w:pPr>
            <w:r>
              <w:rPr>
                <w:rFonts w:ascii="Arial" w:cs="Arial" w:eastAsia="Arial" w:hAnsi="Arial"/>
                <w:sz w:val="18"/>
                <w:szCs w:val="18"/>
                <w:color w:val="auto"/>
              </w:rPr>
              <w:t>By:  /s/ Andrew D. Perlman</w:t>
            </w:r>
          </w:p>
        </w:tc>
      </w:tr>
      <w:tr>
        <w:trPr>
          <w:trHeight w:val="195"/>
        </w:trPr>
        <w:tc>
          <w:tcPr>
            <w:tcW w:w="340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8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860" w:type="dxa"/>
            <w:vAlign w:val="bottom"/>
            <w:tcBorders>
              <w:top w:val="single" w:sz="8" w:color="auto"/>
            </w:tcBorders>
          </w:tcPr>
          <w:p>
            <w:pPr>
              <w:ind w:left="80"/>
              <w:spacing w:after="0" w:line="195" w:lineRule="exact"/>
              <w:rPr>
                <w:sz w:val="20"/>
                <w:szCs w:val="20"/>
                <w:color w:val="auto"/>
              </w:rPr>
            </w:pPr>
            <w:r>
              <w:rPr>
                <w:rFonts w:ascii="Arial" w:cs="Arial" w:eastAsia="Arial" w:hAnsi="Arial"/>
                <w:sz w:val="18"/>
                <w:szCs w:val="18"/>
                <w:color w:val="auto"/>
              </w:rPr>
              <w:t>Andrew D. Perlman</w:t>
            </w:r>
          </w:p>
        </w:tc>
      </w:tr>
      <w:tr>
        <w:trPr>
          <w:trHeight w:val="230"/>
        </w:trPr>
        <w:tc>
          <w:tcPr>
            <w:tcW w:w="34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Title:</w:t>
            </w:r>
          </w:p>
        </w:tc>
        <w:tc>
          <w:tcPr>
            <w:tcW w:w="4860" w:type="dxa"/>
            <w:vAlign w:val="bottom"/>
          </w:tcPr>
          <w:p>
            <w:pPr>
              <w:ind w:left="80"/>
              <w:spacing w:after="0"/>
              <w:rPr>
                <w:sz w:val="20"/>
                <w:szCs w:val="20"/>
                <w:color w:val="auto"/>
              </w:rPr>
            </w:pPr>
            <w:r>
              <w:rPr>
                <w:rFonts w:ascii="Arial" w:cs="Arial" w:eastAsia="Arial" w:hAnsi="Arial"/>
                <w:sz w:val="18"/>
                <w:szCs w:val="18"/>
                <w:color w:val="auto"/>
              </w:rPr>
              <w:t>Chief Executive Officer and President</w:t>
            </w:r>
          </w:p>
        </w:tc>
      </w:tr>
      <w:tr>
        <w:trPr>
          <w:trHeight w:val="648"/>
        </w:trPr>
        <w:tc>
          <w:tcPr>
            <w:tcW w:w="340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4" w:name="page5"/>
    <w:bookmarkEnd w:id="4"/>
    <w:p>
      <w:pPr>
        <w:jc w:val="right"/>
        <w:ind w:right="3799"/>
        <w:spacing w:after="0"/>
        <w:rPr>
          <w:sz w:val="20"/>
          <w:szCs w:val="20"/>
          <w:color w:val="auto"/>
        </w:rPr>
      </w:pPr>
      <w:r>
        <w:rPr>
          <w:rFonts w:ascii="Arial" w:cs="Arial" w:eastAsia="Arial" w:hAnsi="Arial"/>
          <w:sz w:val="18"/>
          <w:szCs w:val="18"/>
          <w:b w:val="1"/>
          <w:bCs w:val="1"/>
          <w:color w:val="auto"/>
        </w:rPr>
        <w:t>EXHIBIT INDEX</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Unaudited Pro Forma Combined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04" w:right="1440"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COMBINED FINANCIAL STATEMENTS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following unaudited pro forma combined financial data is intended to show how the Merger might have affected historical financial statements if the Merger had been completed on June 8, 2011, for the purposes of the statements of operations, and March 31, 2012, for the purposes of the balance sheet, and was prepared based on the historical financial position and results of operations reported by Vringo and Innovate/Protect.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Treatment of the Merger</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U.S. Generally Accepted Accounting Principles (hereafter — GAAP), require that for each business combination, one of the combining entities shall be identified as the acquirer, and the existence of a controlling financial interest shall be used to identify the acquirer in a business combination. In a business combination effected primarily by exchanging equity interests, the acquirer usually is the entity that issues its equity interests. However, it is sometimes not clear which party is the acquirer. In these situations, the acquirer for accounting purposes may not be the legal acquirer (i.e., the entity that issues its equity interest to effect the business combination).</w:t>
      </w:r>
    </w:p>
    <w:p>
      <w:pPr>
        <w:spacing w:after="0" w:line="18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If a business combination has occurred, but it is not clear which of the combining entities is the acquirer, GAAP requires considering additional factors in making that determination. No hierarchy is provided to explain how to assess factors that influence the identification of the acquirer in a business combination, effectively concluding that no one of the criteria is more significant than any other. However, the more significant the differential in the voting interest of the combining entities, the more difficult it is to conclude that the entity with the largest voting interest is not the acquirer.</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Based on the aforementioned, and after taking in consideration all relevant facts and circumstances (which included, among others, the composition of the senior management and the governing body of the combined entity, relative size of the entities prior to the Merger), we came to a conclusion that, in light of the significant differential in the voting interest of the combining entities (both on current holdings basis and on diluted basis), Innovate/Protect is the accounting acquirer, as it is defined in FASB Topic ASC 805 “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w:t>
      </w:r>
    </w:p>
    <w:p>
      <w:pPr>
        <w:spacing w:after="0" w:line="18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As a result, the Merger will be accounted for as a reverse acquisition. In the post-combination consolidated financial statements, Innovate/Protect’s assets and liabilities will be presented at its pre-combination amounts, and Vringo’s assets and liabilities will be recorded and measured at fair value. In addition, the consolidated equity will reflect Vringo’s common and preferred stock, at par value, as Vringo is the legal acquirer. The total consolidated equity will consist of Innovate/Protect’s equity just before the merger, plus the fair value of assumed assets of Vringo, net, as well as, adjustments to equity caused by the consummation of the Merger, as per the guidance for business combinations in ASC 805.</w:t>
      </w:r>
    </w:p>
    <w:p>
      <w:pPr>
        <w:spacing w:after="0" w:line="1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unaudited pro forma combined financial statements were prepared in accordance with the regulations of the SEC. The pro forma adjustments reflecting the completion of the Merger are based upon the acquisition method of accounting in accordance with GAAP, and upon the assumptions set forth in the notes to the unaudited pro forma combined financial statements.</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unaudited pro forma combined balance sheet as of March 31, 2012, combines the historical balance sheets of Vringo and Innovate/Protect as of March 31, 2012 and gives pro forma effect to the Merger as if it had been completed on March 31, 2012.</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jc w:val="both"/>
        <w:ind w:firstLine="648"/>
        <w:spacing w:after="0" w:line="259" w:lineRule="auto"/>
        <w:rPr>
          <w:sz w:val="20"/>
          <w:szCs w:val="20"/>
          <w:color w:val="auto"/>
        </w:rPr>
      </w:pPr>
      <w:r>
        <w:rPr>
          <w:rFonts w:ascii="Arial" w:cs="Arial" w:eastAsia="Arial" w:hAnsi="Arial"/>
          <w:sz w:val="18"/>
          <w:szCs w:val="18"/>
          <w:color w:val="auto"/>
        </w:rPr>
        <w:t>The unaudited pro forma combined statements of operations for the periods from June 8, 2011 through December 31, 2011 and from March 31, 2012 combine the historical statements of operations of Vringo for the period from June 8, 2011 to December 31, 2011 and from January 1, 2012 to March 31, 2012 and of Innovate/Protect from inception (June 8, 2011) to December 31, 2011 and from January 1, 2012 to March 31, 2012 and gives pro forma effect to the Merger as if it had been completed on June 8, 2011.</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financial data has been adjusted to give pro forma effect to events that are (i) directly attributable to the Merger, (ii) factually supportable, and</w:t>
      </w:r>
    </w:p>
    <w:p>
      <w:pPr>
        <w:spacing w:after="0" w:line="46" w:lineRule="exact"/>
        <w:rPr>
          <w:sz w:val="20"/>
          <w:szCs w:val="20"/>
          <w:color w:val="auto"/>
        </w:rPr>
      </w:pPr>
    </w:p>
    <w:p>
      <w:pPr>
        <w:jc w:val="both"/>
        <w:ind w:firstLine="8"/>
        <w:spacing w:after="0" w:line="255" w:lineRule="auto"/>
        <w:tabs>
          <w:tab w:leader="none" w:pos="326" w:val="left"/>
        </w:tabs>
        <w:numPr>
          <w:ilvl w:val="0"/>
          <w:numId w:val="4"/>
        </w:numPr>
        <w:rPr>
          <w:rFonts w:ascii="Arial" w:cs="Arial" w:eastAsia="Arial" w:hAnsi="Arial"/>
          <w:sz w:val="18"/>
          <w:szCs w:val="18"/>
          <w:color w:val="auto"/>
        </w:rPr>
      </w:pPr>
      <w:r>
        <w:rPr>
          <w:rFonts w:ascii="Arial" w:cs="Arial" w:eastAsia="Arial" w:hAnsi="Arial"/>
          <w:sz w:val="18"/>
          <w:szCs w:val="18"/>
          <w:color w:val="auto"/>
        </w:rPr>
        <w:t>with respect to the statements of operations, expected to have a continuing impact on the combined results. The pro forma adjustments are preliminary and based on management’s estimates of the fair value and useful lives of the assets acquired and liabilities assumed and have been prepared to illustrate the estimated effect of the acquisition and certain other adjustments.</w:t>
      </w:r>
    </w:p>
    <w:p>
      <w:pPr>
        <w:spacing w:after="0" w:line="19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unaudited pro forma combined financial statements are presented for illustrative purposes only, and are not necessarily indicative of the financial condition or results of operations of future periods or the financial condition or results of operations that actually would have been realized had the entities been combined during the periods presented. In addition, as explained in more detail in the accompanying notes to the unaudited pro forma combined financial statements, the preliminary acquisition-date fair value of the identifiable assets acquired and liabilities assumed reflected in the unaudited pro forma combined financial statements is subject to adjustment and may vary from the actual amounts that will be recorded upon completion of the Merger.</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Preliminary Purchase Price Allocation:</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Pro Forma Unaudited Consolidated Financial Information reflects the allocation of the preliminarily estimated purchase price of $66.0 million to the assets acquired and liabilities assumed of Vringo. The fair value of the consideration issued to former shareholders of Innovate/Protect is based on price of Vringo’s share of common stock on May 25, 2012, as well as the fair value of other outstanding equity instruments. A preliminary determination of the fair values of certain acquired assets and assumed liabilities of Vringo was based on a $3.39 share price, as basis for valuation:</w:t>
      </w:r>
    </w:p>
    <w:p>
      <w:pPr>
        <w:sectPr>
          <w:pgSz w:w="11900" w:h="16838" w:orient="portrait"/>
          <w:cols w:equalWidth="0" w:num="1">
            <w:col w:w="11420"/>
          </w:cols>
          <w:pgMar w:left="240" w:top="90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Current assets, net of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46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Long-term deposit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Technology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Total assets acquired</w:t>
      </w:r>
    </w:p>
    <w:p>
      <w:pPr>
        <w:spacing w:after="0" w:line="23" w:lineRule="exact"/>
        <w:rPr>
          <w:sz w:val="20"/>
          <w:szCs w:val="20"/>
          <w:color w:val="auto"/>
        </w:rPr>
      </w:pPr>
    </w:p>
    <w:p>
      <w:pPr>
        <w:ind w:left="180" w:right="720" w:hanging="179"/>
        <w:spacing w:after="0" w:line="258" w:lineRule="auto"/>
        <w:rPr>
          <w:sz w:val="20"/>
          <w:szCs w:val="20"/>
          <w:color w:val="auto"/>
        </w:rPr>
      </w:pPr>
      <w:r>
        <w:rPr>
          <w:rFonts w:ascii="Arial" w:cs="Arial" w:eastAsia="Arial" w:hAnsi="Arial"/>
          <w:sz w:val="18"/>
          <w:szCs w:val="18"/>
          <w:color w:val="auto"/>
        </w:rPr>
        <w:t>Fair value of outstanding warrants granted by Vringo prior to the Merger, classified as a long-term derivative liability, in these consolidated pro forma financial statements, see note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246620" cy="2832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28321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Total liabilities assumed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estimated purchase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ind w:left="180" w:right="320" w:hanging="179"/>
        <w:spacing w:after="0" w:line="258" w:lineRule="auto"/>
        <w:rPr>
          <w:sz w:val="20"/>
          <w:szCs w:val="20"/>
          <w:color w:val="auto"/>
        </w:rPr>
      </w:pPr>
      <w:r>
        <w:rPr>
          <w:rFonts w:ascii="Arial" w:cs="Arial" w:eastAsia="Arial" w:hAnsi="Arial"/>
          <w:sz w:val="18"/>
          <w:szCs w:val="18"/>
          <w:color w:val="auto"/>
        </w:rPr>
        <w:t>Fair value of vested stock options granted to employees, management and consultants, classified as equity in these consolidated pro forma financial statements, see note 1</w:t>
      </w:r>
    </w:p>
    <w:p>
      <w:pPr>
        <w:spacing w:after="0" w:line="1" w:lineRule="exact"/>
        <w:rPr>
          <w:sz w:val="20"/>
          <w:szCs w:val="20"/>
          <w:color w:val="auto"/>
        </w:rPr>
      </w:pPr>
    </w:p>
    <w:p>
      <w:pPr>
        <w:ind w:left="180" w:right="80" w:hanging="179"/>
        <w:spacing w:after="0" w:line="250" w:lineRule="auto"/>
        <w:rPr>
          <w:sz w:val="20"/>
          <w:szCs w:val="20"/>
          <w:color w:val="auto"/>
        </w:rPr>
      </w:pPr>
      <w:r>
        <w:rPr>
          <w:rFonts w:ascii="Arial" w:cs="Arial" w:eastAsia="Arial" w:hAnsi="Arial"/>
          <w:sz w:val="18"/>
          <w:szCs w:val="18"/>
          <w:color w:val="auto"/>
        </w:rPr>
        <w:t>Fair value of outstanding warrants granted by Vringo prior to the Merger, classified as equity, in these consolidated pro forma financial statements, see note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246620" cy="2743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ind w:left="180" w:hanging="179"/>
        <w:spacing w:after="0" w:line="250" w:lineRule="auto"/>
        <w:rPr>
          <w:sz w:val="20"/>
          <w:szCs w:val="20"/>
          <w:color w:val="auto"/>
        </w:rPr>
      </w:pPr>
      <w:r>
        <w:rPr>
          <w:rFonts w:ascii="Arial" w:cs="Arial" w:eastAsia="Arial" w:hAnsi="Arial"/>
          <w:sz w:val="18"/>
          <w:szCs w:val="18"/>
          <w:color w:val="auto"/>
        </w:rPr>
        <w:t>Fair value of Vringo common stock shares and $0.01 options granted to employees, management and consultants, classified as equity in these consolidated pro forma financial statements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estimated purchase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 — in</w:t>
      </w:r>
    </w:p>
    <w:p>
      <w:pPr>
        <w:spacing w:after="0" w:line="27" w:lineRule="exact"/>
        <w:rPr>
          <w:sz w:val="20"/>
          <w:szCs w:val="20"/>
          <w:color w:val="auto"/>
        </w:rPr>
      </w:pPr>
    </w:p>
    <w:p>
      <w:pPr>
        <w:jc w:val="center"/>
        <w:ind w:right="320"/>
        <w:spacing w:after="0"/>
        <w:rPr>
          <w:sz w:val="20"/>
          <w:szCs w:val="20"/>
          <w:color w:val="auto"/>
        </w:rPr>
      </w:pPr>
      <w:r>
        <w:rPr>
          <w:rFonts w:ascii="Arial" w:cs="Arial" w:eastAsia="Arial" w:hAnsi="Arial"/>
          <w:sz w:val="15"/>
          <w:szCs w:val="15"/>
          <w:b w:val="1"/>
          <w:bCs w:val="1"/>
          <w:color w:val="auto"/>
        </w:rPr>
        <w:t>thousands)</w:t>
      </w:r>
    </w:p>
    <w:p>
      <w:pPr>
        <w:spacing w:after="0" w:line="44"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2,716</w:t>
      </w:r>
    </w:p>
    <w:p>
      <w:pPr>
        <w:spacing w:after="0" w:line="2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8</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133</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10,906</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56,335</w:t>
      </w:r>
    </w:p>
    <w:p>
      <w:pPr>
        <w:spacing w:after="0" w:line="23" w:lineRule="exact"/>
        <w:rPr>
          <w:sz w:val="20"/>
          <w:szCs w:val="20"/>
          <w:color w:val="auto"/>
        </w:rPr>
      </w:pPr>
    </w:p>
    <w:p>
      <w:pPr>
        <w:jc w:val="right"/>
        <w:ind w:right="100"/>
        <w:spacing w:after="0"/>
        <w:rPr>
          <w:sz w:val="20"/>
          <w:szCs w:val="20"/>
          <w:color w:val="auto"/>
        </w:rPr>
      </w:pPr>
      <w:r>
        <w:rPr>
          <w:rFonts w:ascii="Arial" w:cs="Arial" w:eastAsia="Arial" w:hAnsi="Arial"/>
          <w:sz w:val="18"/>
          <w:szCs w:val="18"/>
          <w:b w:val="1"/>
          <w:bCs w:val="1"/>
          <w:color w:val="auto"/>
        </w:rPr>
        <w:t>70,098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-130810</wp:posOffset>
            </wp:positionV>
            <wp:extent cx="79756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218"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4,106</w:t>
      </w:r>
    </w:p>
    <w:p>
      <w:pPr>
        <w:spacing w:after="0" w:line="23" w:lineRule="exact"/>
        <w:rPr>
          <w:sz w:val="20"/>
          <w:szCs w:val="20"/>
          <w:color w:val="auto"/>
        </w:rPr>
      </w:pPr>
    </w:p>
    <w:p>
      <w:pPr>
        <w:jc w:val="right"/>
        <w:ind w:right="100"/>
        <w:spacing w:after="0"/>
        <w:rPr>
          <w:sz w:val="20"/>
          <w:szCs w:val="20"/>
          <w:color w:val="auto"/>
        </w:rPr>
      </w:pPr>
      <w:r>
        <w:rPr>
          <w:rFonts w:ascii="Arial" w:cs="Arial" w:eastAsia="Arial" w:hAnsi="Arial"/>
          <w:sz w:val="18"/>
          <w:szCs w:val="18"/>
          <w:b w:val="1"/>
          <w:bCs w:val="1"/>
          <w:color w:val="auto"/>
        </w:rPr>
        <w:t>4,106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-130810</wp:posOffset>
            </wp:positionV>
            <wp:extent cx="79756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3" w:lineRule="exact"/>
        <w:rPr>
          <w:sz w:val="20"/>
          <w:szCs w:val="20"/>
          <w:color w:val="auto"/>
        </w:rPr>
      </w:pPr>
    </w:p>
    <w:p>
      <w:pPr>
        <w:jc w:val="right"/>
        <w:ind w:right="100"/>
        <w:spacing w:after="0"/>
        <w:rPr>
          <w:sz w:val="20"/>
          <w:szCs w:val="20"/>
          <w:color w:val="auto"/>
        </w:rPr>
      </w:pPr>
      <w:r>
        <w:rPr>
          <w:rFonts w:ascii="Arial" w:cs="Arial" w:eastAsia="Arial" w:hAnsi="Arial"/>
          <w:sz w:val="18"/>
          <w:szCs w:val="18"/>
          <w:b w:val="1"/>
          <w:bCs w:val="1"/>
          <w:color w:val="auto"/>
        </w:rPr>
        <w:t>65,992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14605</wp:posOffset>
            </wp:positionV>
            <wp:extent cx="79756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204"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6,734</w:t>
      </w:r>
    </w:p>
    <w:p>
      <w:pPr>
        <w:spacing w:after="0" w:line="225"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10,132</w:t>
      </w:r>
    </w:p>
    <w:p>
      <w:pPr>
        <w:spacing w:after="0" w:line="23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49,126</w:t>
      </w:r>
    </w:p>
    <w:p>
      <w:pPr>
        <w:spacing w:after="0" w:line="23" w:lineRule="exact"/>
        <w:rPr>
          <w:sz w:val="20"/>
          <w:szCs w:val="20"/>
          <w:color w:val="auto"/>
        </w:rPr>
      </w:pPr>
    </w:p>
    <w:p>
      <w:pPr>
        <w:jc w:val="right"/>
        <w:ind w:right="100"/>
        <w:spacing w:after="0"/>
        <w:rPr>
          <w:sz w:val="20"/>
          <w:szCs w:val="20"/>
          <w:color w:val="auto"/>
        </w:rPr>
      </w:pPr>
      <w:r>
        <w:rPr>
          <w:rFonts w:ascii="Arial" w:cs="Arial" w:eastAsia="Arial" w:hAnsi="Arial"/>
          <w:sz w:val="18"/>
          <w:szCs w:val="18"/>
          <w:b w:val="1"/>
          <w:bCs w:val="1"/>
          <w:color w:val="auto"/>
        </w:rPr>
        <w:t>65,992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14605</wp:posOffset>
            </wp:positionV>
            <wp:extent cx="79756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800" w:space="460"/>
            <w:col w:w="1160"/>
          </w:cols>
          <w:pgMar w:left="240" w:top="908" w:right="239" w:bottom="1440" w:gutter="0" w:footer="0" w:header="0"/>
          <w:type w:val="continuous"/>
        </w:sect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type w:val="continuous"/>
        </w:sectPr>
      </w:pPr>
    </w:p>
    <w:bookmarkStart w:id="7" w:name="page8"/>
    <w:bookmarkEnd w:id="7"/>
    <w:p>
      <w:pPr>
        <w:jc w:val="both"/>
        <w:ind w:firstLine="648"/>
        <w:spacing w:after="0" w:line="259" w:lineRule="auto"/>
        <w:rPr>
          <w:sz w:val="20"/>
          <w:szCs w:val="20"/>
          <w:color w:val="auto"/>
        </w:rPr>
      </w:pPr>
      <w:r>
        <w:rPr>
          <w:rFonts w:ascii="Arial" w:cs="Arial" w:eastAsia="Arial" w:hAnsi="Arial"/>
          <w:sz w:val="18"/>
          <w:szCs w:val="18"/>
          <w:color w:val="auto"/>
        </w:rPr>
        <w:t>As mentioned above, the final fair value of the consideration, as well as certain acquired assets and assumed liabilities, will depend significantly on our future share price, as it is set on Merger consummation date. Consequently, the final fair value of consideration, and as a result, the final purchase price allocation, might significantly differ from the values presented in these consolidated pro forma statements. Possible changes due to fluctuations in our share price are reflected in the following sensitivity table:</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60" w:type="dxa"/>
            <w:vAlign w:val="bottom"/>
            <w:tcBorders>
              <w:bottom w:val="single" w:sz="8" w:color="CCFFCC"/>
            </w:tcBorders>
          </w:tcPr>
          <w:p>
            <w:pPr>
              <w:spacing w:after="0"/>
              <w:rPr>
                <w:sz w:val="20"/>
                <w:szCs w:val="20"/>
                <w:color w:val="auto"/>
              </w:rPr>
            </w:pPr>
          </w:p>
        </w:tc>
        <w:tc>
          <w:tcPr>
            <w:tcW w:w="200" w:type="dxa"/>
            <w:vAlign w:val="bottom"/>
            <w:tcBorders>
              <w:bottom w:val="single" w:sz="8" w:color="CCFFCC"/>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8"/>
                <w:szCs w:val="18"/>
                <w:b w:val="1"/>
                <w:bCs w:val="1"/>
                <w:color w:val="auto"/>
                <w:w w:val="95"/>
              </w:rPr>
              <w:t>($ — in thousands)</w:t>
            </w:r>
          </w:p>
        </w:tc>
        <w:tc>
          <w:tcPr>
            <w:tcW w:w="1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Borders>
              <w:bottom w:val="single" w:sz="8" w:color="CCFFCC"/>
            </w:tcBorders>
          </w:tcPr>
          <w:p>
            <w:pPr>
              <w:spacing w:after="0"/>
              <w:rPr>
                <w:sz w:val="20"/>
                <w:szCs w:val="20"/>
                <w:color w:val="auto"/>
              </w:rPr>
            </w:pPr>
          </w:p>
        </w:tc>
      </w:tr>
      <w:tr>
        <w:trPr>
          <w:trHeight w:val="223"/>
        </w:trPr>
        <w:tc>
          <w:tcPr>
            <w:tcW w:w="66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Vringo share price:</w:t>
            </w:r>
          </w:p>
        </w:tc>
        <w:tc>
          <w:tcPr>
            <w:tcW w:w="200" w:type="dxa"/>
            <w:vAlign w:val="bottom"/>
            <w:shd w:val="clear" w:color="auto" w:fill="CCFFCC"/>
          </w:tcPr>
          <w:p>
            <w:pPr>
              <w:spacing w:after="0"/>
              <w:rPr>
                <w:sz w:val="19"/>
                <w:szCs w:val="19"/>
                <w:color w:val="auto"/>
              </w:rPr>
            </w:pPr>
          </w:p>
        </w:tc>
        <w:tc>
          <w:tcPr>
            <w:tcW w:w="440" w:type="dxa"/>
            <w:vAlign w:val="bottom"/>
            <w:shd w:val="clear" w:color="auto" w:fill="CCFFCC"/>
          </w:tcPr>
          <w:p>
            <w:pPr>
              <w:jc w:val="right"/>
              <w:ind w:right="250"/>
              <w:spacing w:after="0"/>
              <w:rPr>
                <w:sz w:val="20"/>
                <w:szCs w:val="20"/>
                <w:color w:val="auto"/>
              </w:rPr>
            </w:pPr>
            <w:r>
              <w:rPr>
                <w:rFonts w:ascii="Arial" w:cs="Arial" w:eastAsia="Arial" w:hAnsi="Arial"/>
                <w:sz w:val="18"/>
                <w:szCs w:val="18"/>
                <w:b w:val="1"/>
                <w:bCs w:val="1"/>
                <w:color w:val="auto"/>
                <w:w w:val="79"/>
              </w:rPr>
              <w:t>$</w:t>
            </w:r>
          </w:p>
        </w:tc>
        <w:tc>
          <w:tcPr>
            <w:tcW w:w="9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2.0</w:t>
            </w:r>
          </w:p>
        </w:tc>
        <w:tc>
          <w:tcPr>
            <w:tcW w:w="660" w:type="dxa"/>
            <w:vAlign w:val="bottom"/>
            <w:gridSpan w:val="2"/>
            <w:shd w:val="clear" w:color="auto" w:fill="CCFFCC"/>
          </w:tcPr>
          <w:p>
            <w:pPr>
              <w:jc w:val="right"/>
              <w:ind w:right="34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4.0</w:t>
            </w:r>
          </w:p>
        </w:tc>
        <w:tc>
          <w:tcPr>
            <w:tcW w:w="50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5.0</w:t>
            </w:r>
          </w:p>
        </w:tc>
        <w:tc>
          <w:tcPr>
            <w:tcW w:w="100" w:type="dxa"/>
            <w:vAlign w:val="bottom"/>
            <w:shd w:val="clear" w:color="auto" w:fill="CCFFCC"/>
          </w:tcPr>
          <w:p>
            <w:pPr>
              <w:spacing w:after="0"/>
              <w:rPr>
                <w:sz w:val="19"/>
                <w:szCs w:val="19"/>
                <w:color w:val="auto"/>
              </w:rPr>
            </w:pPr>
          </w:p>
        </w:tc>
      </w:tr>
      <w:tr>
        <w:trPr>
          <w:trHeight w:val="210"/>
        </w:trPr>
        <w:tc>
          <w:tcPr>
            <w:tcW w:w="6660" w:type="dxa"/>
            <w:vAlign w:val="bottom"/>
          </w:tcPr>
          <w:p>
            <w:pPr>
              <w:spacing w:after="0"/>
              <w:rPr>
                <w:sz w:val="20"/>
                <w:szCs w:val="20"/>
                <w:color w:val="auto"/>
              </w:rPr>
            </w:pPr>
            <w:r>
              <w:rPr>
                <w:rFonts w:ascii="Arial" w:cs="Arial" w:eastAsia="Arial" w:hAnsi="Arial"/>
                <w:sz w:val="18"/>
                <w:szCs w:val="18"/>
                <w:color w:val="auto"/>
              </w:rPr>
              <w:t>Current assets, net of current liabilities</w:t>
            </w:r>
          </w:p>
        </w:tc>
        <w:tc>
          <w:tcPr>
            <w:tcW w:w="2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2,716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2,716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2,716</w:t>
            </w:r>
          </w:p>
        </w:tc>
        <w:tc>
          <w:tcPr>
            <w:tcW w:w="100" w:type="dxa"/>
            <w:vAlign w:val="bottom"/>
          </w:tcPr>
          <w:p>
            <w:pPr>
              <w:spacing w:after="0"/>
              <w:rPr>
                <w:sz w:val="18"/>
                <w:szCs w:val="18"/>
                <w:color w:val="auto"/>
              </w:rPr>
            </w:pPr>
          </w:p>
        </w:tc>
      </w:tr>
      <w:tr>
        <w:trPr>
          <w:trHeight w:val="216"/>
        </w:trPr>
        <w:tc>
          <w:tcPr>
            <w:tcW w:w="6660" w:type="dxa"/>
            <w:vAlign w:val="bottom"/>
            <w:shd w:val="clear" w:color="auto" w:fill="CCFFCC"/>
          </w:tcPr>
          <w:p>
            <w:pPr>
              <w:spacing w:after="0"/>
              <w:rPr>
                <w:sz w:val="20"/>
                <w:szCs w:val="20"/>
                <w:color w:val="auto"/>
              </w:rPr>
            </w:pPr>
            <w:r>
              <w:rPr>
                <w:rFonts w:ascii="Arial" w:cs="Arial" w:eastAsia="Arial" w:hAnsi="Arial"/>
                <w:sz w:val="18"/>
                <w:szCs w:val="18"/>
                <w:color w:val="auto"/>
              </w:rPr>
              <w:t>Long-term deposit</w:t>
            </w:r>
          </w:p>
        </w:tc>
        <w:tc>
          <w:tcPr>
            <w:tcW w:w="20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8</w:t>
            </w:r>
          </w:p>
        </w:tc>
        <w:tc>
          <w:tcPr>
            <w:tcW w:w="22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w:t>
            </w: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Property and equipment</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133</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133</w:t>
            </w:r>
          </w:p>
        </w:tc>
      </w:tr>
      <w:tr>
        <w:trPr>
          <w:trHeight w:val="216"/>
        </w:trPr>
        <w:tc>
          <w:tcPr>
            <w:tcW w:w="6660" w:type="dxa"/>
            <w:vAlign w:val="bottom"/>
            <w:shd w:val="clear" w:color="auto" w:fill="CCFFCC"/>
          </w:tcPr>
          <w:p>
            <w:pPr>
              <w:spacing w:after="0"/>
              <w:rPr>
                <w:sz w:val="20"/>
                <w:szCs w:val="20"/>
                <w:color w:val="auto"/>
              </w:rPr>
            </w:pPr>
            <w:r>
              <w:rPr>
                <w:rFonts w:ascii="Arial" w:cs="Arial" w:eastAsia="Arial" w:hAnsi="Arial"/>
                <w:sz w:val="18"/>
                <w:szCs w:val="18"/>
                <w:color w:val="auto"/>
              </w:rPr>
              <w:t>Technology</w:t>
            </w:r>
          </w:p>
        </w:tc>
        <w:tc>
          <w:tcPr>
            <w:tcW w:w="20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10,906</w:t>
            </w:r>
          </w:p>
        </w:tc>
        <w:tc>
          <w:tcPr>
            <w:tcW w:w="22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10,906</w:t>
            </w:r>
          </w:p>
        </w:tc>
        <w:tc>
          <w:tcPr>
            <w:tcW w:w="12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10,906</w:t>
            </w:r>
          </w:p>
        </w:tc>
      </w:tr>
      <w:tr>
        <w:trPr>
          <w:trHeight w:val="230"/>
        </w:trPr>
        <w:tc>
          <w:tcPr>
            <w:tcW w:w="6660" w:type="dxa"/>
            <w:vAlign w:val="bottom"/>
          </w:tcPr>
          <w:p>
            <w:pPr>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25,183</w:t>
            </w: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69,804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92,892</w:t>
            </w:r>
          </w:p>
        </w:tc>
      </w:tr>
      <w:tr>
        <w:trPr>
          <w:trHeight w:val="210"/>
        </w:trPr>
        <w:tc>
          <w:tcPr>
            <w:tcW w:w="666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Total assets acquired:</w:t>
            </w:r>
          </w:p>
        </w:tc>
        <w:tc>
          <w:tcPr>
            <w:tcW w:w="200" w:type="dxa"/>
            <w:vAlign w:val="bottom"/>
            <w:tcBorders>
              <w:top w:val="single" w:sz="8" w:color="CCFFCC"/>
            </w:tcBorders>
            <w:shd w:val="clear" w:color="auto" w:fill="CCFFCC"/>
          </w:tcPr>
          <w:p>
            <w:pPr>
              <w:spacing w:after="0"/>
              <w:rPr>
                <w:sz w:val="18"/>
                <w:szCs w:val="18"/>
                <w:color w:val="auto"/>
              </w:rPr>
            </w:pPr>
          </w:p>
        </w:tc>
        <w:tc>
          <w:tcPr>
            <w:tcW w:w="440" w:type="dxa"/>
            <w:vAlign w:val="bottom"/>
            <w:tcBorders>
              <w:top w:val="single" w:sz="8" w:color="auto"/>
              <w:bottom w:val="single" w:sz="8" w:color="auto"/>
            </w:tcBorders>
            <w:shd w:val="clear" w:color="auto" w:fill="CCFFCC"/>
          </w:tcPr>
          <w:p>
            <w:pPr>
              <w:spacing w:after="0"/>
              <w:rPr>
                <w:sz w:val="18"/>
                <w:szCs w:val="18"/>
                <w:color w:val="auto"/>
              </w:rPr>
            </w:pPr>
          </w:p>
        </w:tc>
        <w:tc>
          <w:tcPr>
            <w:tcW w:w="8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38,946</w:t>
            </w:r>
          </w:p>
        </w:tc>
        <w:tc>
          <w:tcPr>
            <w:tcW w:w="120" w:type="dxa"/>
            <w:vAlign w:val="bottom"/>
            <w:tcBorders>
              <w:top w:val="single" w:sz="8" w:color="CCFFCC"/>
            </w:tcBorders>
            <w:shd w:val="clear" w:color="auto" w:fill="CCFFCC"/>
          </w:tcPr>
          <w:p>
            <w:pPr>
              <w:spacing w:after="0"/>
              <w:rPr>
                <w:sz w:val="18"/>
                <w:szCs w:val="18"/>
                <w:color w:val="auto"/>
              </w:rPr>
            </w:pPr>
          </w:p>
        </w:tc>
        <w:tc>
          <w:tcPr>
            <w:tcW w:w="220" w:type="dxa"/>
            <w:vAlign w:val="bottom"/>
            <w:tcBorders>
              <w:top w:val="single" w:sz="8" w:color="CCFFCC"/>
            </w:tcBorders>
            <w:shd w:val="clear" w:color="auto" w:fill="CCFFCC"/>
          </w:tcPr>
          <w:p>
            <w:pPr>
              <w:spacing w:after="0"/>
              <w:rPr>
                <w:sz w:val="18"/>
                <w:szCs w:val="18"/>
                <w:color w:val="auto"/>
              </w:rPr>
            </w:pPr>
          </w:p>
        </w:tc>
        <w:tc>
          <w:tcPr>
            <w:tcW w:w="440" w:type="dxa"/>
            <w:vAlign w:val="bottom"/>
            <w:tcBorders>
              <w:top w:val="single" w:sz="8" w:color="auto"/>
              <w:bottom w:val="single" w:sz="8" w:color="auto"/>
            </w:tcBorders>
            <w:shd w:val="clear" w:color="auto" w:fill="CCFFCC"/>
          </w:tcPr>
          <w:p>
            <w:pPr>
              <w:spacing w:after="0"/>
              <w:rPr>
                <w:sz w:val="18"/>
                <w:szCs w:val="18"/>
                <w:color w:val="auto"/>
              </w:rPr>
            </w:pPr>
          </w:p>
        </w:tc>
        <w:tc>
          <w:tcPr>
            <w:tcW w:w="8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83,567</w:t>
            </w:r>
          </w:p>
        </w:tc>
        <w:tc>
          <w:tcPr>
            <w:tcW w:w="20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380" w:type="dxa"/>
            <w:vAlign w:val="bottom"/>
            <w:tcBorders>
              <w:top w:val="single" w:sz="8" w:color="auto"/>
              <w:bottom w:val="single" w:sz="8" w:color="auto"/>
            </w:tcBorders>
            <w:shd w:val="clear" w:color="auto" w:fill="CCFFCC"/>
          </w:tcPr>
          <w:p>
            <w:pPr>
              <w:spacing w:after="0"/>
              <w:rPr>
                <w:sz w:val="18"/>
                <w:szCs w:val="18"/>
                <w:color w:val="auto"/>
              </w:rPr>
            </w:pPr>
          </w:p>
        </w:tc>
        <w:tc>
          <w:tcPr>
            <w:tcW w:w="8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106,655</w:t>
            </w:r>
          </w:p>
        </w:tc>
        <w:tc>
          <w:tcPr>
            <w:tcW w:w="100" w:type="dxa"/>
            <w:vAlign w:val="bottom"/>
            <w:tcBorders>
              <w:top w:val="single" w:sz="8" w:color="CCFFCC"/>
            </w:tcBorders>
            <w:shd w:val="clear" w:color="auto" w:fill="CCFFCC"/>
          </w:tcPr>
          <w:p>
            <w:pPr>
              <w:spacing w:after="0"/>
              <w:rPr>
                <w:sz w:val="18"/>
                <w:szCs w:val="18"/>
                <w:color w:val="auto"/>
              </w:rPr>
            </w:pPr>
          </w:p>
        </w:tc>
      </w:tr>
      <w:tr>
        <w:trPr>
          <w:trHeight w:val="182"/>
        </w:trPr>
        <w:tc>
          <w:tcPr>
            <w:tcW w:w="6660" w:type="dxa"/>
            <w:vAlign w:val="bottom"/>
          </w:tcPr>
          <w:p>
            <w:pPr>
              <w:spacing w:after="0" w:line="182" w:lineRule="exact"/>
              <w:rPr>
                <w:sz w:val="20"/>
                <w:szCs w:val="20"/>
                <w:color w:val="auto"/>
              </w:rPr>
            </w:pPr>
            <w:r>
              <w:rPr>
                <w:rFonts w:ascii="Arial" w:cs="Arial" w:eastAsia="Arial" w:hAnsi="Arial"/>
                <w:sz w:val="18"/>
                <w:szCs w:val="18"/>
                <w:color w:val="auto"/>
                <w:w w:val="95"/>
              </w:rPr>
              <w:t>Fair value of outstanding warrants granted by Vringo prior to the Merger, classified as a</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44"/>
        </w:trPr>
        <w:tc>
          <w:tcPr>
            <w:tcW w:w="6660" w:type="dxa"/>
            <w:vAlign w:val="bottom"/>
          </w:tcPr>
          <w:p>
            <w:pPr>
              <w:ind w:left="180"/>
              <w:spacing w:after="0"/>
              <w:rPr>
                <w:sz w:val="20"/>
                <w:szCs w:val="20"/>
                <w:color w:val="auto"/>
              </w:rPr>
            </w:pPr>
            <w:r>
              <w:rPr>
                <w:rFonts w:ascii="Arial" w:cs="Arial" w:eastAsia="Arial" w:hAnsi="Arial"/>
                <w:sz w:val="18"/>
                <w:szCs w:val="18"/>
                <w:color w:val="auto"/>
              </w:rPr>
              <w:t>long-term derivative liability</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1,936</w:t>
            </w: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5,183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6,990</w:t>
            </w:r>
          </w:p>
        </w:tc>
      </w:tr>
      <w:tr>
        <w:trPr>
          <w:trHeight w:val="210"/>
        </w:trPr>
        <w:tc>
          <w:tcPr>
            <w:tcW w:w="666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Total liabilities assumed:</w:t>
            </w:r>
          </w:p>
        </w:tc>
        <w:tc>
          <w:tcPr>
            <w:tcW w:w="200" w:type="dxa"/>
            <w:vAlign w:val="bottom"/>
            <w:tcBorders>
              <w:top w:val="single" w:sz="8" w:color="CCFFCC"/>
            </w:tcBorders>
            <w:shd w:val="clear" w:color="auto" w:fill="CCFFCC"/>
          </w:tcPr>
          <w:p>
            <w:pPr>
              <w:spacing w:after="0"/>
              <w:rPr>
                <w:sz w:val="18"/>
                <w:szCs w:val="18"/>
                <w:color w:val="auto"/>
              </w:rPr>
            </w:pPr>
          </w:p>
        </w:tc>
        <w:tc>
          <w:tcPr>
            <w:tcW w:w="440" w:type="dxa"/>
            <w:vAlign w:val="bottom"/>
            <w:tcBorders>
              <w:top w:val="single" w:sz="8" w:color="auto"/>
              <w:bottom w:val="single" w:sz="8" w:color="auto"/>
            </w:tcBorders>
            <w:shd w:val="clear" w:color="auto" w:fill="CCFFCC"/>
          </w:tcPr>
          <w:p>
            <w:pPr>
              <w:spacing w:after="0"/>
              <w:rPr>
                <w:sz w:val="18"/>
                <w:szCs w:val="18"/>
                <w:color w:val="auto"/>
              </w:rPr>
            </w:pPr>
          </w:p>
        </w:tc>
        <w:tc>
          <w:tcPr>
            <w:tcW w:w="8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1,936</w:t>
            </w:r>
          </w:p>
        </w:tc>
        <w:tc>
          <w:tcPr>
            <w:tcW w:w="120" w:type="dxa"/>
            <w:vAlign w:val="bottom"/>
            <w:tcBorders>
              <w:top w:val="single" w:sz="8" w:color="CCFFCC"/>
            </w:tcBorders>
            <w:shd w:val="clear" w:color="auto" w:fill="CCFFCC"/>
          </w:tcPr>
          <w:p>
            <w:pPr>
              <w:spacing w:after="0"/>
              <w:rPr>
                <w:sz w:val="18"/>
                <w:szCs w:val="18"/>
                <w:color w:val="auto"/>
              </w:rPr>
            </w:pPr>
          </w:p>
        </w:tc>
        <w:tc>
          <w:tcPr>
            <w:tcW w:w="220" w:type="dxa"/>
            <w:vAlign w:val="bottom"/>
            <w:tcBorders>
              <w:top w:val="single" w:sz="8" w:color="CCFFCC"/>
            </w:tcBorders>
            <w:shd w:val="clear" w:color="auto" w:fill="CCFFCC"/>
          </w:tcPr>
          <w:p>
            <w:pPr>
              <w:spacing w:after="0"/>
              <w:rPr>
                <w:sz w:val="18"/>
                <w:szCs w:val="18"/>
                <w:color w:val="auto"/>
              </w:rPr>
            </w:pPr>
          </w:p>
        </w:tc>
        <w:tc>
          <w:tcPr>
            <w:tcW w:w="440" w:type="dxa"/>
            <w:vAlign w:val="bottom"/>
            <w:tcBorders>
              <w:top w:val="single" w:sz="8" w:color="auto"/>
              <w:bottom w:val="single" w:sz="8" w:color="auto"/>
            </w:tcBorders>
            <w:shd w:val="clear" w:color="auto" w:fill="CCFFCC"/>
          </w:tcPr>
          <w:p>
            <w:pPr>
              <w:spacing w:after="0"/>
              <w:rPr>
                <w:sz w:val="18"/>
                <w:szCs w:val="18"/>
                <w:color w:val="auto"/>
              </w:rPr>
            </w:pPr>
          </w:p>
        </w:tc>
        <w:tc>
          <w:tcPr>
            <w:tcW w:w="8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5,183</w:t>
            </w:r>
          </w:p>
        </w:tc>
        <w:tc>
          <w:tcPr>
            <w:tcW w:w="20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380" w:type="dxa"/>
            <w:vAlign w:val="bottom"/>
            <w:tcBorders>
              <w:top w:val="single" w:sz="8" w:color="auto"/>
              <w:bottom w:val="single" w:sz="8" w:color="auto"/>
            </w:tcBorders>
            <w:shd w:val="clear" w:color="auto" w:fill="CCFFCC"/>
          </w:tcPr>
          <w:p>
            <w:pPr>
              <w:spacing w:after="0"/>
              <w:rPr>
                <w:sz w:val="18"/>
                <w:szCs w:val="18"/>
                <w:color w:val="auto"/>
              </w:rPr>
            </w:pPr>
          </w:p>
        </w:tc>
        <w:tc>
          <w:tcPr>
            <w:tcW w:w="8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6,990</w:t>
            </w:r>
          </w:p>
        </w:tc>
        <w:tc>
          <w:tcPr>
            <w:tcW w:w="100" w:type="dxa"/>
            <w:vAlign w:val="bottom"/>
            <w:tcBorders>
              <w:top w:val="single" w:sz="8" w:color="CCFFCC"/>
            </w:tcBorders>
            <w:shd w:val="clear" w:color="auto" w:fill="CCFFCC"/>
          </w:tcPr>
          <w:p>
            <w:pPr>
              <w:spacing w:after="0"/>
              <w:rPr>
                <w:sz w:val="18"/>
                <w:szCs w:val="18"/>
                <w:color w:val="auto"/>
              </w:rPr>
            </w:pPr>
          </w:p>
        </w:tc>
      </w:tr>
      <w:tr>
        <w:trPr>
          <w:trHeight w:val="210"/>
        </w:trPr>
        <w:tc>
          <w:tcPr>
            <w:tcW w:w="6660" w:type="dxa"/>
            <w:vAlign w:val="bottom"/>
            <w:tcBorders>
              <w:bottom w:val="single" w:sz="8" w:color="CCFFCC"/>
            </w:tcBorders>
          </w:tcPr>
          <w:p>
            <w:pPr>
              <w:spacing w:after="0"/>
              <w:rPr>
                <w:sz w:val="20"/>
                <w:szCs w:val="20"/>
                <w:color w:val="auto"/>
              </w:rPr>
            </w:pPr>
            <w:r>
              <w:rPr>
                <w:rFonts w:ascii="Arial" w:cs="Arial" w:eastAsia="Arial" w:hAnsi="Arial"/>
                <w:sz w:val="18"/>
                <w:szCs w:val="18"/>
                <w:b w:val="1"/>
                <w:bCs w:val="1"/>
                <w:color w:val="auto"/>
              </w:rPr>
              <w:t>Total estimated purchase price:</w:t>
            </w:r>
          </w:p>
        </w:tc>
        <w:tc>
          <w:tcPr>
            <w:tcW w:w="200" w:type="dxa"/>
            <w:vAlign w:val="bottom"/>
            <w:tcBorders>
              <w:bottom w:val="single" w:sz="8" w:color="CCFFCC"/>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37,010</w:t>
            </w:r>
          </w:p>
        </w:tc>
        <w:tc>
          <w:tcPr>
            <w:tcW w:w="120" w:type="dxa"/>
            <w:vAlign w:val="bottom"/>
            <w:tcBorders>
              <w:bottom w:val="single" w:sz="8" w:color="CCFFCC"/>
            </w:tcBorders>
          </w:tcPr>
          <w:p>
            <w:pPr>
              <w:spacing w:after="0"/>
              <w:rPr>
                <w:sz w:val="18"/>
                <w:szCs w:val="18"/>
                <w:color w:val="auto"/>
              </w:rPr>
            </w:pPr>
          </w:p>
        </w:tc>
        <w:tc>
          <w:tcPr>
            <w:tcW w:w="220" w:type="dxa"/>
            <w:vAlign w:val="bottom"/>
            <w:tcBorders>
              <w:bottom w:val="single" w:sz="8" w:color="CCFFCC"/>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78,384</w:t>
            </w:r>
          </w:p>
        </w:tc>
        <w:tc>
          <w:tcPr>
            <w:tcW w:w="200" w:type="dxa"/>
            <w:vAlign w:val="bottom"/>
            <w:tcBorders>
              <w:bottom w:val="single" w:sz="8" w:color="CCFFCC"/>
            </w:tcBorders>
          </w:tcPr>
          <w:p>
            <w:pPr>
              <w:spacing w:after="0"/>
              <w:rPr>
                <w:sz w:val="18"/>
                <w:szCs w:val="18"/>
                <w:color w:val="auto"/>
              </w:rPr>
            </w:pPr>
          </w:p>
        </w:tc>
        <w:tc>
          <w:tcPr>
            <w:tcW w:w="120" w:type="dxa"/>
            <w:vAlign w:val="bottom"/>
            <w:tcBorders>
              <w:bottom w:val="single" w:sz="8" w:color="CCFFCC"/>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99,665</w:t>
            </w:r>
          </w:p>
        </w:tc>
        <w:tc>
          <w:tcPr>
            <w:tcW w:w="100" w:type="dxa"/>
            <w:vAlign w:val="bottom"/>
            <w:tcBorders>
              <w:bottom w:val="single" w:sz="8" w:color="CCFFCC"/>
            </w:tcBorders>
          </w:tcPr>
          <w:p>
            <w:pPr>
              <w:spacing w:after="0"/>
              <w:rPr>
                <w:sz w:val="18"/>
                <w:szCs w:val="18"/>
                <w:color w:val="auto"/>
              </w:rPr>
            </w:pPr>
          </w:p>
        </w:tc>
      </w:tr>
      <w:tr>
        <w:trPr>
          <w:trHeight w:val="182"/>
        </w:trPr>
        <w:tc>
          <w:tcPr>
            <w:tcW w:w="6660" w:type="dxa"/>
            <w:vAlign w:val="bottom"/>
            <w:shd w:val="clear" w:color="auto" w:fill="CCFFCC"/>
          </w:tcPr>
          <w:p>
            <w:pPr>
              <w:spacing w:after="0" w:line="182" w:lineRule="exact"/>
              <w:rPr>
                <w:sz w:val="20"/>
                <w:szCs w:val="20"/>
                <w:color w:val="auto"/>
              </w:rPr>
            </w:pPr>
            <w:r>
              <w:rPr>
                <w:rFonts w:ascii="Arial" w:cs="Arial" w:eastAsia="Arial" w:hAnsi="Arial"/>
                <w:sz w:val="18"/>
                <w:szCs w:val="18"/>
                <w:color w:val="auto"/>
                <w:w w:val="92"/>
              </w:rPr>
              <w:t>Fair value of stock options granted to employees, management and consultants, classified</w:t>
            </w:r>
          </w:p>
        </w:tc>
        <w:tc>
          <w:tcPr>
            <w:tcW w:w="200" w:type="dxa"/>
            <w:vAlign w:val="bottom"/>
            <w:shd w:val="clear" w:color="auto" w:fill="CCFFCC"/>
          </w:tcPr>
          <w:p>
            <w:pPr>
              <w:spacing w:after="0"/>
              <w:rPr>
                <w:sz w:val="15"/>
                <w:szCs w:val="15"/>
                <w:color w:val="auto"/>
              </w:rPr>
            </w:pPr>
          </w:p>
        </w:tc>
        <w:tc>
          <w:tcPr>
            <w:tcW w:w="440" w:type="dxa"/>
            <w:vAlign w:val="bottom"/>
            <w:shd w:val="clear" w:color="auto" w:fill="CCFFCC"/>
          </w:tcPr>
          <w:p>
            <w:pPr>
              <w:spacing w:after="0"/>
              <w:rPr>
                <w:sz w:val="15"/>
                <w:szCs w:val="15"/>
                <w:color w:val="auto"/>
              </w:rPr>
            </w:pPr>
          </w:p>
        </w:tc>
        <w:tc>
          <w:tcPr>
            <w:tcW w:w="84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220" w:type="dxa"/>
            <w:vAlign w:val="bottom"/>
            <w:shd w:val="clear" w:color="auto" w:fill="CCFFCC"/>
          </w:tcPr>
          <w:p>
            <w:pPr>
              <w:spacing w:after="0"/>
              <w:rPr>
                <w:sz w:val="15"/>
                <w:szCs w:val="15"/>
                <w:color w:val="auto"/>
              </w:rPr>
            </w:pPr>
          </w:p>
        </w:tc>
        <w:tc>
          <w:tcPr>
            <w:tcW w:w="440" w:type="dxa"/>
            <w:vAlign w:val="bottom"/>
            <w:shd w:val="clear" w:color="auto" w:fill="CCFFCC"/>
          </w:tcPr>
          <w:p>
            <w:pPr>
              <w:spacing w:after="0"/>
              <w:rPr>
                <w:sz w:val="15"/>
                <w:szCs w:val="15"/>
                <w:color w:val="auto"/>
              </w:rPr>
            </w:pPr>
          </w:p>
        </w:tc>
        <w:tc>
          <w:tcPr>
            <w:tcW w:w="820" w:type="dxa"/>
            <w:vAlign w:val="bottom"/>
            <w:shd w:val="clear" w:color="auto" w:fill="CCFFCC"/>
          </w:tcPr>
          <w:p>
            <w:pPr>
              <w:spacing w:after="0"/>
              <w:rPr>
                <w:sz w:val="15"/>
                <w:szCs w:val="15"/>
                <w:color w:val="auto"/>
              </w:rPr>
            </w:pPr>
          </w:p>
        </w:tc>
        <w:tc>
          <w:tcPr>
            <w:tcW w:w="20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380" w:type="dxa"/>
            <w:vAlign w:val="bottom"/>
            <w:shd w:val="clear" w:color="auto" w:fill="CCFFCC"/>
          </w:tcPr>
          <w:p>
            <w:pPr>
              <w:spacing w:after="0"/>
              <w:rPr>
                <w:sz w:val="15"/>
                <w:szCs w:val="15"/>
                <w:color w:val="auto"/>
              </w:rPr>
            </w:pPr>
          </w:p>
        </w:tc>
        <w:tc>
          <w:tcPr>
            <w:tcW w:w="88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r>
      <w:tr>
        <w:trPr>
          <w:trHeight w:val="230"/>
        </w:trPr>
        <w:tc>
          <w:tcPr>
            <w:tcW w:w="6660" w:type="dxa"/>
            <w:vAlign w:val="bottom"/>
            <w:shd w:val="clear" w:color="auto" w:fill="CCFFCC"/>
          </w:tcPr>
          <w:p>
            <w:pPr>
              <w:ind w:left="180"/>
              <w:spacing w:after="0"/>
              <w:rPr>
                <w:sz w:val="20"/>
                <w:szCs w:val="20"/>
                <w:color w:val="auto"/>
              </w:rPr>
            </w:pPr>
            <w:r>
              <w:rPr>
                <w:rFonts w:ascii="Arial" w:cs="Arial" w:eastAsia="Arial" w:hAnsi="Arial"/>
                <w:sz w:val="18"/>
                <w:szCs w:val="18"/>
                <w:color w:val="auto"/>
              </w:rPr>
              <w:t>as equity in these consolidated pro forma financial statements</w:t>
            </w:r>
          </w:p>
        </w:tc>
        <w:tc>
          <w:tcPr>
            <w:tcW w:w="200" w:type="dxa"/>
            <w:vAlign w:val="bottom"/>
            <w:shd w:val="clear" w:color="auto" w:fill="CCFFCC"/>
          </w:tcPr>
          <w:p>
            <w:pPr>
              <w:spacing w:after="0"/>
              <w:rPr>
                <w:sz w:val="20"/>
                <w:szCs w:val="20"/>
                <w:color w:val="auto"/>
              </w:rPr>
            </w:pPr>
          </w:p>
        </w:tc>
        <w:tc>
          <w:tcPr>
            <w:tcW w:w="440" w:type="dxa"/>
            <w:vAlign w:val="bottom"/>
            <w:shd w:val="clear" w:color="auto" w:fill="CCFFCC"/>
          </w:tcPr>
          <w:p>
            <w:pPr>
              <w:spacing w:after="0"/>
              <w:rPr>
                <w:sz w:val="20"/>
                <w:szCs w:val="20"/>
                <w:color w:val="auto"/>
              </w:rPr>
            </w:pPr>
          </w:p>
        </w:tc>
        <w:tc>
          <w:tcPr>
            <w:tcW w:w="9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3,051</w:t>
            </w:r>
          </w:p>
        </w:tc>
        <w:tc>
          <w:tcPr>
            <w:tcW w:w="220" w:type="dxa"/>
            <w:vAlign w:val="bottom"/>
            <w:shd w:val="clear" w:color="auto" w:fill="CCFFCC"/>
          </w:tcPr>
          <w:p>
            <w:pPr>
              <w:spacing w:after="0"/>
              <w:rPr>
                <w:sz w:val="20"/>
                <w:szCs w:val="20"/>
                <w:color w:val="auto"/>
              </w:rPr>
            </w:pPr>
          </w:p>
        </w:tc>
        <w:tc>
          <w:tcPr>
            <w:tcW w:w="440" w:type="dxa"/>
            <w:vAlign w:val="bottom"/>
            <w:shd w:val="clear" w:color="auto" w:fill="CCFFCC"/>
          </w:tcPr>
          <w:p>
            <w:pPr>
              <w:spacing w:after="0"/>
              <w:rPr>
                <w:sz w:val="20"/>
                <w:szCs w:val="20"/>
                <w:color w:val="auto"/>
              </w:rPr>
            </w:pPr>
          </w:p>
        </w:tc>
        <w:tc>
          <w:tcPr>
            <w:tcW w:w="10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7,257</w:t>
            </w:r>
          </w:p>
        </w:tc>
        <w:tc>
          <w:tcPr>
            <w:tcW w:w="120" w:type="dxa"/>
            <w:vAlign w:val="bottom"/>
            <w:shd w:val="clear" w:color="auto" w:fill="CCFFCC"/>
          </w:tcPr>
          <w:p>
            <w:pPr>
              <w:spacing w:after="0"/>
              <w:rPr>
                <w:sz w:val="20"/>
                <w:szCs w:val="20"/>
                <w:color w:val="auto"/>
              </w:rPr>
            </w:pPr>
          </w:p>
        </w:tc>
        <w:tc>
          <w:tcPr>
            <w:tcW w:w="380" w:type="dxa"/>
            <w:vAlign w:val="bottom"/>
            <w:shd w:val="clear" w:color="auto" w:fill="CCFFCC"/>
          </w:tcPr>
          <w:p>
            <w:pPr>
              <w:spacing w:after="0"/>
              <w:rPr>
                <w:sz w:val="20"/>
                <w:szCs w:val="20"/>
                <w:color w:val="auto"/>
              </w:rPr>
            </w:pP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9,502</w:t>
            </w:r>
          </w:p>
        </w:tc>
      </w:tr>
      <w:tr>
        <w:trPr>
          <w:trHeight w:val="202"/>
        </w:trPr>
        <w:tc>
          <w:tcPr>
            <w:tcW w:w="6660" w:type="dxa"/>
            <w:vAlign w:val="bottom"/>
          </w:tcPr>
          <w:p>
            <w:pPr>
              <w:spacing w:after="0" w:line="201" w:lineRule="exact"/>
              <w:rPr>
                <w:sz w:val="20"/>
                <w:szCs w:val="20"/>
                <w:color w:val="auto"/>
              </w:rPr>
            </w:pPr>
            <w:r>
              <w:rPr>
                <w:rFonts w:ascii="Arial" w:cs="Arial" w:eastAsia="Arial" w:hAnsi="Arial"/>
                <w:sz w:val="18"/>
                <w:szCs w:val="18"/>
                <w:color w:val="auto"/>
                <w:w w:val="97"/>
              </w:rPr>
              <w:t>Fair value of outstanding warrants granted by Vringo prior to the Merger, classified as</w:t>
            </w: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6660" w:type="dxa"/>
            <w:vAlign w:val="bottom"/>
          </w:tcPr>
          <w:p>
            <w:pPr>
              <w:ind w:left="180"/>
              <w:spacing w:after="0"/>
              <w:rPr>
                <w:sz w:val="20"/>
                <w:szCs w:val="20"/>
                <w:color w:val="auto"/>
              </w:rPr>
            </w:pPr>
            <w:r>
              <w:rPr>
                <w:rFonts w:ascii="Arial" w:cs="Arial" w:eastAsia="Arial" w:hAnsi="Arial"/>
                <w:sz w:val="18"/>
                <w:szCs w:val="18"/>
                <w:color w:val="auto"/>
              </w:rPr>
              <w:t>equity, in these consolidated pro forma financial statements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4,740</w:t>
            </w: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12,689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17,115</w:t>
            </w:r>
          </w:p>
        </w:tc>
      </w:tr>
      <w:tr>
        <w:trPr>
          <w:trHeight w:val="202"/>
        </w:trPr>
        <w:tc>
          <w:tcPr>
            <w:tcW w:w="666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w w:val="99"/>
              </w:rPr>
              <w:t>Fair value of Vringo common stock shares and $0.01 options granted to employees,</w:t>
            </w:r>
          </w:p>
        </w:tc>
        <w:tc>
          <w:tcPr>
            <w:tcW w:w="200" w:type="dxa"/>
            <w:vAlign w:val="bottom"/>
            <w:shd w:val="clear" w:color="auto" w:fill="CCFFCC"/>
          </w:tcPr>
          <w:p>
            <w:pPr>
              <w:spacing w:after="0"/>
              <w:rPr>
                <w:sz w:val="17"/>
                <w:szCs w:val="17"/>
                <w:color w:val="auto"/>
              </w:rPr>
            </w:pPr>
          </w:p>
        </w:tc>
        <w:tc>
          <w:tcPr>
            <w:tcW w:w="440" w:type="dxa"/>
            <w:vAlign w:val="bottom"/>
            <w:shd w:val="clear" w:color="auto" w:fill="CCFFCC"/>
          </w:tcPr>
          <w:p>
            <w:pPr>
              <w:spacing w:after="0"/>
              <w:rPr>
                <w:sz w:val="17"/>
                <w:szCs w:val="17"/>
                <w:color w:val="auto"/>
              </w:rPr>
            </w:pPr>
          </w:p>
        </w:tc>
        <w:tc>
          <w:tcPr>
            <w:tcW w:w="84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440" w:type="dxa"/>
            <w:vAlign w:val="bottom"/>
            <w:shd w:val="clear" w:color="auto" w:fill="CCFFCC"/>
          </w:tcPr>
          <w:p>
            <w:pPr>
              <w:spacing w:after="0"/>
              <w:rPr>
                <w:sz w:val="17"/>
                <w:szCs w:val="17"/>
                <w:color w:val="auto"/>
              </w:rPr>
            </w:pPr>
          </w:p>
        </w:tc>
        <w:tc>
          <w:tcPr>
            <w:tcW w:w="82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380" w:type="dxa"/>
            <w:vAlign w:val="bottom"/>
            <w:shd w:val="clear" w:color="auto" w:fill="CCFFCC"/>
          </w:tcPr>
          <w:p>
            <w:pPr>
              <w:spacing w:after="0"/>
              <w:rPr>
                <w:sz w:val="17"/>
                <w:szCs w:val="17"/>
                <w:color w:val="auto"/>
              </w:rPr>
            </w:pPr>
          </w:p>
        </w:tc>
        <w:tc>
          <w:tcPr>
            <w:tcW w:w="8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r>
      <w:tr>
        <w:trPr>
          <w:trHeight w:val="216"/>
        </w:trPr>
        <w:tc>
          <w:tcPr>
            <w:tcW w:w="6660" w:type="dxa"/>
            <w:vAlign w:val="bottom"/>
            <w:shd w:val="clear" w:color="auto" w:fill="CCFFCC"/>
          </w:tcPr>
          <w:p>
            <w:pPr>
              <w:ind w:left="180"/>
              <w:spacing w:after="0"/>
              <w:rPr>
                <w:sz w:val="20"/>
                <w:szCs w:val="20"/>
                <w:color w:val="auto"/>
              </w:rPr>
            </w:pPr>
            <w:r>
              <w:rPr>
                <w:rFonts w:ascii="Arial" w:cs="Arial" w:eastAsia="Arial" w:hAnsi="Arial"/>
                <w:sz w:val="18"/>
                <w:szCs w:val="18"/>
                <w:color w:val="auto"/>
                <w:w w:val="98"/>
              </w:rPr>
              <w:t>management and consultants, classified as equity in these consolidated pro forma</w:t>
            </w:r>
          </w:p>
        </w:tc>
        <w:tc>
          <w:tcPr>
            <w:tcW w:w="20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44"/>
        </w:trPr>
        <w:tc>
          <w:tcPr>
            <w:tcW w:w="6660" w:type="dxa"/>
            <w:vAlign w:val="bottom"/>
            <w:shd w:val="clear" w:color="auto" w:fill="CCFFCC"/>
          </w:tcPr>
          <w:p>
            <w:pPr>
              <w:ind w:left="180"/>
              <w:spacing w:after="0"/>
              <w:rPr>
                <w:sz w:val="20"/>
                <w:szCs w:val="20"/>
                <w:color w:val="auto"/>
              </w:rPr>
            </w:pPr>
            <w:r>
              <w:rPr>
                <w:rFonts w:ascii="Arial" w:cs="Arial" w:eastAsia="Arial" w:hAnsi="Arial"/>
                <w:sz w:val="18"/>
                <w:szCs w:val="18"/>
                <w:color w:val="auto"/>
              </w:rPr>
              <w:t>financial statements</w:t>
            </w:r>
          </w:p>
        </w:tc>
        <w:tc>
          <w:tcPr>
            <w:tcW w:w="200" w:type="dxa"/>
            <w:vAlign w:val="bottom"/>
            <w:shd w:val="clear" w:color="auto" w:fill="CCFFCC"/>
          </w:tcPr>
          <w:p>
            <w:pPr>
              <w:spacing w:after="0"/>
              <w:rPr>
                <w:sz w:val="21"/>
                <w:szCs w:val="21"/>
                <w:color w:val="auto"/>
              </w:rPr>
            </w:pPr>
          </w:p>
        </w:tc>
        <w:tc>
          <w:tcPr>
            <w:tcW w:w="440" w:type="dxa"/>
            <w:vAlign w:val="bottom"/>
            <w:shd w:val="clear" w:color="auto" w:fill="CCFFCC"/>
          </w:tcPr>
          <w:p>
            <w:pPr>
              <w:spacing w:after="0"/>
              <w:rPr>
                <w:sz w:val="21"/>
                <w:szCs w:val="21"/>
                <w:color w:val="auto"/>
              </w:rPr>
            </w:pPr>
          </w:p>
        </w:tc>
        <w:tc>
          <w:tcPr>
            <w:tcW w:w="9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29,219</w:t>
            </w:r>
          </w:p>
        </w:tc>
        <w:tc>
          <w:tcPr>
            <w:tcW w:w="220" w:type="dxa"/>
            <w:vAlign w:val="bottom"/>
            <w:shd w:val="clear" w:color="auto" w:fill="CCFFCC"/>
          </w:tcPr>
          <w:p>
            <w:pPr>
              <w:spacing w:after="0"/>
              <w:rPr>
                <w:sz w:val="21"/>
                <w:szCs w:val="21"/>
                <w:color w:val="auto"/>
              </w:rPr>
            </w:pPr>
          </w:p>
        </w:tc>
        <w:tc>
          <w:tcPr>
            <w:tcW w:w="440" w:type="dxa"/>
            <w:vAlign w:val="bottom"/>
            <w:shd w:val="clear" w:color="auto" w:fill="CCFFCC"/>
          </w:tcPr>
          <w:p>
            <w:pPr>
              <w:spacing w:after="0"/>
              <w:rPr>
                <w:sz w:val="21"/>
                <w:szCs w:val="21"/>
                <w:color w:val="auto"/>
              </w:rPr>
            </w:pPr>
          </w:p>
        </w:tc>
        <w:tc>
          <w:tcPr>
            <w:tcW w:w="10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58,438</w:t>
            </w:r>
          </w:p>
        </w:tc>
        <w:tc>
          <w:tcPr>
            <w:tcW w:w="120" w:type="dxa"/>
            <w:vAlign w:val="bottom"/>
            <w:shd w:val="clear" w:color="auto" w:fill="CCFFCC"/>
          </w:tcPr>
          <w:p>
            <w:pPr>
              <w:spacing w:after="0"/>
              <w:rPr>
                <w:sz w:val="21"/>
                <w:szCs w:val="21"/>
                <w:color w:val="auto"/>
              </w:rPr>
            </w:pPr>
          </w:p>
        </w:tc>
        <w:tc>
          <w:tcPr>
            <w:tcW w:w="380" w:type="dxa"/>
            <w:vAlign w:val="bottom"/>
            <w:shd w:val="clear" w:color="auto" w:fill="CCFFCC"/>
          </w:tcPr>
          <w:p>
            <w:pPr>
              <w:spacing w:after="0"/>
              <w:rPr>
                <w:sz w:val="21"/>
                <w:szCs w:val="21"/>
                <w:color w:val="auto"/>
              </w:rPr>
            </w:pP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73,048</w:t>
            </w:r>
          </w:p>
        </w:tc>
      </w:tr>
      <w:tr>
        <w:trPr>
          <w:trHeight w:val="210"/>
        </w:trPr>
        <w:tc>
          <w:tcPr>
            <w:tcW w:w="6660" w:type="dxa"/>
            <w:vAlign w:val="bottom"/>
          </w:tcPr>
          <w:p>
            <w:pPr>
              <w:spacing w:after="0"/>
              <w:rPr>
                <w:sz w:val="20"/>
                <w:szCs w:val="20"/>
                <w:color w:val="auto"/>
              </w:rPr>
            </w:pPr>
            <w:r>
              <w:rPr>
                <w:rFonts w:ascii="Arial" w:cs="Arial" w:eastAsia="Arial" w:hAnsi="Arial"/>
                <w:sz w:val="18"/>
                <w:szCs w:val="18"/>
                <w:b w:val="1"/>
                <w:bCs w:val="1"/>
                <w:color w:val="auto"/>
              </w:rPr>
              <w:t>Total estimated purchase price:</w:t>
            </w:r>
          </w:p>
        </w:tc>
        <w:tc>
          <w:tcPr>
            <w:tcW w:w="200" w:type="dxa"/>
            <w:vAlign w:val="bottom"/>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37,010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78,384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99,665</w:t>
            </w:r>
          </w:p>
        </w:tc>
        <w:tc>
          <w:tcPr>
            <w:tcW w:w="100" w:type="dxa"/>
            <w:vAlign w:val="bottom"/>
          </w:tcPr>
          <w:p>
            <w:pPr>
              <w:spacing w:after="0"/>
              <w:rPr>
                <w:sz w:val="18"/>
                <w:szCs w:val="18"/>
                <w:color w:val="auto"/>
              </w:rPr>
            </w:pPr>
          </w:p>
        </w:tc>
      </w:tr>
      <w:tr>
        <w:trPr>
          <w:trHeight w:val="642"/>
        </w:trPr>
        <w:tc>
          <w:tcPr>
            <w:tcW w:w="6660" w:type="dxa"/>
            <w:vAlign w:val="bottom"/>
            <w:tcBorders>
              <w:bottom w:val="single" w:sz="8" w:color="auto"/>
            </w:tcBorders>
          </w:tcPr>
          <w:p>
            <w:pPr>
              <w:ind w:left="5660"/>
              <w:spacing w:after="0"/>
              <w:rPr>
                <w:sz w:val="20"/>
                <w:szCs w:val="20"/>
                <w:color w:val="auto"/>
              </w:rPr>
            </w:pPr>
            <w:r>
              <w:rPr>
                <w:rFonts w:ascii="Arial" w:cs="Arial" w:eastAsia="Arial" w:hAnsi="Arial"/>
                <w:sz w:val="18"/>
                <w:szCs w:val="18"/>
                <w:color w:val="auto"/>
              </w:rPr>
              <w:t>3</w:t>
            </w:r>
          </w:p>
        </w:tc>
        <w:tc>
          <w:tcPr>
            <w:tcW w:w="2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Unaudited Pro Forma Consolidated Statement of Operations, for the three month period ended March 31, 2012:</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3280" w:type="dxa"/>
            <w:vAlign w:val="bottom"/>
            <w:gridSpan w:val="4"/>
          </w:tcPr>
          <w:p>
            <w:pPr>
              <w:jc w:val="right"/>
              <w:ind w:right="1340"/>
              <w:spacing w:after="0"/>
              <w:rPr>
                <w:sz w:val="20"/>
                <w:szCs w:val="20"/>
                <w:color w:val="auto"/>
              </w:rPr>
            </w:pPr>
            <w:r>
              <w:rPr>
                <w:rFonts w:ascii="Arial" w:cs="Arial" w:eastAsia="Arial" w:hAnsi="Arial"/>
                <w:sz w:val="18"/>
                <w:szCs w:val="18"/>
                <w:b w:val="1"/>
                <w:bCs w:val="1"/>
                <w:color w:val="auto"/>
              </w:rPr>
              <w:t>Historical</w:t>
            </w:r>
          </w:p>
        </w:tc>
        <w:tc>
          <w:tcPr>
            <w:tcW w:w="1640" w:type="dxa"/>
            <w:vAlign w:val="bottom"/>
            <w:gridSpan w:val="2"/>
            <w:vMerge w:val="restart"/>
          </w:tcPr>
          <w:p>
            <w:pPr>
              <w:jc w:val="right"/>
              <w:ind w:right="520"/>
              <w:spacing w:after="0"/>
              <w:rPr>
                <w:sz w:val="20"/>
                <w:szCs w:val="20"/>
                <w:color w:val="auto"/>
              </w:rPr>
            </w:pPr>
            <w:r>
              <w:rPr>
                <w:rFonts w:ascii="Arial" w:cs="Arial" w:eastAsia="Arial" w:hAnsi="Arial"/>
                <w:sz w:val="18"/>
                <w:szCs w:val="18"/>
                <w:b w:val="1"/>
                <w:bCs w:val="1"/>
                <w:color w:val="auto"/>
              </w:rPr>
              <w:t>Pro Forma</w:t>
            </w:r>
          </w:p>
        </w:tc>
        <w:tc>
          <w:tcPr>
            <w:tcW w:w="1480" w:type="dxa"/>
            <w:vAlign w:val="bottom"/>
          </w:tcPr>
          <w:p>
            <w:pPr>
              <w:spacing w:after="0"/>
              <w:rPr>
                <w:sz w:val="20"/>
                <w:szCs w:val="20"/>
                <w:color w:val="auto"/>
              </w:rPr>
            </w:pPr>
          </w:p>
        </w:tc>
        <w:tc>
          <w:tcPr>
            <w:tcW w:w="1360" w:type="dxa"/>
            <w:vAlign w:val="bottom"/>
            <w:gridSpan w:val="2"/>
            <w:vMerge w:val="restart"/>
          </w:tcPr>
          <w:p>
            <w:pPr>
              <w:jc w:val="right"/>
              <w:ind w:right="220"/>
              <w:spacing w:after="0"/>
              <w:rPr>
                <w:sz w:val="20"/>
                <w:szCs w:val="20"/>
                <w:color w:val="auto"/>
              </w:rPr>
            </w:pPr>
            <w:r>
              <w:rPr>
                <w:rFonts w:ascii="Arial" w:cs="Arial" w:eastAsia="Arial" w:hAnsi="Arial"/>
                <w:sz w:val="18"/>
                <w:szCs w:val="18"/>
                <w:b w:val="1"/>
                <w:bCs w:val="1"/>
                <w:color w:val="auto"/>
              </w:rPr>
              <w:t>Pro Forma</w:t>
            </w:r>
          </w:p>
        </w:tc>
        <w:tc>
          <w:tcPr>
            <w:tcW w:w="0" w:type="dxa"/>
            <w:vAlign w:val="bottom"/>
          </w:tcPr>
          <w:p>
            <w:pPr>
              <w:spacing w:after="0"/>
              <w:rPr>
                <w:sz w:val="1"/>
                <w:szCs w:val="1"/>
                <w:color w:val="auto"/>
              </w:rPr>
            </w:pPr>
          </w:p>
        </w:tc>
      </w:tr>
      <w:tr>
        <w:trPr>
          <w:trHeight w:val="178"/>
        </w:trPr>
        <w:tc>
          <w:tcPr>
            <w:tcW w:w="3660" w:type="dxa"/>
            <w:vAlign w:val="bottom"/>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640" w:type="dxa"/>
            <w:vAlign w:val="bottom"/>
            <w:gridSpan w:val="2"/>
            <w:vMerge w:val="continue"/>
          </w:tcPr>
          <w:p>
            <w:pPr>
              <w:spacing w:after="0"/>
              <w:rPr>
                <w:sz w:val="15"/>
                <w:szCs w:val="15"/>
                <w:color w:val="auto"/>
              </w:rPr>
            </w:pPr>
          </w:p>
        </w:tc>
        <w:tc>
          <w:tcPr>
            <w:tcW w:w="148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660" w:type="dxa"/>
            <w:vAlign w:val="bottom"/>
          </w:tcPr>
          <w:p>
            <w:pPr>
              <w:spacing w:after="0"/>
              <w:rPr>
                <w:sz w:val="20"/>
                <w:szCs w:val="20"/>
                <w:color w:val="auto"/>
              </w:rPr>
            </w:pPr>
          </w:p>
        </w:tc>
        <w:tc>
          <w:tcPr>
            <w:tcW w:w="16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0"/>
              </w:rPr>
              <w:t>Innovate/Protect</w:t>
            </w:r>
          </w:p>
        </w:tc>
        <w:tc>
          <w:tcPr>
            <w:tcW w:w="162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Vringo</w:t>
            </w:r>
          </w:p>
        </w:tc>
        <w:tc>
          <w:tcPr>
            <w:tcW w:w="16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9"/>
              </w:rPr>
              <w:t>adjustments</w:t>
            </w:r>
          </w:p>
        </w:tc>
        <w:tc>
          <w:tcPr>
            <w:tcW w:w="1480" w:type="dxa"/>
            <w:vAlign w:val="bottom"/>
          </w:tcPr>
          <w:p>
            <w:pPr>
              <w:jc w:val="right"/>
              <w:ind w:right="630"/>
              <w:spacing w:after="0"/>
              <w:rPr>
                <w:sz w:val="20"/>
                <w:szCs w:val="20"/>
                <w:color w:val="auto"/>
              </w:rPr>
            </w:pPr>
            <w:r>
              <w:rPr>
                <w:rFonts w:ascii="Arial" w:cs="Arial" w:eastAsia="Arial" w:hAnsi="Arial"/>
                <w:sz w:val="18"/>
                <w:szCs w:val="18"/>
                <w:b w:val="1"/>
                <w:bCs w:val="1"/>
                <w:color w:val="auto"/>
              </w:rPr>
              <w:t>Notes</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9"/>
              </w:rPr>
              <w:t>consolidated</w:t>
            </w:r>
          </w:p>
        </w:tc>
        <w:tc>
          <w:tcPr>
            <w:tcW w:w="0" w:type="dxa"/>
            <w:vAlign w:val="bottom"/>
          </w:tcPr>
          <w:p>
            <w:pPr>
              <w:spacing w:after="0"/>
              <w:rPr>
                <w:sz w:val="1"/>
                <w:szCs w:val="1"/>
                <w:color w:val="auto"/>
              </w:rPr>
            </w:pPr>
          </w:p>
        </w:tc>
      </w:tr>
      <w:tr>
        <w:trPr>
          <w:trHeight w:val="210"/>
        </w:trPr>
        <w:tc>
          <w:tcPr>
            <w:tcW w:w="3660" w:type="dxa"/>
            <w:vAlign w:val="bottom"/>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4740" w:type="dxa"/>
            <w:vAlign w:val="bottom"/>
            <w:tcBorders>
              <w:top w:val="single" w:sz="8" w:color="auto"/>
            </w:tcBorders>
            <w:gridSpan w:val="5"/>
          </w:tcPr>
          <w:p>
            <w:pPr>
              <w:jc w:val="right"/>
              <w:ind w:right="490"/>
              <w:spacing w:after="0"/>
              <w:rPr>
                <w:sz w:val="20"/>
                <w:szCs w:val="20"/>
                <w:color w:val="auto"/>
              </w:rPr>
            </w:pPr>
            <w:r>
              <w:rPr>
                <w:rFonts w:ascii="Arial" w:cs="Arial" w:eastAsia="Arial" w:hAnsi="Arial"/>
                <w:sz w:val="18"/>
                <w:szCs w:val="18"/>
                <w:b w:val="1"/>
                <w:bCs w:val="1"/>
                <w:color w:val="auto"/>
                <w:w w:val="92"/>
              </w:rPr>
              <w:t>($ — in thousands, except share and per share data)</w:t>
            </w: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Revenue</w:t>
            </w:r>
          </w:p>
        </w:tc>
        <w:tc>
          <w:tcPr>
            <w:tcW w:w="166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b w:val="1"/>
                <w:bCs w:val="1"/>
                <w:color w:val="auto"/>
              </w:rPr>
              <w:t>—</w:t>
            </w:r>
          </w:p>
        </w:tc>
        <w:tc>
          <w:tcPr>
            <w:tcW w:w="162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b w:val="1"/>
                <w:bCs w:val="1"/>
                <w:color w:val="auto"/>
              </w:rPr>
              <w:t>106</w:t>
            </w:r>
          </w:p>
        </w:tc>
        <w:tc>
          <w:tcPr>
            <w:tcW w:w="164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b w:val="1"/>
                <w:bCs w:val="1"/>
                <w:color w:val="auto"/>
              </w:rPr>
              <w:t>—</w:t>
            </w:r>
          </w:p>
        </w:tc>
        <w:tc>
          <w:tcPr>
            <w:tcW w:w="148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106</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b w:val="1"/>
                <w:bCs w:val="1"/>
                <w:color w:val="auto"/>
              </w:rPr>
              <w:t>Costs and expenses:</w:t>
            </w: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FFCC"/>
          </w:tcPr>
          <w:p>
            <w:pPr>
              <w:spacing w:after="0"/>
              <w:rPr>
                <w:sz w:val="20"/>
                <w:szCs w:val="20"/>
                <w:color w:val="auto"/>
              </w:rPr>
            </w:pPr>
            <w:r>
              <w:rPr>
                <w:rFonts w:ascii="Arial" w:cs="Arial" w:eastAsia="Arial" w:hAnsi="Arial"/>
                <w:sz w:val="18"/>
                <w:szCs w:val="18"/>
                <w:color w:val="auto"/>
              </w:rPr>
              <w:t>Cost of revenue</w:t>
            </w:r>
          </w:p>
        </w:tc>
        <w:tc>
          <w:tcPr>
            <w:tcW w:w="166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b w:val="1"/>
                <w:bCs w:val="1"/>
                <w:color w:val="auto"/>
              </w:rPr>
              <w:t>—</w:t>
            </w:r>
          </w:p>
        </w:tc>
        <w:tc>
          <w:tcPr>
            <w:tcW w:w="162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b w:val="1"/>
                <w:bCs w:val="1"/>
                <w:color w:val="auto"/>
              </w:rPr>
              <w:t>31</w:t>
            </w:r>
          </w:p>
        </w:tc>
        <w:tc>
          <w:tcPr>
            <w:tcW w:w="164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b w:val="1"/>
                <w:bCs w:val="1"/>
                <w:color w:val="auto"/>
              </w:rPr>
              <w:t>454</w:t>
            </w:r>
          </w:p>
        </w:tc>
        <w:tc>
          <w:tcPr>
            <w:tcW w:w="1480" w:type="dxa"/>
            <w:vAlign w:val="bottom"/>
            <w:shd w:val="clear" w:color="auto" w:fill="CCFFCC"/>
          </w:tcPr>
          <w:p>
            <w:pPr>
              <w:jc w:val="right"/>
              <w:ind w:right="750"/>
              <w:spacing w:after="0"/>
              <w:rPr>
                <w:sz w:val="20"/>
                <w:szCs w:val="20"/>
                <w:color w:val="auto"/>
              </w:rPr>
            </w:pPr>
            <w:r>
              <w:rPr>
                <w:rFonts w:ascii="Arial" w:cs="Arial" w:eastAsia="Arial" w:hAnsi="Arial"/>
                <w:sz w:val="18"/>
                <w:szCs w:val="18"/>
                <w:color w:val="auto"/>
              </w:rPr>
              <w:t>1</w:t>
            </w:r>
          </w:p>
        </w:tc>
        <w:tc>
          <w:tcPr>
            <w:tcW w:w="13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485</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Operating legal costs</w:t>
            </w:r>
          </w:p>
        </w:tc>
        <w:tc>
          <w:tcPr>
            <w:tcW w:w="16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1,172</w:t>
            </w:r>
          </w:p>
        </w:tc>
        <w:tc>
          <w:tcPr>
            <w:tcW w:w="16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16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t>
            </w:r>
          </w:p>
        </w:tc>
        <w:tc>
          <w:tcPr>
            <w:tcW w:w="148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1,172</w:t>
            </w:r>
          </w:p>
        </w:tc>
        <w:tc>
          <w:tcPr>
            <w:tcW w:w="0" w:type="dxa"/>
            <w:vAlign w:val="bottom"/>
          </w:tcPr>
          <w:p>
            <w:pPr>
              <w:spacing w:after="0"/>
              <w:rPr>
                <w:sz w:val="1"/>
                <w:szCs w:val="1"/>
                <w:color w:val="auto"/>
              </w:rPr>
            </w:pPr>
          </w:p>
        </w:tc>
      </w:tr>
      <w:tr>
        <w:trPr>
          <w:trHeight w:val="216"/>
        </w:trPr>
        <w:tc>
          <w:tcPr>
            <w:tcW w:w="3660" w:type="dxa"/>
            <w:vAlign w:val="bottom"/>
            <w:shd w:val="clear" w:color="auto" w:fill="CCFFCC"/>
          </w:tcPr>
          <w:p>
            <w:pPr>
              <w:spacing w:after="0"/>
              <w:rPr>
                <w:sz w:val="20"/>
                <w:szCs w:val="20"/>
                <w:color w:val="auto"/>
              </w:rPr>
            </w:pPr>
            <w:r>
              <w:rPr>
                <w:rFonts w:ascii="Arial" w:cs="Arial" w:eastAsia="Arial" w:hAnsi="Arial"/>
                <w:sz w:val="18"/>
                <w:szCs w:val="18"/>
                <w:color w:val="auto"/>
              </w:rPr>
              <w:t>Compensation</w:t>
            </w:r>
          </w:p>
        </w:tc>
        <w:tc>
          <w:tcPr>
            <w:tcW w:w="166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b w:val="1"/>
                <w:bCs w:val="1"/>
                <w:color w:val="auto"/>
              </w:rPr>
              <w:t>378</w:t>
            </w:r>
          </w:p>
        </w:tc>
        <w:tc>
          <w:tcPr>
            <w:tcW w:w="162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b w:val="1"/>
                <w:bCs w:val="1"/>
                <w:color w:val="auto"/>
              </w:rPr>
              <w:t>—</w:t>
            </w:r>
          </w:p>
        </w:tc>
        <w:tc>
          <w:tcPr>
            <w:tcW w:w="164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b w:val="1"/>
                <w:bCs w:val="1"/>
                <w:color w:val="auto"/>
              </w:rPr>
              <w:t>(378)</w:t>
            </w:r>
          </w:p>
        </w:tc>
        <w:tc>
          <w:tcPr>
            <w:tcW w:w="1480" w:type="dxa"/>
            <w:vAlign w:val="bottom"/>
            <w:shd w:val="clear" w:color="auto" w:fill="CCFFCC"/>
          </w:tcPr>
          <w:p>
            <w:pPr>
              <w:jc w:val="right"/>
              <w:ind w:right="750"/>
              <w:spacing w:after="0"/>
              <w:rPr>
                <w:sz w:val="20"/>
                <w:szCs w:val="20"/>
                <w:color w:val="auto"/>
              </w:rPr>
            </w:pPr>
            <w:r>
              <w:rPr>
                <w:rFonts w:ascii="Arial" w:cs="Arial" w:eastAsia="Arial" w:hAnsi="Arial"/>
                <w:sz w:val="18"/>
                <w:szCs w:val="18"/>
                <w:color w:val="auto"/>
              </w:rPr>
              <w:t>2</w:t>
            </w:r>
          </w:p>
        </w:tc>
        <w:tc>
          <w:tcPr>
            <w:tcW w:w="13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Amortization and depreciation</w:t>
            </w:r>
          </w:p>
        </w:tc>
        <w:tc>
          <w:tcPr>
            <w:tcW w:w="16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156</w:t>
            </w:r>
          </w:p>
        </w:tc>
        <w:tc>
          <w:tcPr>
            <w:tcW w:w="16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16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(156)</w:t>
            </w:r>
          </w:p>
        </w:tc>
        <w:tc>
          <w:tcPr>
            <w:tcW w:w="1480" w:type="dxa"/>
            <w:vAlign w:val="bottom"/>
          </w:tcPr>
          <w:p>
            <w:pPr>
              <w:jc w:val="right"/>
              <w:ind w:right="750"/>
              <w:spacing w:after="0"/>
              <w:rPr>
                <w:sz w:val="20"/>
                <w:szCs w:val="20"/>
                <w:color w:val="auto"/>
              </w:rPr>
            </w:pPr>
            <w:r>
              <w:rPr>
                <w:rFonts w:ascii="Arial" w:cs="Arial" w:eastAsia="Arial" w:hAnsi="Arial"/>
                <w:sz w:val="18"/>
                <w:szCs w:val="18"/>
                <w:color w:val="auto"/>
              </w:rPr>
              <w:t>2</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3660" w:type="dxa"/>
            <w:vAlign w:val="bottom"/>
            <w:shd w:val="clear" w:color="auto" w:fill="CCFFCC"/>
          </w:tcPr>
          <w:p>
            <w:pPr>
              <w:spacing w:after="0"/>
              <w:rPr>
                <w:sz w:val="20"/>
                <w:szCs w:val="20"/>
                <w:color w:val="auto"/>
              </w:rPr>
            </w:pPr>
            <w:r>
              <w:rPr>
                <w:rFonts w:ascii="Arial" w:cs="Arial" w:eastAsia="Arial" w:hAnsi="Arial"/>
                <w:sz w:val="18"/>
                <w:szCs w:val="18"/>
                <w:color w:val="auto"/>
              </w:rPr>
              <w:t>Research and development</w:t>
            </w:r>
          </w:p>
        </w:tc>
        <w:tc>
          <w:tcPr>
            <w:tcW w:w="166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b w:val="1"/>
                <w:bCs w:val="1"/>
                <w:color w:val="auto"/>
              </w:rPr>
              <w:t>—</w:t>
            </w:r>
          </w:p>
        </w:tc>
        <w:tc>
          <w:tcPr>
            <w:tcW w:w="162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b w:val="1"/>
                <w:bCs w:val="1"/>
                <w:color w:val="auto"/>
              </w:rPr>
              <w:t>512</w:t>
            </w:r>
          </w:p>
        </w:tc>
        <w:tc>
          <w:tcPr>
            <w:tcW w:w="164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b w:val="1"/>
                <w:bCs w:val="1"/>
                <w:color w:val="auto"/>
              </w:rPr>
              <w:t>—</w:t>
            </w:r>
          </w:p>
        </w:tc>
        <w:tc>
          <w:tcPr>
            <w:tcW w:w="148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512</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Marketing</w:t>
            </w:r>
          </w:p>
        </w:tc>
        <w:tc>
          <w:tcPr>
            <w:tcW w:w="16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16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759</w:t>
            </w:r>
          </w:p>
        </w:tc>
        <w:tc>
          <w:tcPr>
            <w:tcW w:w="16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t>
            </w:r>
          </w:p>
        </w:tc>
        <w:tc>
          <w:tcPr>
            <w:tcW w:w="148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759</w:t>
            </w:r>
          </w:p>
        </w:tc>
        <w:tc>
          <w:tcPr>
            <w:tcW w:w="0" w:type="dxa"/>
            <w:vAlign w:val="bottom"/>
          </w:tcPr>
          <w:p>
            <w:pPr>
              <w:spacing w:after="0"/>
              <w:rPr>
                <w:sz w:val="1"/>
                <w:szCs w:val="1"/>
                <w:color w:val="auto"/>
              </w:rPr>
            </w:pPr>
          </w:p>
        </w:tc>
      </w:tr>
      <w:tr>
        <w:trPr>
          <w:trHeight w:val="230"/>
        </w:trPr>
        <w:tc>
          <w:tcPr>
            <w:tcW w:w="3660" w:type="dxa"/>
            <w:vAlign w:val="bottom"/>
            <w:shd w:val="clear" w:color="auto" w:fill="CCFFCC"/>
          </w:tcPr>
          <w:p>
            <w:pPr>
              <w:spacing w:after="0"/>
              <w:rPr>
                <w:sz w:val="20"/>
                <w:szCs w:val="20"/>
                <w:color w:val="auto"/>
              </w:rPr>
            </w:pPr>
            <w:r>
              <w:rPr>
                <w:rFonts w:ascii="Arial" w:cs="Arial" w:eastAsia="Arial" w:hAnsi="Arial"/>
                <w:sz w:val="18"/>
                <w:szCs w:val="18"/>
                <w:color w:val="auto"/>
              </w:rPr>
              <w:t>General and administrative</w:t>
            </w:r>
          </w:p>
        </w:tc>
        <w:tc>
          <w:tcPr>
            <w:tcW w:w="166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b w:val="1"/>
                <w:bCs w:val="1"/>
                <w:color w:val="auto"/>
              </w:rPr>
              <w:t>162</w:t>
            </w:r>
          </w:p>
        </w:tc>
        <w:tc>
          <w:tcPr>
            <w:tcW w:w="162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b w:val="1"/>
                <w:bCs w:val="1"/>
                <w:color w:val="auto"/>
              </w:rPr>
              <w:t>1,460</w:t>
            </w:r>
          </w:p>
        </w:tc>
        <w:tc>
          <w:tcPr>
            <w:tcW w:w="164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b w:val="1"/>
                <w:bCs w:val="1"/>
                <w:color w:val="auto"/>
              </w:rPr>
              <w:t>534</w:t>
            </w:r>
          </w:p>
        </w:tc>
        <w:tc>
          <w:tcPr>
            <w:tcW w:w="1480" w:type="dxa"/>
            <w:vAlign w:val="bottom"/>
            <w:shd w:val="clear" w:color="auto" w:fill="CCFFCC"/>
          </w:tcPr>
          <w:p>
            <w:pPr>
              <w:jc w:val="right"/>
              <w:ind w:right="750"/>
              <w:spacing w:after="0"/>
              <w:rPr>
                <w:sz w:val="20"/>
                <w:szCs w:val="20"/>
                <w:color w:val="auto"/>
              </w:rPr>
            </w:pPr>
            <w:r>
              <w:rPr>
                <w:rFonts w:ascii="Arial" w:cs="Arial" w:eastAsia="Arial" w:hAnsi="Arial"/>
                <w:sz w:val="18"/>
                <w:szCs w:val="18"/>
                <w:color w:val="auto"/>
              </w:rPr>
              <w:t>2</w:t>
            </w:r>
          </w:p>
        </w:tc>
        <w:tc>
          <w:tcPr>
            <w:tcW w:w="13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2,156</w:t>
            </w:r>
          </w:p>
        </w:tc>
        <w:tc>
          <w:tcPr>
            <w:tcW w:w="0" w:type="dxa"/>
            <w:vAlign w:val="bottom"/>
          </w:tcPr>
          <w:p>
            <w:pPr>
              <w:spacing w:after="0"/>
              <w:rPr>
                <w:sz w:val="1"/>
                <w:szCs w:val="1"/>
                <w:color w:val="auto"/>
              </w:rPr>
            </w:pPr>
          </w:p>
        </w:tc>
      </w:tr>
      <w:tr>
        <w:trPr>
          <w:trHeight w:val="210"/>
        </w:trPr>
        <w:tc>
          <w:tcPr>
            <w:tcW w:w="3660" w:type="dxa"/>
            <w:vAlign w:val="bottom"/>
            <w:tcBorders>
              <w:bottom w:val="single" w:sz="8" w:color="CCFFCC"/>
            </w:tcBorders>
          </w:tcPr>
          <w:p>
            <w:pPr>
              <w:spacing w:after="0"/>
              <w:rPr>
                <w:sz w:val="20"/>
                <w:szCs w:val="20"/>
                <w:color w:val="auto"/>
              </w:rPr>
            </w:pPr>
            <w:r>
              <w:rPr>
                <w:rFonts w:ascii="Arial" w:cs="Arial" w:eastAsia="Arial" w:hAnsi="Arial"/>
                <w:sz w:val="18"/>
                <w:szCs w:val="18"/>
                <w:b w:val="1"/>
                <w:bCs w:val="1"/>
                <w:color w:val="auto"/>
              </w:rPr>
              <w:t>Total operating expenses:</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1,868</w:t>
            </w:r>
          </w:p>
        </w:tc>
        <w:tc>
          <w:tcPr>
            <w:tcW w:w="340" w:type="dxa"/>
            <w:vAlign w:val="bottom"/>
            <w:tcBorders>
              <w:bottom w:val="single" w:sz="8" w:color="CCFFCC"/>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2,762</w:t>
            </w:r>
          </w:p>
        </w:tc>
        <w:tc>
          <w:tcPr>
            <w:tcW w:w="340" w:type="dxa"/>
            <w:vAlign w:val="bottom"/>
            <w:tcBorders>
              <w:bottom w:val="single" w:sz="8" w:color="CCFFCC"/>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454</w:t>
            </w:r>
          </w:p>
        </w:tc>
        <w:tc>
          <w:tcPr>
            <w:tcW w:w="400" w:type="dxa"/>
            <w:vAlign w:val="bottom"/>
            <w:tcBorders>
              <w:bottom w:val="single" w:sz="8" w:color="CCFFCC"/>
            </w:tcBorders>
          </w:tcPr>
          <w:p>
            <w:pPr>
              <w:spacing w:after="0"/>
              <w:rPr>
                <w:sz w:val="18"/>
                <w:szCs w:val="18"/>
                <w:color w:val="auto"/>
              </w:rPr>
            </w:pPr>
          </w:p>
        </w:tc>
        <w:tc>
          <w:tcPr>
            <w:tcW w:w="1480" w:type="dxa"/>
            <w:vAlign w:val="bottom"/>
            <w:tcBorders>
              <w:bottom w:val="single" w:sz="8" w:color="CCFFCC"/>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5,084</w:t>
            </w: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Operating loss:</w:t>
            </w:r>
          </w:p>
        </w:tc>
        <w:tc>
          <w:tcPr>
            <w:tcW w:w="13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(1,868</w:t>
            </w:r>
          </w:p>
        </w:tc>
        <w:tc>
          <w:tcPr>
            <w:tcW w:w="340" w:type="dxa"/>
            <w:vAlign w:val="bottom"/>
            <w:shd w:val="clear" w:color="auto" w:fill="CCFFCC"/>
          </w:tcPr>
          <w:p>
            <w:pPr>
              <w:jc w:val="right"/>
              <w:ind w:right="200"/>
              <w:spacing w:after="0"/>
              <w:rPr>
                <w:sz w:val="20"/>
                <w:szCs w:val="20"/>
                <w:color w:val="auto"/>
              </w:rPr>
            </w:pPr>
            <w:r>
              <w:rPr>
                <w:rFonts w:ascii="Arial" w:cs="Arial" w:eastAsia="Arial" w:hAnsi="Arial"/>
                <w:sz w:val="16"/>
                <w:szCs w:val="16"/>
                <w:b w:val="1"/>
                <w:bCs w:val="1"/>
                <w:color w:val="auto"/>
                <w:w w:val="74"/>
              </w:rPr>
              <w:t>)</w:t>
            </w:r>
          </w:p>
        </w:tc>
        <w:tc>
          <w:tcPr>
            <w:tcW w:w="12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(2,656</w:t>
            </w:r>
          </w:p>
        </w:tc>
        <w:tc>
          <w:tcPr>
            <w:tcW w:w="340" w:type="dxa"/>
            <w:vAlign w:val="bottom"/>
            <w:shd w:val="clear" w:color="auto" w:fill="CCFFCC"/>
          </w:tcPr>
          <w:p>
            <w:pPr>
              <w:jc w:val="right"/>
              <w:ind w:right="200"/>
              <w:spacing w:after="0"/>
              <w:rPr>
                <w:sz w:val="20"/>
                <w:szCs w:val="20"/>
                <w:color w:val="auto"/>
              </w:rPr>
            </w:pPr>
            <w:r>
              <w:rPr>
                <w:rFonts w:ascii="Arial" w:cs="Arial" w:eastAsia="Arial" w:hAnsi="Arial"/>
                <w:sz w:val="16"/>
                <w:szCs w:val="16"/>
                <w:b w:val="1"/>
                <w:bCs w:val="1"/>
                <w:color w:val="auto"/>
                <w:w w:val="74"/>
              </w:rPr>
              <w:t>)</w:t>
            </w:r>
          </w:p>
        </w:tc>
        <w:tc>
          <w:tcPr>
            <w:tcW w:w="12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(454</w:t>
            </w:r>
          </w:p>
        </w:tc>
        <w:tc>
          <w:tcPr>
            <w:tcW w:w="400" w:type="dxa"/>
            <w:vAlign w:val="bottom"/>
            <w:shd w:val="clear" w:color="auto" w:fill="CCFFCC"/>
          </w:tcPr>
          <w:p>
            <w:pPr>
              <w:jc w:val="right"/>
              <w:ind w:right="260"/>
              <w:spacing w:after="0"/>
              <w:rPr>
                <w:sz w:val="20"/>
                <w:szCs w:val="20"/>
                <w:color w:val="auto"/>
              </w:rPr>
            </w:pPr>
            <w:r>
              <w:rPr>
                <w:rFonts w:ascii="Arial" w:cs="Arial" w:eastAsia="Arial" w:hAnsi="Arial"/>
                <w:sz w:val="16"/>
                <w:szCs w:val="16"/>
                <w:b w:val="1"/>
                <w:bCs w:val="1"/>
                <w:color w:val="auto"/>
                <w:w w:val="74"/>
              </w:rPr>
              <w:t>)</w:t>
            </w:r>
          </w:p>
        </w:tc>
        <w:tc>
          <w:tcPr>
            <w:tcW w:w="1480" w:type="dxa"/>
            <w:vAlign w:val="bottom"/>
            <w:shd w:val="clear" w:color="auto" w:fill="CCFFCC"/>
          </w:tcPr>
          <w:p>
            <w:pPr>
              <w:spacing w:after="0"/>
              <w:rPr>
                <w:sz w:val="18"/>
                <w:szCs w:val="18"/>
                <w:color w:val="auto"/>
              </w:rPr>
            </w:pPr>
          </w:p>
        </w:tc>
        <w:tc>
          <w:tcPr>
            <w:tcW w:w="12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(4,978</w:t>
            </w:r>
          </w:p>
        </w:tc>
        <w:tc>
          <w:tcPr>
            <w:tcW w:w="100" w:type="dxa"/>
            <w:vAlign w:val="bottom"/>
            <w:shd w:val="clear" w:color="auto" w:fill="CCFFCC"/>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10"/>
        </w:trPr>
        <w:tc>
          <w:tcPr>
            <w:tcW w:w="3660" w:type="dxa"/>
            <w:vAlign w:val="bottom"/>
          </w:tcPr>
          <w:p>
            <w:pPr>
              <w:spacing w:after="0"/>
              <w:rPr>
                <w:sz w:val="20"/>
                <w:szCs w:val="20"/>
                <w:color w:val="auto"/>
              </w:rPr>
            </w:pPr>
            <w:r>
              <w:rPr>
                <w:rFonts w:ascii="Arial" w:cs="Arial" w:eastAsia="Arial" w:hAnsi="Arial"/>
                <w:sz w:val="18"/>
                <w:szCs w:val="18"/>
                <w:color w:val="auto"/>
              </w:rPr>
              <w:t>Non-operating income (expense)</w:t>
            </w:r>
          </w:p>
        </w:tc>
        <w:tc>
          <w:tcPr>
            <w:tcW w:w="16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(4)</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FFCC"/>
          </w:tcPr>
          <w:p>
            <w:pPr>
              <w:spacing w:after="0"/>
              <w:rPr>
                <w:sz w:val="20"/>
                <w:szCs w:val="20"/>
                <w:color w:val="auto"/>
              </w:rPr>
            </w:pPr>
            <w:r>
              <w:rPr>
                <w:rFonts w:ascii="Arial" w:cs="Arial" w:eastAsia="Arial" w:hAnsi="Arial"/>
                <w:sz w:val="18"/>
                <w:szCs w:val="18"/>
                <w:color w:val="auto"/>
              </w:rPr>
              <w:t>Issuance of non-preferential reload warrants</w:t>
            </w:r>
          </w:p>
        </w:tc>
        <w:tc>
          <w:tcPr>
            <w:tcW w:w="166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b w:val="1"/>
                <w:bCs w:val="1"/>
                <w:color w:val="auto"/>
              </w:rPr>
              <w:t>—</w:t>
            </w:r>
          </w:p>
        </w:tc>
        <w:tc>
          <w:tcPr>
            <w:tcW w:w="16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(1,091)</w:t>
            </w:r>
          </w:p>
        </w:tc>
        <w:tc>
          <w:tcPr>
            <w:tcW w:w="164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b w:val="1"/>
                <w:bCs w:val="1"/>
                <w:color w:val="auto"/>
              </w:rPr>
              <w:t>—</w:t>
            </w:r>
          </w:p>
        </w:tc>
        <w:tc>
          <w:tcPr>
            <w:tcW w:w="148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(1,091)</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Loss on revaluation of warrants</w:t>
            </w:r>
          </w:p>
        </w:tc>
        <w:tc>
          <w:tcPr>
            <w:tcW w:w="16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16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(411)</w:t>
            </w:r>
          </w:p>
        </w:tc>
        <w:tc>
          <w:tcPr>
            <w:tcW w:w="16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t>
            </w:r>
          </w:p>
        </w:tc>
        <w:tc>
          <w:tcPr>
            <w:tcW w:w="148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b w:val="1"/>
                <w:bCs w:val="1"/>
                <w:color w:val="auto"/>
              </w:rPr>
              <w:t>(411)</w:t>
            </w:r>
          </w:p>
        </w:tc>
        <w:tc>
          <w:tcPr>
            <w:tcW w:w="0" w:type="dxa"/>
            <w:vAlign w:val="bottom"/>
          </w:tcPr>
          <w:p>
            <w:pPr>
              <w:spacing w:after="0"/>
              <w:rPr>
                <w:sz w:val="1"/>
                <w:szCs w:val="1"/>
                <w:color w:val="auto"/>
              </w:rPr>
            </w:pPr>
          </w:p>
        </w:tc>
      </w:tr>
      <w:tr>
        <w:trPr>
          <w:trHeight w:val="230"/>
        </w:trPr>
        <w:tc>
          <w:tcPr>
            <w:tcW w:w="3660" w:type="dxa"/>
            <w:vAlign w:val="bottom"/>
            <w:shd w:val="clear" w:color="auto" w:fill="CCFFCC"/>
          </w:tcPr>
          <w:p>
            <w:pPr>
              <w:spacing w:after="0"/>
              <w:rPr>
                <w:sz w:val="20"/>
                <w:szCs w:val="20"/>
                <w:color w:val="auto"/>
              </w:rPr>
            </w:pPr>
            <w:r>
              <w:rPr>
                <w:rFonts w:ascii="Arial" w:cs="Arial" w:eastAsia="Arial" w:hAnsi="Arial"/>
                <w:sz w:val="18"/>
                <w:szCs w:val="18"/>
                <w:color w:val="auto"/>
              </w:rPr>
              <w:t>Issuance of preferential reload warrants</w:t>
            </w:r>
          </w:p>
        </w:tc>
        <w:tc>
          <w:tcPr>
            <w:tcW w:w="166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b w:val="1"/>
                <w:bCs w:val="1"/>
                <w:color w:val="auto"/>
              </w:rPr>
              <w:t>—</w:t>
            </w:r>
          </w:p>
        </w:tc>
        <w:tc>
          <w:tcPr>
            <w:tcW w:w="16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(1,476)</w:t>
            </w:r>
          </w:p>
        </w:tc>
        <w:tc>
          <w:tcPr>
            <w:tcW w:w="164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b w:val="1"/>
                <w:bCs w:val="1"/>
                <w:color w:val="auto"/>
              </w:rPr>
              <w:t>—</w:t>
            </w:r>
          </w:p>
        </w:tc>
        <w:tc>
          <w:tcPr>
            <w:tcW w:w="1480" w:type="dxa"/>
            <w:vAlign w:val="bottom"/>
            <w:shd w:val="clear" w:color="auto" w:fill="CCFFCC"/>
          </w:tcPr>
          <w:p>
            <w:pPr>
              <w:spacing w:after="0"/>
              <w:rPr>
                <w:sz w:val="19"/>
                <w:szCs w:val="19"/>
                <w:color w:val="auto"/>
              </w:rPr>
            </w:pPr>
          </w:p>
        </w:tc>
        <w:tc>
          <w:tcPr>
            <w:tcW w:w="136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(1,476)</w:t>
            </w:r>
          </w:p>
        </w:tc>
        <w:tc>
          <w:tcPr>
            <w:tcW w:w="0" w:type="dxa"/>
            <w:vAlign w:val="bottom"/>
          </w:tcPr>
          <w:p>
            <w:pPr>
              <w:spacing w:after="0"/>
              <w:rPr>
                <w:sz w:val="1"/>
                <w:szCs w:val="1"/>
                <w:color w:val="auto"/>
              </w:rPr>
            </w:pPr>
          </w:p>
        </w:tc>
      </w:tr>
      <w:tr>
        <w:trPr>
          <w:trHeight w:val="210"/>
        </w:trPr>
        <w:tc>
          <w:tcPr>
            <w:tcW w:w="3660" w:type="dxa"/>
            <w:vAlign w:val="bottom"/>
            <w:tcBorders>
              <w:bottom w:val="single" w:sz="8" w:color="CCFFCC"/>
            </w:tcBorders>
          </w:tcPr>
          <w:p>
            <w:pPr>
              <w:spacing w:after="0"/>
              <w:rPr>
                <w:sz w:val="20"/>
                <w:szCs w:val="20"/>
                <w:color w:val="auto"/>
              </w:rPr>
            </w:pPr>
            <w:r>
              <w:rPr>
                <w:rFonts w:ascii="Arial" w:cs="Arial" w:eastAsia="Arial" w:hAnsi="Arial"/>
                <w:sz w:val="18"/>
                <w:szCs w:val="18"/>
                <w:b w:val="1"/>
                <w:bCs w:val="1"/>
                <w:color w:val="auto"/>
              </w:rPr>
              <w:t>Loss before income taxes:</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(1,872</w:t>
            </w:r>
          </w:p>
        </w:tc>
        <w:tc>
          <w:tcPr>
            <w:tcW w:w="340" w:type="dxa"/>
            <w:vAlign w:val="bottom"/>
            <w:tcBorders>
              <w:bottom w:val="single" w:sz="8" w:color="CCFFCC"/>
            </w:tcBorders>
          </w:tcPr>
          <w:p>
            <w:pPr>
              <w:jc w:val="right"/>
              <w:ind w:right="200"/>
              <w:spacing w:after="0"/>
              <w:rPr>
                <w:sz w:val="20"/>
                <w:szCs w:val="20"/>
                <w:color w:val="auto"/>
              </w:rPr>
            </w:pPr>
            <w:r>
              <w:rPr>
                <w:rFonts w:ascii="Arial" w:cs="Arial" w:eastAsia="Arial" w:hAnsi="Arial"/>
                <w:sz w:val="16"/>
                <w:szCs w:val="16"/>
                <w:b w:val="1"/>
                <w:bCs w:val="1"/>
                <w:color w:val="auto"/>
                <w:w w:val="74"/>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(5,624</w:t>
            </w:r>
          </w:p>
        </w:tc>
        <w:tc>
          <w:tcPr>
            <w:tcW w:w="340" w:type="dxa"/>
            <w:vAlign w:val="bottom"/>
            <w:tcBorders>
              <w:bottom w:val="single" w:sz="8" w:color="CCFFCC"/>
            </w:tcBorders>
          </w:tcPr>
          <w:p>
            <w:pPr>
              <w:jc w:val="right"/>
              <w:ind w:right="200"/>
              <w:spacing w:after="0"/>
              <w:rPr>
                <w:sz w:val="20"/>
                <w:szCs w:val="20"/>
                <w:color w:val="auto"/>
              </w:rPr>
            </w:pPr>
            <w:r>
              <w:rPr>
                <w:rFonts w:ascii="Arial" w:cs="Arial" w:eastAsia="Arial" w:hAnsi="Arial"/>
                <w:sz w:val="16"/>
                <w:szCs w:val="16"/>
                <w:b w:val="1"/>
                <w:bCs w:val="1"/>
                <w:color w:val="auto"/>
                <w:w w:val="74"/>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(454</w:t>
            </w:r>
          </w:p>
        </w:tc>
        <w:tc>
          <w:tcPr>
            <w:tcW w:w="400" w:type="dxa"/>
            <w:vAlign w:val="bottom"/>
            <w:tcBorders>
              <w:bottom w:val="single" w:sz="8" w:color="CCFFCC"/>
            </w:tcBorders>
          </w:tcPr>
          <w:p>
            <w:pPr>
              <w:jc w:val="right"/>
              <w:ind w:right="260"/>
              <w:spacing w:after="0"/>
              <w:rPr>
                <w:sz w:val="20"/>
                <w:szCs w:val="20"/>
                <w:color w:val="auto"/>
              </w:rPr>
            </w:pPr>
            <w:r>
              <w:rPr>
                <w:rFonts w:ascii="Arial" w:cs="Arial" w:eastAsia="Arial" w:hAnsi="Arial"/>
                <w:sz w:val="16"/>
                <w:szCs w:val="16"/>
                <w:b w:val="1"/>
                <w:bCs w:val="1"/>
                <w:color w:val="auto"/>
                <w:w w:val="74"/>
              </w:rPr>
              <w:t>)</w:t>
            </w:r>
          </w:p>
        </w:tc>
        <w:tc>
          <w:tcPr>
            <w:tcW w:w="1480" w:type="dxa"/>
            <w:vAlign w:val="bottom"/>
            <w:tcBorders>
              <w:bottom w:val="single" w:sz="8" w:color="CCFFCC"/>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(7,950</w:t>
            </w:r>
          </w:p>
        </w:tc>
        <w:tc>
          <w:tcPr>
            <w:tcW w:w="100" w:type="dxa"/>
            <w:vAlign w:val="bottom"/>
            <w:tcBorders>
              <w:bottom w:val="single" w:sz="8" w:color="CCFFCC"/>
            </w:tcBorders>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10"/>
        </w:trPr>
        <w:tc>
          <w:tcPr>
            <w:tcW w:w="3660" w:type="dxa"/>
            <w:vAlign w:val="bottom"/>
            <w:shd w:val="clear" w:color="auto" w:fill="CCFFCC"/>
          </w:tcPr>
          <w:p>
            <w:pPr>
              <w:spacing w:after="0"/>
              <w:rPr>
                <w:sz w:val="20"/>
                <w:szCs w:val="20"/>
                <w:color w:val="auto"/>
              </w:rPr>
            </w:pPr>
            <w:r>
              <w:rPr>
                <w:rFonts w:ascii="Arial" w:cs="Arial" w:eastAsia="Arial" w:hAnsi="Arial"/>
                <w:sz w:val="18"/>
                <w:szCs w:val="18"/>
                <w:color w:val="auto"/>
              </w:rPr>
              <w:t>Income taxes</w:t>
            </w:r>
          </w:p>
        </w:tc>
        <w:tc>
          <w:tcPr>
            <w:tcW w:w="13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FFCC"/>
          </w:tcPr>
          <w:p>
            <w:pPr>
              <w:spacing w:after="0"/>
              <w:rPr>
                <w:sz w:val="18"/>
                <w:szCs w:val="18"/>
                <w:color w:val="auto"/>
              </w:rPr>
            </w:pPr>
          </w:p>
        </w:tc>
        <w:tc>
          <w:tcPr>
            <w:tcW w:w="12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(20</w:t>
            </w:r>
          </w:p>
        </w:tc>
        <w:tc>
          <w:tcPr>
            <w:tcW w:w="340" w:type="dxa"/>
            <w:vAlign w:val="bottom"/>
            <w:shd w:val="clear" w:color="auto" w:fill="CCFFCC"/>
          </w:tcPr>
          <w:p>
            <w:pPr>
              <w:jc w:val="right"/>
              <w:ind w:right="200"/>
              <w:spacing w:after="0"/>
              <w:rPr>
                <w:sz w:val="20"/>
                <w:szCs w:val="20"/>
                <w:color w:val="auto"/>
              </w:rPr>
            </w:pPr>
            <w:r>
              <w:rPr>
                <w:rFonts w:ascii="Arial" w:cs="Arial" w:eastAsia="Arial" w:hAnsi="Arial"/>
                <w:sz w:val="16"/>
                <w:szCs w:val="16"/>
                <w:b w:val="1"/>
                <w:bCs w:val="1"/>
                <w:color w:val="auto"/>
                <w:w w:val="74"/>
              </w:rPr>
              <w:t>)</w:t>
            </w:r>
          </w:p>
        </w:tc>
        <w:tc>
          <w:tcPr>
            <w:tcW w:w="12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FFCC"/>
          </w:tcPr>
          <w:p>
            <w:pPr>
              <w:spacing w:after="0"/>
              <w:rPr>
                <w:sz w:val="18"/>
                <w:szCs w:val="18"/>
                <w:color w:val="auto"/>
              </w:rPr>
            </w:pPr>
          </w:p>
        </w:tc>
        <w:tc>
          <w:tcPr>
            <w:tcW w:w="1480" w:type="dxa"/>
            <w:vAlign w:val="bottom"/>
            <w:shd w:val="clear" w:color="auto" w:fill="CCFFCC"/>
          </w:tcPr>
          <w:p>
            <w:pPr>
              <w:spacing w:after="0"/>
              <w:rPr>
                <w:sz w:val="18"/>
                <w:szCs w:val="18"/>
                <w:color w:val="auto"/>
              </w:rPr>
            </w:pPr>
          </w:p>
        </w:tc>
        <w:tc>
          <w:tcPr>
            <w:tcW w:w="12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(20</w:t>
            </w:r>
          </w:p>
        </w:tc>
        <w:tc>
          <w:tcPr>
            <w:tcW w:w="100" w:type="dxa"/>
            <w:vAlign w:val="bottom"/>
            <w:shd w:val="clear" w:color="auto" w:fill="CCFFCC"/>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63"/>
        </w:trPr>
        <w:tc>
          <w:tcPr>
            <w:tcW w:w="3660" w:type="dxa"/>
            <w:vAlign w:val="bottom"/>
            <w:tcBorders>
              <w:bottom w:val="single" w:sz="8" w:color="CCFFCC"/>
            </w:tcBorders>
          </w:tcPr>
          <w:p>
            <w:pPr>
              <w:spacing w:after="0"/>
              <w:rPr>
                <w:sz w:val="20"/>
                <w:szCs w:val="20"/>
                <w:color w:val="auto"/>
              </w:rPr>
            </w:pPr>
            <w:r>
              <w:rPr>
                <w:rFonts w:ascii="Arial" w:cs="Arial" w:eastAsia="Arial" w:hAnsi="Arial"/>
                <w:sz w:val="18"/>
                <w:szCs w:val="18"/>
                <w:b w:val="1"/>
                <w:bCs w:val="1"/>
                <w:color w:val="auto"/>
              </w:rPr>
              <w:t>Net loss:</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(1,872</w:t>
            </w:r>
          </w:p>
        </w:tc>
        <w:tc>
          <w:tcPr>
            <w:tcW w:w="340" w:type="dxa"/>
            <w:vAlign w:val="bottom"/>
            <w:tcBorders>
              <w:bottom w:val="single" w:sz="8" w:color="CCFFCC"/>
            </w:tcBorders>
          </w:tcPr>
          <w:p>
            <w:pPr>
              <w:jc w:val="right"/>
              <w:ind w:right="200"/>
              <w:spacing w:after="0"/>
              <w:rPr>
                <w:sz w:val="20"/>
                <w:szCs w:val="20"/>
                <w:color w:val="auto"/>
              </w:rPr>
            </w:pPr>
            <w:r>
              <w:rPr>
                <w:rFonts w:ascii="Arial" w:cs="Arial" w:eastAsia="Arial" w:hAnsi="Arial"/>
                <w:sz w:val="16"/>
                <w:szCs w:val="16"/>
                <w:b w:val="1"/>
                <w:bCs w:val="1"/>
                <w:color w:val="auto"/>
                <w:w w:val="74"/>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(5,644</w:t>
            </w:r>
          </w:p>
        </w:tc>
        <w:tc>
          <w:tcPr>
            <w:tcW w:w="340" w:type="dxa"/>
            <w:vAlign w:val="bottom"/>
            <w:tcBorders>
              <w:bottom w:val="single" w:sz="8" w:color="CCFFCC"/>
            </w:tcBorders>
          </w:tcPr>
          <w:p>
            <w:pPr>
              <w:jc w:val="right"/>
              <w:ind w:right="200"/>
              <w:spacing w:after="0"/>
              <w:rPr>
                <w:sz w:val="20"/>
                <w:szCs w:val="20"/>
                <w:color w:val="auto"/>
              </w:rPr>
            </w:pPr>
            <w:r>
              <w:rPr>
                <w:rFonts w:ascii="Arial" w:cs="Arial" w:eastAsia="Arial" w:hAnsi="Arial"/>
                <w:sz w:val="16"/>
                <w:szCs w:val="16"/>
                <w:b w:val="1"/>
                <w:bCs w:val="1"/>
                <w:color w:val="auto"/>
                <w:w w:val="74"/>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(454</w:t>
            </w:r>
          </w:p>
        </w:tc>
        <w:tc>
          <w:tcPr>
            <w:tcW w:w="400" w:type="dxa"/>
            <w:vAlign w:val="bottom"/>
            <w:tcBorders>
              <w:bottom w:val="single" w:sz="8" w:color="CCFFCC"/>
            </w:tcBorders>
          </w:tcPr>
          <w:p>
            <w:pPr>
              <w:jc w:val="right"/>
              <w:ind w:right="260"/>
              <w:spacing w:after="0"/>
              <w:rPr>
                <w:sz w:val="20"/>
                <w:szCs w:val="20"/>
                <w:color w:val="auto"/>
              </w:rPr>
            </w:pPr>
            <w:r>
              <w:rPr>
                <w:rFonts w:ascii="Arial" w:cs="Arial" w:eastAsia="Arial" w:hAnsi="Arial"/>
                <w:sz w:val="16"/>
                <w:szCs w:val="16"/>
                <w:b w:val="1"/>
                <w:bCs w:val="1"/>
                <w:color w:val="auto"/>
                <w:w w:val="74"/>
              </w:rPr>
              <w:t>)</w:t>
            </w:r>
          </w:p>
        </w:tc>
        <w:tc>
          <w:tcPr>
            <w:tcW w:w="1480" w:type="dxa"/>
            <w:vAlign w:val="bottom"/>
            <w:tcBorders>
              <w:bottom w:val="single" w:sz="8" w:color="CCFFCC"/>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(7,970</w:t>
            </w:r>
          </w:p>
        </w:tc>
        <w:tc>
          <w:tcPr>
            <w:tcW w:w="100" w:type="dxa"/>
            <w:vAlign w:val="bottom"/>
            <w:tcBorders>
              <w:bottom w:val="single" w:sz="8" w:color="CCFFCC"/>
            </w:tcBorders>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197"/>
        </w:trPr>
        <w:tc>
          <w:tcPr>
            <w:tcW w:w="3660" w:type="dxa"/>
            <w:vAlign w:val="bottom"/>
            <w:tcBorders>
              <w:bottom w:val="single" w:sz="8" w:color="CCFFCC"/>
            </w:tcBorders>
            <w:shd w:val="clear" w:color="auto" w:fill="CCFFCC"/>
          </w:tcPr>
          <w:p>
            <w:pPr>
              <w:spacing w:after="0" w:line="190" w:lineRule="exact"/>
              <w:rPr>
                <w:sz w:val="20"/>
                <w:szCs w:val="20"/>
                <w:color w:val="auto"/>
              </w:rPr>
            </w:pPr>
            <w:r>
              <w:rPr>
                <w:rFonts w:ascii="Arial" w:cs="Arial" w:eastAsia="Arial" w:hAnsi="Arial"/>
                <w:sz w:val="18"/>
                <w:szCs w:val="18"/>
                <w:color w:val="auto"/>
              </w:rPr>
              <w:t>Basic and diluted net loss per common share</w:t>
            </w:r>
          </w:p>
        </w:tc>
        <w:tc>
          <w:tcPr>
            <w:tcW w:w="1320" w:type="dxa"/>
            <w:vAlign w:val="bottom"/>
            <w:tcBorders>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b w:val="1"/>
                <w:bCs w:val="1"/>
                <w:color w:val="auto"/>
              </w:rPr>
              <w:t>(0.43</w:t>
            </w:r>
          </w:p>
        </w:tc>
        <w:tc>
          <w:tcPr>
            <w:tcW w:w="340" w:type="dxa"/>
            <w:vAlign w:val="bottom"/>
            <w:tcBorders>
              <w:bottom w:val="single" w:sz="8" w:color="CCFFCC"/>
            </w:tcBorders>
            <w:shd w:val="clear" w:color="auto" w:fill="CCFFCC"/>
          </w:tcPr>
          <w:p>
            <w:pPr>
              <w:jc w:val="right"/>
              <w:ind w:right="200"/>
              <w:spacing w:after="0"/>
              <w:rPr>
                <w:sz w:val="20"/>
                <w:szCs w:val="20"/>
                <w:color w:val="auto"/>
              </w:rPr>
            </w:pPr>
            <w:r>
              <w:rPr>
                <w:rFonts w:ascii="Arial" w:cs="Arial" w:eastAsia="Arial" w:hAnsi="Arial"/>
                <w:sz w:val="16"/>
                <w:szCs w:val="16"/>
                <w:b w:val="1"/>
                <w:bCs w:val="1"/>
                <w:color w:val="auto"/>
                <w:w w:val="74"/>
              </w:rPr>
              <w:t>)</w:t>
            </w:r>
          </w:p>
        </w:tc>
        <w:tc>
          <w:tcPr>
            <w:tcW w:w="1280" w:type="dxa"/>
            <w:vAlign w:val="bottom"/>
            <w:tcBorders>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b w:val="1"/>
                <w:bCs w:val="1"/>
                <w:color w:val="auto"/>
              </w:rPr>
              <w:t>(0.46</w:t>
            </w:r>
          </w:p>
        </w:tc>
        <w:tc>
          <w:tcPr>
            <w:tcW w:w="340" w:type="dxa"/>
            <w:vAlign w:val="bottom"/>
            <w:tcBorders>
              <w:bottom w:val="single" w:sz="8" w:color="CCFFCC"/>
            </w:tcBorders>
            <w:shd w:val="clear" w:color="auto" w:fill="CCFFCC"/>
          </w:tcPr>
          <w:p>
            <w:pPr>
              <w:jc w:val="right"/>
              <w:ind w:right="200"/>
              <w:spacing w:after="0"/>
              <w:rPr>
                <w:sz w:val="20"/>
                <w:szCs w:val="20"/>
                <w:color w:val="auto"/>
              </w:rPr>
            </w:pPr>
            <w:r>
              <w:rPr>
                <w:rFonts w:ascii="Arial" w:cs="Arial" w:eastAsia="Arial" w:hAnsi="Arial"/>
                <w:sz w:val="16"/>
                <w:szCs w:val="16"/>
                <w:b w:val="1"/>
                <w:bCs w:val="1"/>
                <w:color w:val="auto"/>
                <w:w w:val="74"/>
              </w:rPr>
              <w:t>)</w:t>
            </w:r>
          </w:p>
        </w:tc>
        <w:tc>
          <w:tcPr>
            <w:tcW w:w="1240" w:type="dxa"/>
            <w:vAlign w:val="bottom"/>
            <w:tcBorders>
              <w:bottom w:val="single" w:sz="8" w:color="auto"/>
            </w:tcBorders>
            <w:shd w:val="clear" w:color="auto" w:fill="CCFFCC"/>
          </w:tcPr>
          <w:p>
            <w:pPr>
              <w:spacing w:after="0"/>
              <w:rPr>
                <w:sz w:val="17"/>
                <w:szCs w:val="17"/>
                <w:color w:val="auto"/>
              </w:rPr>
            </w:pPr>
          </w:p>
        </w:tc>
        <w:tc>
          <w:tcPr>
            <w:tcW w:w="400" w:type="dxa"/>
            <w:vAlign w:val="bottom"/>
            <w:tcBorders>
              <w:bottom w:val="single" w:sz="8" w:color="CCFFCC"/>
            </w:tcBorders>
            <w:shd w:val="clear" w:color="auto" w:fill="CCFFCC"/>
          </w:tcPr>
          <w:p>
            <w:pPr>
              <w:spacing w:after="0"/>
              <w:rPr>
                <w:sz w:val="17"/>
                <w:szCs w:val="17"/>
                <w:color w:val="auto"/>
              </w:rPr>
            </w:pPr>
          </w:p>
        </w:tc>
        <w:tc>
          <w:tcPr>
            <w:tcW w:w="1480" w:type="dxa"/>
            <w:vAlign w:val="bottom"/>
            <w:tcBorders>
              <w:bottom w:val="single" w:sz="8" w:color="CCFFCC"/>
            </w:tcBorders>
            <w:shd w:val="clear" w:color="auto" w:fill="CCFFCC"/>
          </w:tcPr>
          <w:p>
            <w:pPr>
              <w:jc w:val="right"/>
              <w:ind w:right="750"/>
              <w:spacing w:after="0" w:line="196" w:lineRule="exact"/>
              <w:rPr>
                <w:sz w:val="20"/>
                <w:szCs w:val="20"/>
                <w:color w:val="auto"/>
              </w:rPr>
            </w:pPr>
            <w:r>
              <w:rPr>
                <w:rFonts w:ascii="Arial" w:cs="Arial" w:eastAsia="Arial" w:hAnsi="Arial"/>
                <w:sz w:val="18"/>
                <w:szCs w:val="18"/>
                <w:color w:val="auto"/>
              </w:rPr>
              <w:t>3</w:t>
            </w:r>
          </w:p>
        </w:tc>
        <w:tc>
          <w:tcPr>
            <w:tcW w:w="1260" w:type="dxa"/>
            <w:vAlign w:val="bottom"/>
            <w:tcBorders>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b w:val="1"/>
                <w:bCs w:val="1"/>
                <w:color w:val="auto"/>
              </w:rPr>
              <w:t>(0.26</w:t>
            </w:r>
          </w:p>
        </w:tc>
        <w:tc>
          <w:tcPr>
            <w:tcW w:w="1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3660" w:type="dxa"/>
            <w:vAlign w:val="bottom"/>
            <w:vMerge w:val="restart"/>
          </w:tcPr>
          <w:p>
            <w:pPr>
              <w:spacing w:after="0" w:line="195" w:lineRule="exact"/>
              <w:rPr>
                <w:sz w:val="20"/>
                <w:szCs w:val="20"/>
                <w:color w:val="auto"/>
              </w:rPr>
            </w:pPr>
            <w:r>
              <w:rPr>
                <w:rFonts w:ascii="Arial" w:cs="Arial" w:eastAsia="Arial" w:hAnsi="Arial"/>
                <w:sz w:val="18"/>
                <w:szCs w:val="18"/>
                <w:color w:val="auto"/>
              </w:rPr>
              <w:t>Weighted average shares used in computing</w:t>
            </w:r>
          </w:p>
        </w:tc>
        <w:tc>
          <w:tcPr>
            <w:tcW w:w="13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660" w:type="dxa"/>
            <w:vAlign w:val="bottom"/>
            <w:vMerge w:val="continue"/>
          </w:tcPr>
          <w:p>
            <w:pPr>
              <w:spacing w:after="0"/>
              <w:rPr>
                <w:sz w:val="13"/>
                <w:szCs w:val="13"/>
                <w:color w:val="auto"/>
              </w:rPr>
            </w:pPr>
          </w:p>
        </w:tc>
        <w:tc>
          <w:tcPr>
            <w:tcW w:w="1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3660" w:type="dxa"/>
            <w:vAlign w:val="bottom"/>
          </w:tcPr>
          <w:p>
            <w:pPr>
              <w:ind w:left="180"/>
              <w:spacing w:after="0"/>
              <w:rPr>
                <w:sz w:val="20"/>
                <w:szCs w:val="20"/>
                <w:color w:val="auto"/>
              </w:rPr>
            </w:pPr>
            <w:r>
              <w:rPr>
                <w:rFonts w:ascii="Arial" w:cs="Arial" w:eastAsia="Arial" w:hAnsi="Arial"/>
                <w:sz w:val="18"/>
                <w:szCs w:val="18"/>
                <w:color w:val="auto"/>
                <w:w w:val="96"/>
              </w:rPr>
              <w:t>basic and diluted net loss per common share</w:t>
            </w:r>
          </w:p>
        </w:tc>
        <w:tc>
          <w:tcPr>
            <w:tcW w:w="16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4,635,117</w:t>
            </w:r>
          </w:p>
        </w:tc>
        <w:tc>
          <w:tcPr>
            <w:tcW w:w="16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12,371,472</w:t>
            </w:r>
          </w:p>
        </w:tc>
        <w:tc>
          <w:tcPr>
            <w:tcW w:w="12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80" w:type="dxa"/>
            <w:vAlign w:val="bottom"/>
          </w:tcPr>
          <w:p>
            <w:pPr>
              <w:jc w:val="right"/>
              <w:ind w:right="750"/>
              <w:spacing w:after="0"/>
              <w:rPr>
                <w:sz w:val="20"/>
                <w:szCs w:val="20"/>
                <w:color w:val="auto"/>
              </w:rPr>
            </w:pPr>
            <w:r>
              <w:rPr>
                <w:rFonts w:ascii="Arial" w:cs="Arial" w:eastAsia="Arial" w:hAnsi="Arial"/>
                <w:sz w:val="18"/>
                <w:szCs w:val="18"/>
                <w:color w:val="auto"/>
              </w:rPr>
              <w:t>3</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30,484,641</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36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rPr>
              <w:t>4</w:t>
            </w:r>
          </w:p>
        </w:tc>
        <w:tc>
          <w:tcPr>
            <w:tcW w:w="3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00" w:type="dxa"/>
            <w:vAlign w:val="bottom"/>
            <w:gridSpan w:val="4"/>
          </w:tcPr>
          <w:p>
            <w:pPr>
              <w:spacing w:after="0"/>
              <w:rPr>
                <w:sz w:val="20"/>
                <w:szCs w:val="20"/>
                <w:color w:val="auto"/>
              </w:rPr>
            </w:pPr>
            <w:r>
              <w:rPr>
                <w:rFonts w:ascii="Arial" w:cs="Arial" w:eastAsia="Arial" w:hAnsi="Arial"/>
                <w:sz w:val="18"/>
                <w:szCs w:val="18"/>
                <w:b w:val="1"/>
                <w:bCs w:val="1"/>
                <w:color w:val="auto"/>
                <w:w w:val="89"/>
              </w:rPr>
              <w:t>Unaudited Pro Forma Consolidated Balance Sheets, as of March 31, 2012:</w:t>
            </w: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3660" w:type="dxa"/>
            <w:vAlign w:val="bottom"/>
          </w:tcPr>
          <w:p>
            <w:pPr>
              <w:spacing w:after="0"/>
              <w:rPr>
                <w:sz w:val="24"/>
                <w:szCs w:val="24"/>
                <w:color w:val="auto"/>
              </w:rPr>
            </w:pPr>
          </w:p>
        </w:tc>
        <w:tc>
          <w:tcPr>
            <w:tcW w:w="2040" w:type="dxa"/>
            <w:vAlign w:val="bottom"/>
            <w:tcBorders>
              <w:bottom w:val="single" w:sz="8" w:color="auto"/>
            </w:tcBorders>
            <w:gridSpan w:val="3"/>
          </w:tcPr>
          <w:p>
            <w:pPr>
              <w:ind w:left="1100"/>
              <w:spacing w:after="0"/>
              <w:rPr>
                <w:sz w:val="20"/>
                <w:szCs w:val="20"/>
                <w:color w:val="auto"/>
              </w:rPr>
            </w:pPr>
            <w:r>
              <w:rPr>
                <w:rFonts w:ascii="Arial" w:cs="Arial" w:eastAsia="Arial" w:hAnsi="Arial"/>
                <w:sz w:val="18"/>
                <w:szCs w:val="18"/>
                <w:b w:val="1"/>
                <w:bCs w:val="1"/>
                <w:color w:val="auto"/>
              </w:rPr>
              <w:t>Historical</w:t>
            </w: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40" w:type="dxa"/>
            <w:vAlign w:val="bottom"/>
            <w:gridSpan w:val="2"/>
            <w:vMerge w:val="restart"/>
          </w:tcPr>
          <w:p>
            <w:pPr>
              <w:jc w:val="right"/>
              <w:ind w:right="600"/>
              <w:spacing w:after="0"/>
              <w:rPr>
                <w:sz w:val="20"/>
                <w:szCs w:val="20"/>
                <w:color w:val="auto"/>
              </w:rPr>
            </w:pPr>
            <w:r>
              <w:rPr>
                <w:rFonts w:ascii="Arial" w:cs="Arial" w:eastAsia="Arial" w:hAnsi="Arial"/>
                <w:sz w:val="18"/>
                <w:szCs w:val="18"/>
                <w:b w:val="1"/>
                <w:bCs w:val="1"/>
                <w:color w:val="auto"/>
              </w:rPr>
              <w:t>Pro Forma</w:t>
            </w:r>
          </w:p>
        </w:tc>
        <w:tc>
          <w:tcPr>
            <w:tcW w:w="1480" w:type="dxa"/>
            <w:vAlign w:val="bottom"/>
          </w:tcPr>
          <w:p>
            <w:pPr>
              <w:spacing w:after="0"/>
              <w:rPr>
                <w:sz w:val="24"/>
                <w:szCs w:val="24"/>
                <w:color w:val="auto"/>
              </w:rPr>
            </w:pPr>
          </w:p>
        </w:tc>
        <w:tc>
          <w:tcPr>
            <w:tcW w:w="1360" w:type="dxa"/>
            <w:vAlign w:val="bottom"/>
            <w:gridSpan w:val="3"/>
            <w:vMerge w:val="restart"/>
          </w:tcPr>
          <w:p>
            <w:pPr>
              <w:jc w:val="right"/>
              <w:ind w:right="300"/>
              <w:spacing w:after="0"/>
              <w:rPr>
                <w:sz w:val="20"/>
                <w:szCs w:val="20"/>
                <w:color w:val="auto"/>
              </w:rPr>
            </w:pPr>
            <w:r>
              <w:rPr>
                <w:rFonts w:ascii="Arial" w:cs="Arial" w:eastAsia="Arial" w:hAnsi="Arial"/>
                <w:sz w:val="18"/>
                <w:szCs w:val="18"/>
                <w:b w:val="1"/>
                <w:bCs w:val="1"/>
                <w:color w:val="auto"/>
              </w:rPr>
              <w:t>Pro Forma</w:t>
            </w:r>
          </w:p>
        </w:tc>
        <w:tc>
          <w:tcPr>
            <w:tcW w:w="0" w:type="dxa"/>
            <w:vAlign w:val="bottom"/>
          </w:tcPr>
          <w:p>
            <w:pPr>
              <w:spacing w:after="0"/>
              <w:rPr>
                <w:sz w:val="1"/>
                <w:szCs w:val="1"/>
                <w:color w:val="auto"/>
              </w:rPr>
            </w:pPr>
          </w:p>
        </w:tc>
      </w:tr>
      <w:tr>
        <w:trPr>
          <w:trHeight w:val="178"/>
        </w:trPr>
        <w:tc>
          <w:tcPr>
            <w:tcW w:w="36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40" w:type="dxa"/>
            <w:vAlign w:val="bottom"/>
            <w:gridSpan w:val="2"/>
            <w:vMerge w:val="continue"/>
          </w:tcPr>
          <w:p>
            <w:pPr>
              <w:spacing w:after="0"/>
              <w:rPr>
                <w:sz w:val="15"/>
                <w:szCs w:val="15"/>
                <w:color w:val="auto"/>
              </w:rPr>
            </w:pPr>
          </w:p>
        </w:tc>
        <w:tc>
          <w:tcPr>
            <w:tcW w:w="1480" w:type="dxa"/>
            <w:vAlign w:val="bottom"/>
          </w:tcPr>
          <w:p>
            <w:pPr>
              <w:spacing w:after="0"/>
              <w:rPr>
                <w:sz w:val="15"/>
                <w:szCs w:val="15"/>
                <w:color w:val="auto"/>
              </w:rPr>
            </w:pPr>
          </w:p>
        </w:tc>
        <w:tc>
          <w:tcPr>
            <w:tcW w:w="136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660" w:type="dxa"/>
            <w:vAlign w:val="bottom"/>
          </w:tcPr>
          <w:p>
            <w:pPr>
              <w:spacing w:after="0"/>
              <w:rPr>
                <w:sz w:val="20"/>
                <w:szCs w:val="20"/>
                <w:color w:val="auto"/>
              </w:rPr>
            </w:pPr>
          </w:p>
        </w:tc>
        <w:tc>
          <w:tcPr>
            <w:tcW w:w="2040" w:type="dxa"/>
            <w:vAlign w:val="bottom"/>
            <w:gridSpan w:val="3"/>
          </w:tcPr>
          <w:p>
            <w:pPr>
              <w:ind w:left="20"/>
              <w:spacing w:after="0"/>
              <w:rPr>
                <w:sz w:val="20"/>
                <w:szCs w:val="20"/>
                <w:color w:val="auto"/>
              </w:rPr>
            </w:pPr>
            <w:r>
              <w:rPr>
                <w:rFonts w:ascii="Arial" w:cs="Arial" w:eastAsia="Arial" w:hAnsi="Arial"/>
                <w:sz w:val="18"/>
                <w:szCs w:val="18"/>
                <w:b w:val="1"/>
                <w:bCs w:val="1"/>
                <w:color w:val="auto"/>
              </w:rPr>
              <w:t>Innovate/Protect</w:t>
            </w:r>
          </w:p>
        </w:tc>
        <w:tc>
          <w:tcPr>
            <w:tcW w:w="10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87"/>
              </w:rPr>
              <w:t>Vringo</w:t>
            </w:r>
          </w:p>
        </w:tc>
        <w:tc>
          <w:tcPr>
            <w:tcW w:w="220" w:type="dxa"/>
            <w:vAlign w:val="bottom"/>
          </w:tcPr>
          <w:p>
            <w:pPr>
              <w:spacing w:after="0"/>
              <w:rPr>
                <w:sz w:val="20"/>
                <w:szCs w:val="20"/>
                <w:color w:val="auto"/>
              </w:rPr>
            </w:pPr>
          </w:p>
        </w:tc>
        <w:tc>
          <w:tcPr>
            <w:tcW w:w="164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w w:val="99"/>
              </w:rPr>
              <w:t>adjustments</w:t>
            </w:r>
          </w:p>
        </w:tc>
        <w:tc>
          <w:tcPr>
            <w:tcW w:w="1480" w:type="dxa"/>
            <w:vAlign w:val="bottom"/>
          </w:tcPr>
          <w:p>
            <w:pPr>
              <w:ind w:left="320"/>
              <w:spacing w:after="0"/>
              <w:rPr>
                <w:sz w:val="20"/>
                <w:szCs w:val="20"/>
                <w:color w:val="auto"/>
              </w:rPr>
            </w:pPr>
            <w:r>
              <w:rPr>
                <w:rFonts w:ascii="Arial" w:cs="Arial" w:eastAsia="Arial" w:hAnsi="Arial"/>
                <w:sz w:val="18"/>
                <w:szCs w:val="18"/>
                <w:b w:val="1"/>
                <w:bCs w:val="1"/>
                <w:color w:val="auto"/>
              </w:rPr>
              <w:t>Notes</w:t>
            </w:r>
          </w:p>
        </w:tc>
        <w:tc>
          <w:tcPr>
            <w:tcW w:w="136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9"/>
              </w:rPr>
              <w:t>consolidated</w:t>
            </w:r>
          </w:p>
        </w:tc>
        <w:tc>
          <w:tcPr>
            <w:tcW w:w="0" w:type="dxa"/>
            <w:vAlign w:val="bottom"/>
          </w:tcPr>
          <w:p>
            <w:pPr>
              <w:spacing w:after="0"/>
              <w:rPr>
                <w:sz w:val="1"/>
                <w:szCs w:val="1"/>
                <w:color w:val="auto"/>
              </w:rPr>
            </w:pPr>
          </w:p>
        </w:tc>
      </w:tr>
      <w:tr>
        <w:trPr>
          <w:trHeight w:val="210"/>
        </w:trPr>
        <w:tc>
          <w:tcPr>
            <w:tcW w:w="3660" w:type="dxa"/>
            <w:vAlign w:val="bottom"/>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860" w:type="dxa"/>
            <w:vAlign w:val="bottom"/>
            <w:tcBorders>
              <w:top w:val="single" w:sz="8" w:color="auto"/>
            </w:tcBorders>
            <w:gridSpan w:val="3"/>
          </w:tcPr>
          <w:p>
            <w:pPr>
              <w:jc w:val="right"/>
              <w:ind w:right="360"/>
              <w:spacing w:after="0"/>
              <w:rPr>
                <w:sz w:val="20"/>
                <w:szCs w:val="20"/>
                <w:color w:val="auto"/>
              </w:rPr>
            </w:pPr>
            <w:r>
              <w:rPr>
                <w:rFonts w:ascii="Arial" w:cs="Arial" w:eastAsia="Arial" w:hAnsi="Arial"/>
                <w:sz w:val="18"/>
                <w:szCs w:val="18"/>
                <w:b w:val="1"/>
                <w:bCs w:val="1"/>
                <w:color w:val="auto"/>
                <w:w w:val="91"/>
              </w:rPr>
              <w:t>($ — in thousands)</w:t>
            </w:r>
          </w:p>
        </w:tc>
        <w:tc>
          <w:tcPr>
            <w:tcW w:w="14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Assets:</w:t>
            </w:r>
          </w:p>
        </w:tc>
        <w:tc>
          <w:tcPr>
            <w:tcW w:w="132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148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FFCC"/>
          </w:tcPr>
          <w:p>
            <w:pPr>
              <w:ind w:left="180"/>
              <w:spacing w:after="0"/>
              <w:rPr>
                <w:sz w:val="20"/>
                <w:szCs w:val="20"/>
                <w:color w:val="auto"/>
              </w:rPr>
            </w:pPr>
            <w:r>
              <w:rPr>
                <w:rFonts w:ascii="Arial" w:cs="Arial" w:eastAsia="Arial" w:hAnsi="Arial"/>
                <w:sz w:val="18"/>
                <w:szCs w:val="18"/>
                <w:color w:val="auto"/>
              </w:rPr>
              <w:t>Cash and cash equivalents</w:t>
            </w:r>
          </w:p>
        </w:tc>
        <w:tc>
          <w:tcPr>
            <w:tcW w:w="1660" w:type="dxa"/>
            <w:vAlign w:val="bottom"/>
            <w:gridSpan w:val="2"/>
            <w:shd w:val="clear" w:color="auto" w:fill="CCFFCC"/>
          </w:tcPr>
          <w:p>
            <w:pPr>
              <w:jc w:val="right"/>
              <w:ind w:right="340"/>
              <w:spacing w:after="0"/>
              <w:rPr>
                <w:sz w:val="20"/>
                <w:szCs w:val="20"/>
                <w:color w:val="auto"/>
              </w:rPr>
            </w:pPr>
            <w:r>
              <w:rPr>
                <w:rFonts w:ascii="Arial" w:cs="Arial" w:eastAsia="Arial" w:hAnsi="Arial"/>
                <w:sz w:val="18"/>
                <w:szCs w:val="18"/>
                <w:b w:val="1"/>
                <w:bCs w:val="1"/>
                <w:color w:val="auto"/>
              </w:rPr>
              <w:t>3,980</w:t>
            </w:r>
          </w:p>
        </w:tc>
        <w:tc>
          <w:tcPr>
            <w:tcW w:w="38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3,630</w:t>
            </w:r>
          </w:p>
        </w:tc>
        <w:tc>
          <w:tcPr>
            <w:tcW w:w="220" w:type="dxa"/>
            <w:vAlign w:val="bottom"/>
            <w:shd w:val="clear" w:color="auto" w:fill="CCFFCC"/>
          </w:tcPr>
          <w:p>
            <w:pPr>
              <w:spacing w:after="0"/>
              <w:rPr>
                <w:sz w:val="18"/>
                <w:szCs w:val="18"/>
                <w:color w:val="auto"/>
              </w:rPr>
            </w:pPr>
          </w:p>
        </w:tc>
        <w:tc>
          <w:tcPr>
            <w:tcW w:w="1640" w:type="dxa"/>
            <w:vAlign w:val="bottom"/>
            <w:gridSpan w:val="2"/>
            <w:shd w:val="clear" w:color="auto" w:fill="CCFFCC"/>
          </w:tcPr>
          <w:p>
            <w:pPr>
              <w:jc w:val="right"/>
              <w:ind w:right="400"/>
              <w:spacing w:after="0"/>
              <w:rPr>
                <w:sz w:val="20"/>
                <w:szCs w:val="20"/>
                <w:color w:val="auto"/>
              </w:rPr>
            </w:pPr>
            <w:r>
              <w:rPr>
                <w:rFonts w:ascii="Arial" w:cs="Arial" w:eastAsia="Arial" w:hAnsi="Arial"/>
                <w:sz w:val="18"/>
                <w:szCs w:val="18"/>
                <w:b w:val="1"/>
                <w:bCs w:val="1"/>
                <w:color w:val="auto"/>
              </w:rPr>
              <w:t>—</w:t>
            </w:r>
          </w:p>
        </w:tc>
        <w:tc>
          <w:tcPr>
            <w:tcW w:w="148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7,610</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ind w:left="180"/>
              <w:spacing w:after="0"/>
              <w:rPr>
                <w:sz w:val="20"/>
                <w:szCs w:val="20"/>
                <w:color w:val="auto"/>
              </w:rPr>
            </w:pPr>
            <w:r>
              <w:rPr>
                <w:rFonts w:ascii="Arial" w:cs="Arial" w:eastAsia="Arial" w:hAnsi="Arial"/>
                <w:sz w:val="18"/>
                <w:szCs w:val="18"/>
                <w:color w:val="auto"/>
              </w:rPr>
              <w:t>Accounts receivable</w:t>
            </w:r>
          </w:p>
        </w:tc>
        <w:tc>
          <w:tcPr>
            <w:tcW w:w="2040" w:type="dxa"/>
            <w:vAlign w:val="bottom"/>
            <w:gridSpan w:val="3"/>
          </w:tcPr>
          <w:p>
            <w:pPr>
              <w:jc w:val="right"/>
              <w:ind w:right="72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152</w:t>
            </w:r>
          </w:p>
        </w:tc>
        <w:tc>
          <w:tcPr>
            <w:tcW w:w="220" w:type="dxa"/>
            <w:vAlign w:val="bottom"/>
          </w:tcPr>
          <w:p>
            <w:pPr>
              <w:spacing w:after="0"/>
              <w:rPr>
                <w:sz w:val="18"/>
                <w:szCs w:val="18"/>
                <w:color w:val="auto"/>
              </w:rPr>
            </w:pPr>
          </w:p>
        </w:tc>
        <w:tc>
          <w:tcPr>
            <w:tcW w:w="16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w:t>
            </w:r>
          </w:p>
        </w:tc>
        <w:tc>
          <w:tcPr>
            <w:tcW w:w="148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152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60" w:type="dxa"/>
            <w:vAlign w:val="bottom"/>
            <w:shd w:val="clear" w:color="auto" w:fill="CCFFCC"/>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1660" w:type="dxa"/>
            <w:vAlign w:val="bottom"/>
            <w:gridSpan w:val="2"/>
            <w:shd w:val="clear" w:color="auto" w:fill="CCFFCC"/>
          </w:tcPr>
          <w:p>
            <w:pPr>
              <w:jc w:val="right"/>
              <w:ind w:right="340"/>
              <w:spacing w:after="0"/>
              <w:rPr>
                <w:sz w:val="20"/>
                <w:szCs w:val="20"/>
                <w:color w:val="auto"/>
              </w:rPr>
            </w:pPr>
            <w:r>
              <w:rPr>
                <w:rFonts w:ascii="Arial" w:cs="Arial" w:eastAsia="Arial" w:hAnsi="Arial"/>
                <w:sz w:val="18"/>
                <w:szCs w:val="18"/>
                <w:b w:val="1"/>
                <w:bCs w:val="1"/>
                <w:color w:val="auto"/>
              </w:rPr>
              <w:t>40</w:t>
            </w:r>
          </w:p>
        </w:tc>
        <w:tc>
          <w:tcPr>
            <w:tcW w:w="380" w:type="dxa"/>
            <w:vAlign w:val="bottom"/>
            <w:shd w:val="clear" w:color="auto" w:fill="CCFFCC"/>
          </w:tcPr>
          <w:p>
            <w:pPr>
              <w:spacing w:after="0"/>
              <w:rPr>
                <w:sz w:val="19"/>
                <w:szCs w:val="19"/>
                <w:color w:val="auto"/>
              </w:rPr>
            </w:pP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144</w:t>
            </w:r>
          </w:p>
        </w:tc>
        <w:tc>
          <w:tcPr>
            <w:tcW w:w="220" w:type="dxa"/>
            <w:vAlign w:val="bottom"/>
            <w:shd w:val="clear" w:color="auto" w:fill="CCFFCC"/>
          </w:tcPr>
          <w:p>
            <w:pPr>
              <w:spacing w:after="0"/>
              <w:rPr>
                <w:sz w:val="19"/>
                <w:szCs w:val="19"/>
                <w:color w:val="auto"/>
              </w:rPr>
            </w:pPr>
          </w:p>
        </w:tc>
        <w:tc>
          <w:tcPr>
            <w:tcW w:w="1640" w:type="dxa"/>
            <w:vAlign w:val="bottom"/>
            <w:gridSpan w:val="2"/>
            <w:shd w:val="clear" w:color="auto" w:fill="CCFFCC"/>
          </w:tcPr>
          <w:p>
            <w:pPr>
              <w:jc w:val="right"/>
              <w:ind w:right="400"/>
              <w:spacing w:after="0"/>
              <w:rPr>
                <w:sz w:val="20"/>
                <w:szCs w:val="20"/>
                <w:color w:val="auto"/>
              </w:rPr>
            </w:pPr>
            <w:r>
              <w:rPr>
                <w:rFonts w:ascii="Arial" w:cs="Arial" w:eastAsia="Arial" w:hAnsi="Arial"/>
                <w:sz w:val="18"/>
                <w:szCs w:val="18"/>
                <w:b w:val="1"/>
                <w:bCs w:val="1"/>
                <w:color w:val="auto"/>
              </w:rPr>
              <w:t>—</w:t>
            </w:r>
          </w:p>
        </w:tc>
        <w:tc>
          <w:tcPr>
            <w:tcW w:w="1480" w:type="dxa"/>
            <w:vAlign w:val="bottom"/>
            <w:shd w:val="clear" w:color="auto" w:fill="CCFFCC"/>
          </w:tcPr>
          <w:p>
            <w:pPr>
              <w:spacing w:after="0"/>
              <w:rPr>
                <w:sz w:val="19"/>
                <w:szCs w:val="19"/>
                <w:color w:val="auto"/>
              </w:rPr>
            </w:pPr>
          </w:p>
        </w:tc>
        <w:tc>
          <w:tcPr>
            <w:tcW w:w="12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184</w:t>
            </w:r>
          </w:p>
        </w:tc>
        <w:tc>
          <w:tcPr>
            <w:tcW w:w="8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660" w:type="dxa"/>
            <w:vAlign w:val="bottom"/>
          </w:tcPr>
          <w:p>
            <w:pPr>
              <w:spacing w:after="0"/>
              <w:rPr>
                <w:sz w:val="20"/>
                <w:szCs w:val="20"/>
                <w:color w:val="auto"/>
              </w:rPr>
            </w:pPr>
            <w:r>
              <w:rPr>
                <w:rFonts w:ascii="Arial" w:cs="Arial" w:eastAsia="Arial" w:hAnsi="Arial"/>
                <w:sz w:val="18"/>
                <w:szCs w:val="18"/>
                <w:b w:val="1"/>
                <w:bCs w:val="1"/>
                <w:color w:val="auto"/>
              </w:rPr>
              <w:t>Total current assets</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4,020</w:t>
            </w:r>
          </w:p>
        </w:tc>
        <w:tc>
          <w:tcPr>
            <w:tcW w:w="34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3,926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7,946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FFCC"/>
          </w:tcPr>
          <w:p>
            <w:pPr>
              <w:spacing w:after="0"/>
              <w:rPr>
                <w:sz w:val="20"/>
                <w:szCs w:val="20"/>
                <w:color w:val="auto"/>
              </w:rPr>
            </w:pPr>
            <w:r>
              <w:rPr>
                <w:rFonts w:ascii="Arial" w:cs="Arial" w:eastAsia="Arial" w:hAnsi="Arial"/>
                <w:sz w:val="18"/>
                <w:szCs w:val="18"/>
                <w:color w:val="auto"/>
              </w:rPr>
              <w:t>Long-term deposit</w:t>
            </w:r>
          </w:p>
        </w:tc>
        <w:tc>
          <w:tcPr>
            <w:tcW w:w="2040" w:type="dxa"/>
            <w:vAlign w:val="bottom"/>
            <w:gridSpan w:val="3"/>
            <w:shd w:val="clear" w:color="auto" w:fill="CCFFCC"/>
          </w:tcPr>
          <w:p>
            <w:pPr>
              <w:jc w:val="right"/>
              <w:ind w:right="72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8</w:t>
            </w:r>
          </w:p>
        </w:tc>
        <w:tc>
          <w:tcPr>
            <w:tcW w:w="220" w:type="dxa"/>
            <w:vAlign w:val="bottom"/>
            <w:shd w:val="clear" w:color="auto" w:fill="CCFFCC"/>
          </w:tcPr>
          <w:p>
            <w:pPr>
              <w:spacing w:after="0"/>
              <w:rPr>
                <w:sz w:val="18"/>
                <w:szCs w:val="18"/>
                <w:color w:val="auto"/>
              </w:rPr>
            </w:pPr>
          </w:p>
        </w:tc>
        <w:tc>
          <w:tcPr>
            <w:tcW w:w="1640" w:type="dxa"/>
            <w:vAlign w:val="bottom"/>
            <w:gridSpan w:val="2"/>
            <w:shd w:val="clear" w:color="auto" w:fill="CCFFCC"/>
          </w:tcPr>
          <w:p>
            <w:pPr>
              <w:jc w:val="right"/>
              <w:ind w:right="400"/>
              <w:spacing w:after="0"/>
              <w:rPr>
                <w:sz w:val="20"/>
                <w:szCs w:val="20"/>
                <w:color w:val="auto"/>
              </w:rPr>
            </w:pPr>
            <w:r>
              <w:rPr>
                <w:rFonts w:ascii="Arial" w:cs="Arial" w:eastAsia="Arial" w:hAnsi="Arial"/>
                <w:sz w:val="18"/>
                <w:szCs w:val="18"/>
                <w:b w:val="1"/>
                <w:bCs w:val="1"/>
                <w:color w:val="auto"/>
              </w:rPr>
              <w:t>—</w:t>
            </w:r>
          </w:p>
        </w:tc>
        <w:tc>
          <w:tcPr>
            <w:tcW w:w="148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8</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Property and equipment</w:t>
            </w:r>
          </w:p>
        </w:tc>
        <w:tc>
          <w:tcPr>
            <w:tcW w:w="16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12</w:t>
            </w:r>
          </w:p>
        </w:tc>
        <w:tc>
          <w:tcPr>
            <w:tcW w:w="38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133</w:t>
            </w:r>
          </w:p>
        </w:tc>
        <w:tc>
          <w:tcPr>
            <w:tcW w:w="220" w:type="dxa"/>
            <w:vAlign w:val="bottom"/>
          </w:tcPr>
          <w:p>
            <w:pPr>
              <w:spacing w:after="0"/>
              <w:rPr>
                <w:sz w:val="18"/>
                <w:szCs w:val="18"/>
                <w:color w:val="auto"/>
              </w:rPr>
            </w:pPr>
          </w:p>
        </w:tc>
        <w:tc>
          <w:tcPr>
            <w:tcW w:w="16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w:t>
            </w:r>
          </w:p>
        </w:tc>
        <w:tc>
          <w:tcPr>
            <w:tcW w:w="148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145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FFCC"/>
          </w:tcPr>
          <w:p>
            <w:pPr>
              <w:spacing w:after="0"/>
              <w:rPr>
                <w:sz w:val="20"/>
                <w:szCs w:val="20"/>
                <w:color w:val="auto"/>
              </w:rPr>
            </w:pPr>
            <w:r>
              <w:rPr>
                <w:rFonts w:ascii="Arial" w:cs="Arial" w:eastAsia="Arial" w:hAnsi="Arial"/>
                <w:sz w:val="18"/>
                <w:szCs w:val="18"/>
                <w:color w:val="auto"/>
              </w:rPr>
              <w:t>Intangible assets, net</w:t>
            </w:r>
          </w:p>
        </w:tc>
        <w:tc>
          <w:tcPr>
            <w:tcW w:w="1660" w:type="dxa"/>
            <w:vAlign w:val="bottom"/>
            <w:gridSpan w:val="2"/>
            <w:shd w:val="clear" w:color="auto" w:fill="CCFFCC"/>
          </w:tcPr>
          <w:p>
            <w:pPr>
              <w:jc w:val="right"/>
              <w:ind w:right="340"/>
              <w:spacing w:after="0"/>
              <w:rPr>
                <w:sz w:val="20"/>
                <w:szCs w:val="20"/>
                <w:color w:val="auto"/>
              </w:rPr>
            </w:pPr>
            <w:r>
              <w:rPr>
                <w:rFonts w:ascii="Arial" w:cs="Arial" w:eastAsia="Arial" w:hAnsi="Arial"/>
                <w:sz w:val="18"/>
                <w:szCs w:val="18"/>
                <w:b w:val="1"/>
                <w:bCs w:val="1"/>
                <w:color w:val="auto"/>
              </w:rPr>
              <w:t>2,912</w:t>
            </w:r>
          </w:p>
        </w:tc>
        <w:tc>
          <w:tcPr>
            <w:tcW w:w="38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FFCC"/>
          </w:tcPr>
          <w:p>
            <w:pPr>
              <w:spacing w:after="0"/>
              <w:rPr>
                <w:sz w:val="18"/>
                <w:szCs w:val="18"/>
                <w:color w:val="auto"/>
              </w:rPr>
            </w:pPr>
          </w:p>
        </w:tc>
        <w:tc>
          <w:tcPr>
            <w:tcW w:w="1640" w:type="dxa"/>
            <w:vAlign w:val="bottom"/>
            <w:gridSpan w:val="2"/>
            <w:shd w:val="clear" w:color="auto" w:fill="CCFFCC"/>
          </w:tcPr>
          <w:p>
            <w:pPr>
              <w:jc w:val="right"/>
              <w:ind w:right="400"/>
              <w:spacing w:after="0"/>
              <w:rPr>
                <w:sz w:val="20"/>
                <w:szCs w:val="20"/>
                <w:color w:val="auto"/>
              </w:rPr>
            </w:pPr>
            <w:r>
              <w:rPr>
                <w:rFonts w:ascii="Arial" w:cs="Arial" w:eastAsia="Arial" w:hAnsi="Arial"/>
                <w:sz w:val="18"/>
                <w:szCs w:val="18"/>
                <w:b w:val="1"/>
                <w:bCs w:val="1"/>
                <w:color w:val="auto"/>
              </w:rPr>
              <w:t>—</w:t>
            </w:r>
          </w:p>
        </w:tc>
        <w:tc>
          <w:tcPr>
            <w:tcW w:w="148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2,912</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Technology</w:t>
            </w:r>
          </w:p>
        </w:tc>
        <w:tc>
          <w:tcPr>
            <w:tcW w:w="2040" w:type="dxa"/>
            <w:vAlign w:val="bottom"/>
            <w:gridSpan w:val="3"/>
          </w:tcPr>
          <w:p>
            <w:pPr>
              <w:jc w:val="right"/>
              <w:ind w:right="72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1860" w:type="dxa"/>
            <w:vAlign w:val="bottom"/>
            <w:gridSpan w:val="3"/>
          </w:tcPr>
          <w:p>
            <w:pPr>
              <w:jc w:val="right"/>
              <w:ind w:right="400"/>
              <w:spacing w:after="0"/>
              <w:rPr>
                <w:sz w:val="20"/>
                <w:szCs w:val="20"/>
                <w:color w:val="auto"/>
              </w:rPr>
            </w:pPr>
            <w:r>
              <w:rPr>
                <w:rFonts w:ascii="Arial" w:cs="Arial" w:eastAsia="Arial" w:hAnsi="Arial"/>
                <w:sz w:val="18"/>
                <w:szCs w:val="18"/>
                <w:b w:val="1"/>
                <w:bCs w:val="1"/>
                <w:color w:val="auto"/>
              </w:rPr>
              <w:t>10,906</w:t>
            </w:r>
          </w:p>
        </w:tc>
        <w:tc>
          <w:tcPr>
            <w:tcW w:w="1480" w:type="dxa"/>
            <w:vAlign w:val="bottom"/>
          </w:tcPr>
          <w:p>
            <w:pPr>
              <w:jc w:val="center"/>
              <w:ind w:right="19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10,906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60" w:type="dxa"/>
            <w:vAlign w:val="bottom"/>
            <w:shd w:val="clear" w:color="auto" w:fill="CCFFCC"/>
          </w:tcPr>
          <w:p>
            <w:pPr>
              <w:spacing w:after="0"/>
              <w:rPr>
                <w:sz w:val="20"/>
                <w:szCs w:val="20"/>
                <w:color w:val="auto"/>
              </w:rPr>
            </w:pPr>
            <w:r>
              <w:rPr>
                <w:rFonts w:ascii="Arial" w:cs="Arial" w:eastAsia="Arial" w:hAnsi="Arial"/>
                <w:sz w:val="18"/>
                <w:szCs w:val="18"/>
                <w:color w:val="auto"/>
              </w:rPr>
              <w:t>Goodwill</w:t>
            </w:r>
          </w:p>
        </w:tc>
        <w:tc>
          <w:tcPr>
            <w:tcW w:w="2040" w:type="dxa"/>
            <w:vAlign w:val="bottom"/>
            <w:gridSpan w:val="3"/>
            <w:shd w:val="clear" w:color="auto" w:fill="CCFFCC"/>
          </w:tcPr>
          <w:p>
            <w:pPr>
              <w:jc w:val="right"/>
              <w:ind w:right="72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w:t>
            </w:r>
          </w:p>
        </w:tc>
        <w:tc>
          <w:tcPr>
            <w:tcW w:w="1860" w:type="dxa"/>
            <w:vAlign w:val="bottom"/>
            <w:gridSpan w:val="3"/>
            <w:shd w:val="clear" w:color="auto" w:fill="CCFFCC"/>
          </w:tcPr>
          <w:p>
            <w:pPr>
              <w:jc w:val="right"/>
              <w:ind w:right="400"/>
              <w:spacing w:after="0"/>
              <w:rPr>
                <w:sz w:val="20"/>
                <w:szCs w:val="20"/>
                <w:color w:val="auto"/>
              </w:rPr>
            </w:pPr>
            <w:r>
              <w:rPr>
                <w:rFonts w:ascii="Arial" w:cs="Arial" w:eastAsia="Arial" w:hAnsi="Arial"/>
                <w:sz w:val="18"/>
                <w:szCs w:val="18"/>
                <w:b w:val="1"/>
                <w:bCs w:val="1"/>
                <w:color w:val="auto"/>
              </w:rPr>
              <w:t>56,335</w:t>
            </w:r>
          </w:p>
        </w:tc>
        <w:tc>
          <w:tcPr>
            <w:tcW w:w="1480" w:type="dxa"/>
            <w:vAlign w:val="bottom"/>
            <w:shd w:val="clear" w:color="auto" w:fill="CCFFCC"/>
          </w:tcPr>
          <w:p>
            <w:pPr>
              <w:jc w:val="center"/>
              <w:ind w:right="190"/>
              <w:spacing w:after="0"/>
              <w:rPr>
                <w:sz w:val="20"/>
                <w:szCs w:val="20"/>
                <w:color w:val="auto"/>
              </w:rPr>
            </w:pPr>
            <w:r>
              <w:rPr>
                <w:rFonts w:ascii="Arial" w:cs="Arial" w:eastAsia="Arial" w:hAnsi="Arial"/>
                <w:sz w:val="18"/>
                <w:szCs w:val="18"/>
                <w:color w:val="auto"/>
              </w:rPr>
              <w:t>1, *</w:t>
            </w:r>
          </w:p>
        </w:tc>
        <w:tc>
          <w:tcPr>
            <w:tcW w:w="12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56,335</w:t>
            </w:r>
          </w:p>
        </w:tc>
        <w:tc>
          <w:tcPr>
            <w:tcW w:w="8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660" w:type="dxa"/>
            <w:vAlign w:val="bottom"/>
            <w:tcBorders>
              <w:bottom w:val="single" w:sz="8" w:color="CCFFCC"/>
            </w:tcBorders>
          </w:tcPr>
          <w:p>
            <w:pPr>
              <w:spacing w:after="0"/>
              <w:rPr>
                <w:sz w:val="20"/>
                <w:szCs w:val="20"/>
                <w:color w:val="auto"/>
              </w:rPr>
            </w:pPr>
            <w:r>
              <w:rPr>
                <w:rFonts w:ascii="Arial" w:cs="Arial" w:eastAsia="Arial" w:hAnsi="Arial"/>
                <w:sz w:val="18"/>
                <w:szCs w:val="18"/>
                <w:b w:val="1"/>
                <w:bCs w:val="1"/>
                <w:color w:val="auto"/>
              </w:rPr>
              <w:t>Total assets</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6,944</w:t>
            </w:r>
          </w:p>
        </w:tc>
        <w:tc>
          <w:tcPr>
            <w:tcW w:w="340" w:type="dxa"/>
            <w:vAlign w:val="bottom"/>
            <w:tcBorders>
              <w:bottom w:val="single" w:sz="8" w:color="CCFFCC"/>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4,067</w:t>
            </w:r>
          </w:p>
        </w:tc>
        <w:tc>
          <w:tcPr>
            <w:tcW w:w="120" w:type="dxa"/>
            <w:vAlign w:val="bottom"/>
            <w:tcBorders>
              <w:bottom w:val="single" w:sz="8" w:color="CCFFCC"/>
            </w:tcBorders>
          </w:tcPr>
          <w:p>
            <w:pPr>
              <w:spacing w:after="0"/>
              <w:rPr>
                <w:sz w:val="22"/>
                <w:szCs w:val="22"/>
                <w:color w:val="auto"/>
              </w:rPr>
            </w:pPr>
          </w:p>
        </w:tc>
        <w:tc>
          <w:tcPr>
            <w:tcW w:w="220" w:type="dxa"/>
            <w:vAlign w:val="bottom"/>
            <w:tcBorders>
              <w:bottom w:val="single" w:sz="8" w:color="CCFFCC"/>
            </w:tcBorders>
          </w:tcPr>
          <w:p>
            <w:pPr>
              <w:spacing w:after="0"/>
              <w:rPr>
                <w:sz w:val="22"/>
                <w:szCs w:val="22"/>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67,241</w:t>
            </w:r>
          </w:p>
        </w:tc>
        <w:tc>
          <w:tcPr>
            <w:tcW w:w="400" w:type="dxa"/>
            <w:vAlign w:val="bottom"/>
            <w:tcBorders>
              <w:bottom w:val="single" w:sz="8" w:color="CCFFCC"/>
            </w:tcBorders>
          </w:tcPr>
          <w:p>
            <w:pPr>
              <w:spacing w:after="0"/>
              <w:rPr>
                <w:sz w:val="22"/>
                <w:szCs w:val="22"/>
                <w:color w:val="auto"/>
              </w:rPr>
            </w:pPr>
          </w:p>
        </w:tc>
        <w:tc>
          <w:tcPr>
            <w:tcW w:w="1480" w:type="dxa"/>
            <w:vAlign w:val="bottom"/>
            <w:tcBorders>
              <w:bottom w:val="single" w:sz="8" w:color="CCFFCC"/>
            </w:tcBorders>
          </w:tcPr>
          <w:p>
            <w:pPr>
              <w:spacing w:after="0"/>
              <w:rPr>
                <w:sz w:val="22"/>
                <w:szCs w:val="22"/>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78,252</w:t>
            </w:r>
          </w:p>
        </w:tc>
        <w:tc>
          <w:tcPr>
            <w:tcW w:w="20" w:type="dxa"/>
            <w:vAlign w:val="bottom"/>
            <w:tcBorders>
              <w:bottom w:val="single" w:sz="8" w:color="CCFFCC"/>
            </w:tcBorders>
          </w:tcPr>
          <w:p>
            <w:pPr>
              <w:spacing w:after="0"/>
              <w:rPr>
                <w:sz w:val="22"/>
                <w:szCs w:val="22"/>
                <w:color w:val="auto"/>
              </w:rPr>
            </w:pPr>
          </w:p>
        </w:tc>
        <w:tc>
          <w:tcPr>
            <w:tcW w:w="80" w:type="dxa"/>
            <w:vAlign w:val="bottom"/>
            <w:tcBorders>
              <w:bottom w:val="single" w:sz="8" w:color="CCFFCC"/>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3660" w:type="dxa"/>
            <w:vAlign w:val="bottom"/>
            <w:shd w:val="clear" w:color="auto" w:fill="CCFFCC"/>
          </w:tcPr>
          <w:p>
            <w:pPr>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1320" w:type="dxa"/>
            <w:vAlign w:val="bottom"/>
            <w:shd w:val="clear" w:color="auto" w:fill="CCFFCC"/>
          </w:tcPr>
          <w:p>
            <w:pPr>
              <w:spacing w:after="0"/>
              <w:rPr>
                <w:sz w:val="17"/>
                <w:szCs w:val="17"/>
                <w:color w:val="auto"/>
              </w:rPr>
            </w:pPr>
          </w:p>
        </w:tc>
        <w:tc>
          <w:tcPr>
            <w:tcW w:w="340" w:type="dxa"/>
            <w:vAlign w:val="bottom"/>
            <w:shd w:val="clear" w:color="auto" w:fill="CCFFCC"/>
          </w:tcPr>
          <w:p>
            <w:pPr>
              <w:spacing w:after="0"/>
              <w:rPr>
                <w:sz w:val="17"/>
                <w:szCs w:val="17"/>
                <w:color w:val="auto"/>
              </w:rPr>
            </w:pPr>
          </w:p>
        </w:tc>
        <w:tc>
          <w:tcPr>
            <w:tcW w:w="38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240" w:type="dxa"/>
            <w:vAlign w:val="bottom"/>
            <w:shd w:val="clear" w:color="auto" w:fill="CCFFCC"/>
          </w:tcPr>
          <w:p>
            <w:pPr>
              <w:spacing w:after="0"/>
              <w:rPr>
                <w:sz w:val="17"/>
                <w:szCs w:val="17"/>
                <w:color w:val="auto"/>
              </w:rPr>
            </w:pPr>
          </w:p>
        </w:tc>
        <w:tc>
          <w:tcPr>
            <w:tcW w:w="400" w:type="dxa"/>
            <w:vAlign w:val="bottom"/>
            <w:shd w:val="clear" w:color="auto" w:fill="CCFFCC"/>
          </w:tcPr>
          <w:p>
            <w:pPr>
              <w:spacing w:after="0"/>
              <w:rPr>
                <w:sz w:val="17"/>
                <w:szCs w:val="17"/>
                <w:color w:val="auto"/>
              </w:rPr>
            </w:pPr>
          </w:p>
        </w:tc>
        <w:tc>
          <w:tcPr>
            <w:tcW w:w="1480" w:type="dxa"/>
            <w:vAlign w:val="bottom"/>
            <w:shd w:val="clear" w:color="auto" w:fill="CCFFCC"/>
          </w:tcPr>
          <w:p>
            <w:pPr>
              <w:spacing w:after="0"/>
              <w:rPr>
                <w:sz w:val="17"/>
                <w:szCs w:val="17"/>
                <w:color w:val="auto"/>
              </w:rPr>
            </w:pPr>
          </w:p>
        </w:tc>
        <w:tc>
          <w:tcPr>
            <w:tcW w:w="1260" w:type="dxa"/>
            <w:vAlign w:val="bottom"/>
            <w:shd w:val="clear" w:color="auto" w:fill="CCFFCC"/>
          </w:tcPr>
          <w:p>
            <w:pPr>
              <w:spacing w:after="0"/>
              <w:rPr>
                <w:sz w:val="17"/>
                <w:szCs w:val="17"/>
                <w:color w:val="auto"/>
              </w:rPr>
            </w:pPr>
          </w:p>
        </w:tc>
        <w:tc>
          <w:tcPr>
            <w:tcW w:w="2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FFCC"/>
          </w:tcPr>
          <w:p>
            <w:pPr>
              <w:ind w:left="180"/>
              <w:spacing w:after="0"/>
              <w:rPr>
                <w:sz w:val="20"/>
                <w:szCs w:val="20"/>
                <w:color w:val="auto"/>
              </w:rPr>
            </w:pPr>
            <w:r>
              <w:rPr>
                <w:rFonts w:ascii="Arial" w:cs="Arial" w:eastAsia="Arial" w:hAnsi="Arial"/>
                <w:sz w:val="18"/>
                <w:szCs w:val="18"/>
                <w:color w:val="auto"/>
              </w:rPr>
              <w:t>Deferred tax liabilities, net – short-term</w:t>
            </w:r>
          </w:p>
        </w:tc>
        <w:tc>
          <w:tcPr>
            <w:tcW w:w="2040" w:type="dxa"/>
            <w:vAlign w:val="bottom"/>
            <w:gridSpan w:val="3"/>
            <w:shd w:val="clear" w:color="auto" w:fill="CCFFCC"/>
          </w:tcPr>
          <w:p>
            <w:pPr>
              <w:jc w:val="right"/>
              <w:ind w:right="72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3</w:t>
            </w:r>
          </w:p>
        </w:tc>
        <w:tc>
          <w:tcPr>
            <w:tcW w:w="220" w:type="dxa"/>
            <w:vAlign w:val="bottom"/>
            <w:shd w:val="clear" w:color="auto" w:fill="CCFFCC"/>
          </w:tcPr>
          <w:p>
            <w:pPr>
              <w:spacing w:after="0"/>
              <w:rPr>
                <w:sz w:val="18"/>
                <w:szCs w:val="18"/>
                <w:color w:val="auto"/>
              </w:rPr>
            </w:pPr>
          </w:p>
        </w:tc>
        <w:tc>
          <w:tcPr>
            <w:tcW w:w="1640" w:type="dxa"/>
            <w:vAlign w:val="bottom"/>
            <w:gridSpan w:val="2"/>
            <w:shd w:val="clear" w:color="auto" w:fill="CCFFCC"/>
          </w:tcPr>
          <w:p>
            <w:pPr>
              <w:jc w:val="right"/>
              <w:ind w:right="400"/>
              <w:spacing w:after="0"/>
              <w:rPr>
                <w:sz w:val="20"/>
                <w:szCs w:val="20"/>
                <w:color w:val="auto"/>
              </w:rPr>
            </w:pPr>
            <w:r>
              <w:rPr>
                <w:rFonts w:ascii="Arial" w:cs="Arial" w:eastAsia="Arial" w:hAnsi="Arial"/>
                <w:sz w:val="18"/>
                <w:szCs w:val="18"/>
                <w:b w:val="1"/>
                <w:bCs w:val="1"/>
                <w:color w:val="auto"/>
              </w:rPr>
              <w:t>—</w:t>
            </w:r>
          </w:p>
        </w:tc>
        <w:tc>
          <w:tcPr>
            <w:tcW w:w="148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3</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ind w:left="180"/>
              <w:spacing w:after="0"/>
              <w:rPr>
                <w:sz w:val="20"/>
                <w:szCs w:val="20"/>
                <w:color w:val="auto"/>
              </w:rPr>
            </w:pPr>
            <w:r>
              <w:rPr>
                <w:rFonts w:ascii="Arial" w:cs="Arial" w:eastAsia="Arial" w:hAnsi="Arial"/>
                <w:sz w:val="18"/>
                <w:szCs w:val="18"/>
                <w:color w:val="auto"/>
              </w:rPr>
              <w:t>Accounts payable and accrued expenses</w:t>
            </w:r>
          </w:p>
        </w:tc>
        <w:tc>
          <w:tcPr>
            <w:tcW w:w="16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525</w:t>
            </w:r>
          </w:p>
        </w:tc>
        <w:tc>
          <w:tcPr>
            <w:tcW w:w="38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617</w:t>
            </w:r>
          </w:p>
        </w:tc>
        <w:tc>
          <w:tcPr>
            <w:tcW w:w="1860" w:type="dxa"/>
            <w:vAlign w:val="bottom"/>
            <w:gridSpan w:val="3"/>
          </w:tcPr>
          <w:p>
            <w:pPr>
              <w:jc w:val="right"/>
              <w:ind w:right="400"/>
              <w:spacing w:after="0"/>
              <w:rPr>
                <w:sz w:val="20"/>
                <w:szCs w:val="20"/>
                <w:color w:val="auto"/>
              </w:rPr>
            </w:pPr>
            <w:r>
              <w:rPr>
                <w:rFonts w:ascii="Arial" w:cs="Arial" w:eastAsia="Arial" w:hAnsi="Arial"/>
                <w:sz w:val="18"/>
                <w:szCs w:val="18"/>
                <w:b w:val="1"/>
                <w:bCs w:val="1"/>
                <w:color w:val="auto"/>
              </w:rPr>
              <w:t>852</w:t>
            </w:r>
          </w:p>
        </w:tc>
        <w:tc>
          <w:tcPr>
            <w:tcW w:w="1480" w:type="dxa"/>
            <w:vAlign w:val="bottom"/>
          </w:tcPr>
          <w:p>
            <w:pPr>
              <w:jc w:val="center"/>
              <w:ind w:right="190"/>
              <w:spacing w:after="0"/>
              <w:rPr>
                <w:sz w:val="20"/>
                <w:szCs w:val="20"/>
                <w:color w:val="auto"/>
              </w:rPr>
            </w:pPr>
            <w:r>
              <w:rPr>
                <w:rFonts w:ascii="Arial" w:cs="Arial" w:eastAsia="Arial" w:hAnsi="Arial"/>
                <w:sz w:val="18"/>
                <w:szCs w:val="18"/>
                <w:color w:val="auto"/>
                <w:w w:val="79"/>
              </w:rPr>
              <w:t>4</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1,994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FFCC"/>
          </w:tcPr>
          <w:p>
            <w:pPr>
              <w:ind w:left="180"/>
              <w:spacing w:after="0"/>
              <w:rPr>
                <w:sz w:val="20"/>
                <w:szCs w:val="20"/>
                <w:color w:val="auto"/>
              </w:rPr>
            </w:pPr>
            <w:r>
              <w:rPr>
                <w:rFonts w:ascii="Arial" w:cs="Arial" w:eastAsia="Arial" w:hAnsi="Arial"/>
                <w:sz w:val="18"/>
                <w:szCs w:val="18"/>
                <w:color w:val="auto"/>
              </w:rPr>
              <w:t>Accrued severance pay</w:t>
            </w:r>
          </w:p>
        </w:tc>
        <w:tc>
          <w:tcPr>
            <w:tcW w:w="2040" w:type="dxa"/>
            <w:vAlign w:val="bottom"/>
            <w:gridSpan w:val="3"/>
            <w:shd w:val="clear" w:color="auto" w:fill="CCFFCC"/>
          </w:tcPr>
          <w:p>
            <w:pPr>
              <w:jc w:val="right"/>
              <w:ind w:right="72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233</w:t>
            </w:r>
          </w:p>
        </w:tc>
        <w:tc>
          <w:tcPr>
            <w:tcW w:w="220" w:type="dxa"/>
            <w:vAlign w:val="bottom"/>
            <w:shd w:val="clear" w:color="auto" w:fill="CCFFCC"/>
          </w:tcPr>
          <w:p>
            <w:pPr>
              <w:spacing w:after="0"/>
              <w:rPr>
                <w:sz w:val="18"/>
                <w:szCs w:val="18"/>
                <w:color w:val="auto"/>
              </w:rPr>
            </w:pPr>
          </w:p>
        </w:tc>
        <w:tc>
          <w:tcPr>
            <w:tcW w:w="1640" w:type="dxa"/>
            <w:vAlign w:val="bottom"/>
            <w:gridSpan w:val="2"/>
            <w:shd w:val="clear" w:color="auto" w:fill="CCFFCC"/>
          </w:tcPr>
          <w:p>
            <w:pPr>
              <w:jc w:val="right"/>
              <w:ind w:right="400"/>
              <w:spacing w:after="0"/>
              <w:rPr>
                <w:sz w:val="20"/>
                <w:szCs w:val="20"/>
                <w:color w:val="auto"/>
              </w:rPr>
            </w:pPr>
            <w:r>
              <w:rPr>
                <w:rFonts w:ascii="Arial" w:cs="Arial" w:eastAsia="Arial" w:hAnsi="Arial"/>
                <w:sz w:val="18"/>
                <w:szCs w:val="18"/>
                <w:b w:val="1"/>
                <w:bCs w:val="1"/>
                <w:color w:val="auto"/>
              </w:rPr>
              <w:t>—</w:t>
            </w:r>
          </w:p>
        </w:tc>
        <w:tc>
          <w:tcPr>
            <w:tcW w:w="148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233</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ind w:left="180"/>
              <w:spacing w:after="0"/>
              <w:rPr>
                <w:sz w:val="20"/>
                <w:szCs w:val="20"/>
                <w:color w:val="auto"/>
              </w:rPr>
            </w:pPr>
            <w:r>
              <w:rPr>
                <w:rFonts w:ascii="Arial" w:cs="Arial" w:eastAsia="Arial" w:hAnsi="Arial"/>
                <w:sz w:val="18"/>
                <w:szCs w:val="18"/>
                <w:color w:val="auto"/>
              </w:rPr>
              <w:t>Accrued employee compensation</w:t>
            </w:r>
          </w:p>
        </w:tc>
        <w:tc>
          <w:tcPr>
            <w:tcW w:w="16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341</w:t>
            </w:r>
          </w:p>
        </w:tc>
        <w:tc>
          <w:tcPr>
            <w:tcW w:w="38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357</w:t>
            </w:r>
          </w:p>
        </w:tc>
        <w:tc>
          <w:tcPr>
            <w:tcW w:w="220" w:type="dxa"/>
            <w:vAlign w:val="bottom"/>
          </w:tcPr>
          <w:p>
            <w:pPr>
              <w:spacing w:after="0"/>
              <w:rPr>
                <w:sz w:val="18"/>
                <w:szCs w:val="18"/>
                <w:color w:val="auto"/>
              </w:rPr>
            </w:pPr>
          </w:p>
        </w:tc>
        <w:tc>
          <w:tcPr>
            <w:tcW w:w="16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w:t>
            </w:r>
          </w:p>
        </w:tc>
        <w:tc>
          <w:tcPr>
            <w:tcW w:w="148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698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60" w:type="dxa"/>
            <w:vAlign w:val="bottom"/>
            <w:shd w:val="clear" w:color="auto" w:fill="CCFFCC"/>
          </w:tcPr>
          <w:p>
            <w:pPr>
              <w:spacing w:after="0"/>
              <w:rPr>
                <w:sz w:val="20"/>
                <w:szCs w:val="20"/>
                <w:color w:val="auto"/>
              </w:rPr>
            </w:pPr>
            <w:r>
              <w:rPr>
                <w:rFonts w:ascii="Arial" w:cs="Arial" w:eastAsia="Arial" w:hAnsi="Arial"/>
                <w:sz w:val="18"/>
                <w:szCs w:val="18"/>
                <w:color w:val="auto"/>
              </w:rPr>
              <w:t>Current portion, note payable – related party</w:t>
            </w:r>
          </w:p>
        </w:tc>
        <w:tc>
          <w:tcPr>
            <w:tcW w:w="1660" w:type="dxa"/>
            <w:vAlign w:val="bottom"/>
            <w:gridSpan w:val="2"/>
            <w:shd w:val="clear" w:color="auto" w:fill="CCFFCC"/>
          </w:tcPr>
          <w:p>
            <w:pPr>
              <w:jc w:val="right"/>
              <w:ind w:right="340"/>
              <w:spacing w:after="0"/>
              <w:rPr>
                <w:sz w:val="20"/>
                <w:szCs w:val="20"/>
                <w:color w:val="auto"/>
              </w:rPr>
            </w:pPr>
            <w:r>
              <w:rPr>
                <w:rFonts w:ascii="Arial" w:cs="Arial" w:eastAsia="Arial" w:hAnsi="Arial"/>
                <w:sz w:val="18"/>
                <w:szCs w:val="18"/>
                <w:b w:val="1"/>
                <w:bCs w:val="1"/>
                <w:color w:val="auto"/>
              </w:rPr>
              <w:t>2,000</w:t>
            </w:r>
          </w:p>
        </w:tc>
        <w:tc>
          <w:tcPr>
            <w:tcW w:w="380" w:type="dxa"/>
            <w:vAlign w:val="bottom"/>
            <w:shd w:val="clear" w:color="auto" w:fill="CCFFCC"/>
          </w:tcPr>
          <w:p>
            <w:pPr>
              <w:spacing w:after="0"/>
              <w:rPr>
                <w:sz w:val="19"/>
                <w:szCs w:val="19"/>
                <w:color w:val="auto"/>
              </w:rPr>
            </w:pP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FFCC"/>
          </w:tcPr>
          <w:p>
            <w:pPr>
              <w:spacing w:after="0"/>
              <w:rPr>
                <w:sz w:val="19"/>
                <w:szCs w:val="19"/>
                <w:color w:val="auto"/>
              </w:rPr>
            </w:pPr>
          </w:p>
        </w:tc>
        <w:tc>
          <w:tcPr>
            <w:tcW w:w="1640" w:type="dxa"/>
            <w:vAlign w:val="bottom"/>
            <w:gridSpan w:val="2"/>
            <w:shd w:val="clear" w:color="auto" w:fill="CCFFCC"/>
          </w:tcPr>
          <w:p>
            <w:pPr>
              <w:jc w:val="right"/>
              <w:ind w:right="400"/>
              <w:spacing w:after="0"/>
              <w:rPr>
                <w:sz w:val="20"/>
                <w:szCs w:val="20"/>
                <w:color w:val="auto"/>
              </w:rPr>
            </w:pPr>
            <w:r>
              <w:rPr>
                <w:rFonts w:ascii="Arial" w:cs="Arial" w:eastAsia="Arial" w:hAnsi="Arial"/>
                <w:sz w:val="18"/>
                <w:szCs w:val="18"/>
                <w:b w:val="1"/>
                <w:bCs w:val="1"/>
                <w:color w:val="auto"/>
              </w:rPr>
              <w:t>—</w:t>
            </w:r>
          </w:p>
        </w:tc>
        <w:tc>
          <w:tcPr>
            <w:tcW w:w="1480" w:type="dxa"/>
            <w:vAlign w:val="bottom"/>
            <w:shd w:val="clear" w:color="auto" w:fill="CCFFCC"/>
          </w:tcPr>
          <w:p>
            <w:pPr>
              <w:spacing w:after="0"/>
              <w:rPr>
                <w:sz w:val="19"/>
                <w:szCs w:val="19"/>
                <w:color w:val="auto"/>
              </w:rPr>
            </w:pPr>
          </w:p>
        </w:tc>
        <w:tc>
          <w:tcPr>
            <w:tcW w:w="12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2,000</w:t>
            </w:r>
          </w:p>
        </w:tc>
        <w:tc>
          <w:tcPr>
            <w:tcW w:w="8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660" w:type="dxa"/>
            <w:vAlign w:val="bottom"/>
          </w:tcPr>
          <w:p>
            <w:pPr>
              <w:spacing w:after="0"/>
              <w:rPr>
                <w:sz w:val="20"/>
                <w:szCs w:val="20"/>
                <w:color w:val="auto"/>
              </w:rPr>
            </w:pPr>
            <w:r>
              <w:rPr>
                <w:rFonts w:ascii="Arial" w:cs="Arial" w:eastAsia="Arial" w:hAnsi="Arial"/>
                <w:sz w:val="18"/>
                <w:szCs w:val="18"/>
                <w:b w:val="1"/>
                <w:bCs w:val="1"/>
                <w:color w:val="auto"/>
              </w:rPr>
              <w:t>Total current liabilities</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2,866</w:t>
            </w:r>
          </w:p>
        </w:tc>
        <w:tc>
          <w:tcPr>
            <w:tcW w:w="34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1,210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852</w:t>
            </w:r>
          </w:p>
        </w:tc>
        <w:tc>
          <w:tcPr>
            <w:tcW w:w="4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4,928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Long-term liabilities</w:t>
            </w:r>
          </w:p>
        </w:tc>
        <w:tc>
          <w:tcPr>
            <w:tcW w:w="132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148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Note payable – related party</w:t>
            </w:r>
          </w:p>
        </w:tc>
        <w:tc>
          <w:tcPr>
            <w:tcW w:w="16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1,200</w:t>
            </w:r>
          </w:p>
        </w:tc>
        <w:tc>
          <w:tcPr>
            <w:tcW w:w="38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16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w:t>
            </w:r>
          </w:p>
        </w:tc>
        <w:tc>
          <w:tcPr>
            <w:tcW w:w="148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1,200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FFCC"/>
          </w:tcPr>
          <w:p>
            <w:pPr>
              <w:spacing w:after="0"/>
              <w:rPr>
                <w:sz w:val="20"/>
                <w:szCs w:val="20"/>
                <w:color w:val="auto"/>
              </w:rPr>
            </w:pPr>
            <w:r>
              <w:rPr>
                <w:rFonts w:ascii="Arial" w:cs="Arial" w:eastAsia="Arial" w:hAnsi="Arial"/>
                <w:sz w:val="18"/>
                <w:szCs w:val="18"/>
                <w:color w:val="auto"/>
              </w:rPr>
              <w:t>Derivative liabilities on account of warrants</w:t>
            </w:r>
          </w:p>
        </w:tc>
        <w:tc>
          <w:tcPr>
            <w:tcW w:w="2040" w:type="dxa"/>
            <w:vAlign w:val="bottom"/>
            <w:gridSpan w:val="3"/>
            <w:shd w:val="clear" w:color="auto" w:fill="CCFFCC"/>
          </w:tcPr>
          <w:p>
            <w:pPr>
              <w:jc w:val="right"/>
              <w:ind w:right="72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1,836</w:t>
            </w:r>
          </w:p>
        </w:tc>
        <w:tc>
          <w:tcPr>
            <w:tcW w:w="1860" w:type="dxa"/>
            <w:vAlign w:val="bottom"/>
            <w:gridSpan w:val="3"/>
            <w:shd w:val="clear" w:color="auto" w:fill="CCFFCC"/>
          </w:tcPr>
          <w:p>
            <w:pPr>
              <w:jc w:val="right"/>
              <w:ind w:right="400"/>
              <w:spacing w:after="0"/>
              <w:rPr>
                <w:sz w:val="20"/>
                <w:szCs w:val="20"/>
                <w:color w:val="auto"/>
              </w:rPr>
            </w:pPr>
            <w:r>
              <w:rPr>
                <w:rFonts w:ascii="Arial" w:cs="Arial" w:eastAsia="Arial" w:hAnsi="Arial"/>
                <w:sz w:val="18"/>
                <w:szCs w:val="18"/>
                <w:b w:val="1"/>
                <w:bCs w:val="1"/>
                <w:color w:val="auto"/>
              </w:rPr>
              <w:t>21,733</w:t>
            </w:r>
          </w:p>
        </w:tc>
        <w:tc>
          <w:tcPr>
            <w:tcW w:w="1480" w:type="dxa"/>
            <w:vAlign w:val="bottom"/>
            <w:shd w:val="clear" w:color="auto" w:fill="CCFFCC"/>
          </w:tcPr>
          <w:p>
            <w:pPr>
              <w:jc w:val="center"/>
              <w:ind w:right="190"/>
              <w:spacing w:after="0"/>
              <w:rPr>
                <w:sz w:val="20"/>
                <w:szCs w:val="20"/>
                <w:color w:val="auto"/>
              </w:rPr>
            </w:pPr>
            <w:r>
              <w:rPr>
                <w:rFonts w:ascii="Arial" w:cs="Arial" w:eastAsia="Arial" w:hAnsi="Arial"/>
                <w:sz w:val="18"/>
                <w:szCs w:val="18"/>
                <w:color w:val="auto"/>
                <w:w w:val="79"/>
              </w:rPr>
              <w:t>5</w:t>
            </w:r>
          </w:p>
        </w:tc>
        <w:tc>
          <w:tcPr>
            <w:tcW w:w="12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25,839</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gridSpan w:val="3"/>
          </w:tcPr>
          <w:p>
            <w:pPr>
              <w:jc w:val="right"/>
              <w:ind w:right="400"/>
              <w:spacing w:after="0"/>
              <w:rPr>
                <w:sz w:val="20"/>
                <w:szCs w:val="20"/>
                <w:color w:val="auto"/>
              </w:rPr>
            </w:pPr>
            <w:r>
              <w:rPr>
                <w:rFonts w:ascii="Arial" w:cs="Arial" w:eastAsia="Arial" w:hAnsi="Arial"/>
                <w:sz w:val="18"/>
                <w:szCs w:val="18"/>
                <w:b w:val="1"/>
                <w:bCs w:val="1"/>
                <w:color w:val="auto"/>
              </w:rPr>
              <w:t>4,106</w:t>
            </w:r>
          </w:p>
        </w:tc>
        <w:tc>
          <w:tcPr>
            <w:tcW w:w="1480" w:type="dxa"/>
            <w:vAlign w:val="bottom"/>
          </w:tcPr>
          <w:p>
            <w:pPr>
              <w:jc w:val="center"/>
              <w:ind w:right="190"/>
              <w:spacing w:after="0"/>
              <w:rPr>
                <w:sz w:val="20"/>
                <w:szCs w:val="20"/>
                <w:color w:val="auto"/>
              </w:rPr>
            </w:pPr>
            <w:r>
              <w:rPr>
                <w:rFonts w:ascii="Arial" w:cs="Arial" w:eastAsia="Arial" w:hAnsi="Arial"/>
                <w:sz w:val="18"/>
                <w:szCs w:val="18"/>
                <w:color w:val="auto"/>
              </w:rPr>
              <w:t>1, *</w:t>
            </w: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60" w:type="dxa"/>
            <w:vAlign w:val="bottom"/>
            <w:shd w:val="clear" w:color="auto" w:fill="CCFFCC"/>
          </w:tcPr>
          <w:p>
            <w:pPr>
              <w:spacing w:after="0"/>
              <w:rPr>
                <w:sz w:val="19"/>
                <w:szCs w:val="19"/>
                <w:color w:val="auto"/>
              </w:rPr>
            </w:pPr>
          </w:p>
        </w:tc>
        <w:tc>
          <w:tcPr>
            <w:tcW w:w="1320" w:type="dxa"/>
            <w:vAlign w:val="bottom"/>
            <w:shd w:val="clear" w:color="auto" w:fill="CCFFCC"/>
          </w:tcPr>
          <w:p>
            <w:pPr>
              <w:spacing w:after="0"/>
              <w:rPr>
                <w:sz w:val="19"/>
                <w:szCs w:val="19"/>
                <w:color w:val="auto"/>
              </w:rPr>
            </w:pPr>
          </w:p>
        </w:tc>
        <w:tc>
          <w:tcPr>
            <w:tcW w:w="340" w:type="dxa"/>
            <w:vAlign w:val="bottom"/>
            <w:shd w:val="clear" w:color="auto" w:fill="CCFFCC"/>
          </w:tcPr>
          <w:p>
            <w:pPr>
              <w:spacing w:after="0"/>
              <w:rPr>
                <w:sz w:val="19"/>
                <w:szCs w:val="19"/>
                <w:color w:val="auto"/>
              </w:rPr>
            </w:pPr>
          </w:p>
        </w:tc>
        <w:tc>
          <w:tcPr>
            <w:tcW w:w="380" w:type="dxa"/>
            <w:vAlign w:val="bottom"/>
            <w:shd w:val="clear" w:color="auto" w:fill="CCFFCC"/>
          </w:tcPr>
          <w:p>
            <w:pPr>
              <w:spacing w:after="0"/>
              <w:rPr>
                <w:sz w:val="19"/>
                <w:szCs w:val="19"/>
                <w:color w:val="auto"/>
              </w:rPr>
            </w:pPr>
          </w:p>
        </w:tc>
        <w:tc>
          <w:tcPr>
            <w:tcW w:w="90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860" w:type="dxa"/>
            <w:vAlign w:val="bottom"/>
            <w:gridSpan w:val="3"/>
            <w:shd w:val="clear" w:color="auto" w:fill="CCFFCC"/>
          </w:tcPr>
          <w:p>
            <w:pPr>
              <w:jc w:val="right"/>
              <w:ind w:right="340"/>
              <w:spacing w:after="0"/>
              <w:rPr>
                <w:sz w:val="20"/>
                <w:szCs w:val="20"/>
                <w:color w:val="auto"/>
              </w:rPr>
            </w:pPr>
            <w:r>
              <w:rPr>
                <w:rFonts w:ascii="Arial" w:cs="Arial" w:eastAsia="Arial" w:hAnsi="Arial"/>
                <w:sz w:val="18"/>
                <w:szCs w:val="18"/>
                <w:b w:val="1"/>
                <w:bCs w:val="1"/>
                <w:color w:val="auto"/>
              </w:rPr>
              <w:t>(1,836)</w:t>
            </w:r>
          </w:p>
        </w:tc>
        <w:tc>
          <w:tcPr>
            <w:tcW w:w="1480" w:type="dxa"/>
            <w:vAlign w:val="bottom"/>
            <w:shd w:val="clear" w:color="auto" w:fill="CCFFCC"/>
          </w:tcPr>
          <w:p>
            <w:pPr>
              <w:jc w:val="center"/>
              <w:ind w:right="19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FFCC"/>
          </w:tcPr>
          <w:p>
            <w:pPr>
              <w:spacing w:after="0"/>
              <w:rPr>
                <w:sz w:val="19"/>
                <w:szCs w:val="19"/>
                <w:color w:val="auto"/>
              </w:rPr>
            </w:pPr>
          </w:p>
        </w:tc>
        <w:tc>
          <w:tcPr>
            <w:tcW w:w="2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660" w:type="dxa"/>
            <w:vAlign w:val="bottom"/>
          </w:tcPr>
          <w:p>
            <w:pPr>
              <w:spacing w:after="0"/>
              <w:rPr>
                <w:sz w:val="20"/>
                <w:szCs w:val="20"/>
                <w:color w:val="auto"/>
              </w:rPr>
            </w:pPr>
            <w:r>
              <w:rPr>
                <w:rFonts w:ascii="Arial" w:cs="Arial" w:eastAsia="Arial" w:hAnsi="Arial"/>
                <w:sz w:val="18"/>
                <w:szCs w:val="18"/>
                <w:b w:val="1"/>
                <w:bCs w:val="1"/>
                <w:color w:val="auto"/>
              </w:rPr>
              <w:t>Total long-term liabilities</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1,200</w:t>
            </w:r>
          </w:p>
        </w:tc>
        <w:tc>
          <w:tcPr>
            <w:tcW w:w="34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1,836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24,003</w:t>
            </w:r>
          </w:p>
        </w:tc>
        <w:tc>
          <w:tcPr>
            <w:tcW w:w="4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27,039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66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w w:val="98"/>
              </w:rPr>
              <w:t>Preferred stock, Series A Convertible, $0.0001</w:t>
            </w:r>
          </w:p>
        </w:tc>
        <w:tc>
          <w:tcPr>
            <w:tcW w:w="1320" w:type="dxa"/>
            <w:vAlign w:val="bottom"/>
            <w:shd w:val="clear" w:color="auto" w:fill="CCFFCC"/>
          </w:tcPr>
          <w:p>
            <w:pPr>
              <w:spacing w:after="0"/>
              <w:rPr>
                <w:sz w:val="17"/>
                <w:szCs w:val="17"/>
                <w:color w:val="auto"/>
              </w:rPr>
            </w:pPr>
          </w:p>
        </w:tc>
        <w:tc>
          <w:tcPr>
            <w:tcW w:w="340" w:type="dxa"/>
            <w:vAlign w:val="bottom"/>
            <w:shd w:val="clear" w:color="auto" w:fill="CCFFCC"/>
          </w:tcPr>
          <w:p>
            <w:pPr>
              <w:spacing w:after="0"/>
              <w:rPr>
                <w:sz w:val="17"/>
                <w:szCs w:val="17"/>
                <w:color w:val="auto"/>
              </w:rPr>
            </w:pPr>
          </w:p>
        </w:tc>
        <w:tc>
          <w:tcPr>
            <w:tcW w:w="38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240" w:type="dxa"/>
            <w:vAlign w:val="bottom"/>
            <w:shd w:val="clear" w:color="auto" w:fill="CCFFCC"/>
          </w:tcPr>
          <w:p>
            <w:pPr>
              <w:spacing w:after="0"/>
              <w:rPr>
                <w:sz w:val="17"/>
                <w:szCs w:val="17"/>
                <w:color w:val="auto"/>
              </w:rPr>
            </w:pPr>
          </w:p>
        </w:tc>
        <w:tc>
          <w:tcPr>
            <w:tcW w:w="400" w:type="dxa"/>
            <w:vAlign w:val="bottom"/>
            <w:shd w:val="clear" w:color="auto" w:fill="CCFFCC"/>
          </w:tcPr>
          <w:p>
            <w:pPr>
              <w:spacing w:after="0"/>
              <w:rPr>
                <w:sz w:val="17"/>
                <w:szCs w:val="17"/>
                <w:color w:val="auto"/>
              </w:rPr>
            </w:pPr>
          </w:p>
        </w:tc>
        <w:tc>
          <w:tcPr>
            <w:tcW w:w="1480" w:type="dxa"/>
            <w:vAlign w:val="bottom"/>
            <w:shd w:val="clear" w:color="auto" w:fill="CCFFCC"/>
          </w:tcPr>
          <w:p>
            <w:pPr>
              <w:spacing w:after="0"/>
              <w:rPr>
                <w:sz w:val="17"/>
                <w:szCs w:val="17"/>
                <w:color w:val="auto"/>
              </w:rPr>
            </w:pPr>
          </w:p>
        </w:tc>
        <w:tc>
          <w:tcPr>
            <w:tcW w:w="1260" w:type="dxa"/>
            <w:vAlign w:val="bottom"/>
            <w:shd w:val="clear" w:color="auto" w:fill="CCFFCC"/>
          </w:tcPr>
          <w:p>
            <w:pPr>
              <w:spacing w:after="0"/>
              <w:rPr>
                <w:sz w:val="17"/>
                <w:szCs w:val="17"/>
                <w:color w:val="auto"/>
              </w:rPr>
            </w:pPr>
          </w:p>
        </w:tc>
        <w:tc>
          <w:tcPr>
            <w:tcW w:w="2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FFCC"/>
          </w:tcPr>
          <w:p>
            <w:pPr>
              <w:ind w:left="180"/>
              <w:spacing w:after="0"/>
              <w:rPr>
                <w:sz w:val="20"/>
                <w:szCs w:val="20"/>
                <w:color w:val="auto"/>
              </w:rPr>
            </w:pPr>
            <w:r>
              <w:rPr>
                <w:rFonts w:ascii="Arial" w:cs="Arial" w:eastAsia="Arial" w:hAnsi="Arial"/>
                <w:sz w:val="18"/>
                <w:szCs w:val="18"/>
                <w:color w:val="auto"/>
              </w:rPr>
              <w:t>par value; 6,968 authorized and issued and</w:t>
            </w:r>
          </w:p>
        </w:tc>
        <w:tc>
          <w:tcPr>
            <w:tcW w:w="1660" w:type="dxa"/>
            <w:vAlign w:val="bottom"/>
            <w:gridSpan w:val="2"/>
            <w:vMerge w:val="restart"/>
            <w:shd w:val="clear" w:color="auto" w:fill="CCFFCC"/>
          </w:tcPr>
          <w:p>
            <w:pPr>
              <w:jc w:val="right"/>
              <w:ind w:right="340"/>
              <w:spacing w:after="0"/>
              <w:rPr>
                <w:sz w:val="20"/>
                <w:szCs w:val="20"/>
                <w:color w:val="auto"/>
              </w:rPr>
            </w:pPr>
            <w:r>
              <w:rPr>
                <w:rFonts w:ascii="Arial" w:cs="Arial" w:eastAsia="Arial" w:hAnsi="Arial"/>
                <w:sz w:val="18"/>
                <w:szCs w:val="18"/>
                <w:b w:val="1"/>
                <w:bCs w:val="1"/>
                <w:color w:val="auto"/>
              </w:rPr>
              <w:t>1,761</w:t>
            </w:r>
          </w:p>
        </w:tc>
        <w:tc>
          <w:tcPr>
            <w:tcW w:w="380" w:type="dxa"/>
            <w:vAlign w:val="bottom"/>
            <w:shd w:val="clear" w:color="auto" w:fill="CCFFCC"/>
          </w:tcPr>
          <w:p>
            <w:pPr>
              <w:spacing w:after="0"/>
              <w:rPr>
                <w:sz w:val="18"/>
                <w:szCs w:val="18"/>
                <w:color w:val="auto"/>
              </w:rPr>
            </w:pPr>
          </w:p>
        </w:tc>
        <w:tc>
          <w:tcPr>
            <w:tcW w:w="1020" w:type="dxa"/>
            <w:vAlign w:val="bottom"/>
            <w:gridSpan w:val="2"/>
            <w:vMerge w:val="restart"/>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w:t>
            </w:r>
          </w:p>
        </w:tc>
        <w:tc>
          <w:tcPr>
            <w:tcW w:w="1860" w:type="dxa"/>
            <w:vAlign w:val="bottom"/>
            <w:gridSpan w:val="3"/>
            <w:vMerge w:val="restart"/>
            <w:shd w:val="clear" w:color="auto" w:fill="CCFFCC"/>
          </w:tcPr>
          <w:p>
            <w:pPr>
              <w:jc w:val="right"/>
              <w:ind w:right="340"/>
              <w:spacing w:after="0"/>
              <w:rPr>
                <w:sz w:val="20"/>
                <w:szCs w:val="20"/>
                <w:color w:val="auto"/>
              </w:rPr>
            </w:pPr>
            <w:r>
              <w:rPr>
                <w:rFonts w:ascii="Arial" w:cs="Arial" w:eastAsia="Arial" w:hAnsi="Arial"/>
                <w:sz w:val="18"/>
                <w:szCs w:val="18"/>
                <w:b w:val="1"/>
                <w:bCs w:val="1"/>
                <w:color w:val="auto"/>
              </w:rPr>
              <w:t>(1,761)</w:t>
            </w:r>
          </w:p>
        </w:tc>
        <w:tc>
          <w:tcPr>
            <w:tcW w:w="1480" w:type="dxa"/>
            <w:vAlign w:val="bottom"/>
            <w:shd w:val="clear" w:color="auto" w:fill="CCFFCC"/>
          </w:tcPr>
          <w:p>
            <w:pPr>
              <w:spacing w:after="0"/>
              <w:rPr>
                <w:sz w:val="18"/>
                <w:szCs w:val="18"/>
                <w:color w:val="auto"/>
              </w:rPr>
            </w:pPr>
          </w:p>
        </w:tc>
        <w:tc>
          <w:tcPr>
            <w:tcW w:w="1360" w:type="dxa"/>
            <w:vAlign w:val="bottom"/>
            <w:gridSpan w:val="3"/>
            <w:vMerge w:val="restart"/>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0"/>
        </w:trPr>
        <w:tc>
          <w:tcPr>
            <w:tcW w:w="3660" w:type="dxa"/>
            <w:vAlign w:val="bottom"/>
            <w:shd w:val="clear" w:color="auto" w:fill="CCFFCC"/>
          </w:tcPr>
          <w:p>
            <w:pPr>
              <w:ind w:left="180"/>
              <w:spacing w:after="0"/>
              <w:rPr>
                <w:sz w:val="20"/>
                <w:szCs w:val="20"/>
                <w:color w:val="auto"/>
              </w:rPr>
            </w:pPr>
            <w:r>
              <w:rPr>
                <w:rFonts w:ascii="Arial" w:cs="Arial" w:eastAsia="Arial" w:hAnsi="Arial"/>
                <w:sz w:val="18"/>
                <w:szCs w:val="18"/>
                <w:color w:val="auto"/>
              </w:rPr>
              <w:t>6,818 outstanding</w:t>
            </w:r>
          </w:p>
        </w:tc>
        <w:tc>
          <w:tcPr>
            <w:tcW w:w="1660" w:type="dxa"/>
            <w:vAlign w:val="bottom"/>
            <w:gridSpan w:val="2"/>
            <w:vMerge w:val="continue"/>
            <w:shd w:val="clear" w:color="auto" w:fill="CCFFCC"/>
          </w:tcPr>
          <w:p>
            <w:pPr>
              <w:spacing w:after="0"/>
              <w:rPr>
                <w:sz w:val="20"/>
                <w:szCs w:val="20"/>
                <w:color w:val="auto"/>
              </w:rPr>
            </w:pPr>
          </w:p>
        </w:tc>
        <w:tc>
          <w:tcPr>
            <w:tcW w:w="380" w:type="dxa"/>
            <w:vAlign w:val="bottom"/>
            <w:shd w:val="clear" w:color="auto" w:fill="CCFFCC"/>
          </w:tcPr>
          <w:p>
            <w:pPr>
              <w:spacing w:after="0"/>
              <w:rPr>
                <w:sz w:val="20"/>
                <w:szCs w:val="20"/>
                <w:color w:val="auto"/>
              </w:rPr>
            </w:pPr>
          </w:p>
        </w:tc>
        <w:tc>
          <w:tcPr>
            <w:tcW w:w="1020" w:type="dxa"/>
            <w:vAlign w:val="bottom"/>
            <w:gridSpan w:val="2"/>
            <w:vMerge w:val="continue"/>
            <w:shd w:val="clear" w:color="auto" w:fill="CCFFCC"/>
          </w:tcPr>
          <w:p>
            <w:pPr>
              <w:spacing w:after="0"/>
              <w:rPr>
                <w:sz w:val="20"/>
                <w:szCs w:val="20"/>
                <w:color w:val="auto"/>
              </w:rPr>
            </w:pPr>
          </w:p>
        </w:tc>
        <w:tc>
          <w:tcPr>
            <w:tcW w:w="1860" w:type="dxa"/>
            <w:vAlign w:val="bottom"/>
            <w:gridSpan w:val="3"/>
            <w:vMerge w:val="continue"/>
            <w:shd w:val="clear" w:color="auto" w:fill="CCFFCC"/>
          </w:tcPr>
          <w:p>
            <w:pPr>
              <w:spacing w:after="0"/>
              <w:rPr>
                <w:sz w:val="20"/>
                <w:szCs w:val="20"/>
                <w:color w:val="auto"/>
              </w:rPr>
            </w:pPr>
          </w:p>
        </w:tc>
        <w:tc>
          <w:tcPr>
            <w:tcW w:w="1480" w:type="dxa"/>
            <w:vAlign w:val="bottom"/>
            <w:shd w:val="clear" w:color="auto" w:fill="CCFFCC"/>
          </w:tcPr>
          <w:p>
            <w:pPr>
              <w:jc w:val="center"/>
              <w:ind w:right="190"/>
              <w:spacing w:after="0"/>
              <w:rPr>
                <w:sz w:val="20"/>
                <w:szCs w:val="20"/>
                <w:color w:val="auto"/>
              </w:rPr>
            </w:pPr>
            <w:r>
              <w:rPr>
                <w:rFonts w:ascii="Arial" w:cs="Arial" w:eastAsia="Arial" w:hAnsi="Arial"/>
                <w:sz w:val="18"/>
                <w:szCs w:val="18"/>
                <w:color w:val="auto"/>
                <w:w w:val="79"/>
              </w:rPr>
              <w:t>6</w:t>
            </w:r>
          </w:p>
        </w:tc>
        <w:tc>
          <w:tcPr>
            <w:tcW w:w="1360" w:type="dxa"/>
            <w:vAlign w:val="bottom"/>
            <w:gridSpan w:val="3"/>
            <w:vMerge w:val="continue"/>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b w:val="1"/>
                <w:bCs w:val="1"/>
                <w:color w:val="auto"/>
              </w:rPr>
              <w:t>Stockholders’ equity (deficit)</w:t>
            </w: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66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rPr>
              <w:t>Preferred stock, Series A Convertible, $0.01</w:t>
            </w:r>
          </w:p>
        </w:tc>
        <w:tc>
          <w:tcPr>
            <w:tcW w:w="1320" w:type="dxa"/>
            <w:vAlign w:val="bottom"/>
            <w:shd w:val="clear" w:color="auto" w:fill="CCFFCC"/>
          </w:tcPr>
          <w:p>
            <w:pPr>
              <w:spacing w:after="0"/>
              <w:rPr>
                <w:sz w:val="17"/>
                <w:szCs w:val="17"/>
                <w:color w:val="auto"/>
              </w:rPr>
            </w:pPr>
          </w:p>
        </w:tc>
        <w:tc>
          <w:tcPr>
            <w:tcW w:w="340" w:type="dxa"/>
            <w:vAlign w:val="bottom"/>
            <w:shd w:val="clear" w:color="auto" w:fill="CCFFCC"/>
          </w:tcPr>
          <w:p>
            <w:pPr>
              <w:spacing w:after="0"/>
              <w:rPr>
                <w:sz w:val="17"/>
                <w:szCs w:val="17"/>
                <w:color w:val="auto"/>
              </w:rPr>
            </w:pPr>
          </w:p>
        </w:tc>
        <w:tc>
          <w:tcPr>
            <w:tcW w:w="38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240" w:type="dxa"/>
            <w:vAlign w:val="bottom"/>
            <w:shd w:val="clear" w:color="auto" w:fill="CCFFCC"/>
          </w:tcPr>
          <w:p>
            <w:pPr>
              <w:spacing w:after="0"/>
              <w:rPr>
                <w:sz w:val="17"/>
                <w:szCs w:val="17"/>
                <w:color w:val="auto"/>
              </w:rPr>
            </w:pPr>
          </w:p>
        </w:tc>
        <w:tc>
          <w:tcPr>
            <w:tcW w:w="400" w:type="dxa"/>
            <w:vAlign w:val="bottom"/>
            <w:shd w:val="clear" w:color="auto" w:fill="CCFFCC"/>
          </w:tcPr>
          <w:p>
            <w:pPr>
              <w:spacing w:after="0"/>
              <w:rPr>
                <w:sz w:val="17"/>
                <w:szCs w:val="17"/>
                <w:color w:val="auto"/>
              </w:rPr>
            </w:pPr>
          </w:p>
        </w:tc>
        <w:tc>
          <w:tcPr>
            <w:tcW w:w="1480" w:type="dxa"/>
            <w:vAlign w:val="bottom"/>
            <w:shd w:val="clear" w:color="auto" w:fill="CCFFCC"/>
          </w:tcPr>
          <w:p>
            <w:pPr>
              <w:spacing w:after="0"/>
              <w:rPr>
                <w:sz w:val="17"/>
                <w:szCs w:val="17"/>
                <w:color w:val="auto"/>
              </w:rPr>
            </w:pPr>
          </w:p>
        </w:tc>
        <w:tc>
          <w:tcPr>
            <w:tcW w:w="1260" w:type="dxa"/>
            <w:vAlign w:val="bottom"/>
            <w:shd w:val="clear" w:color="auto" w:fill="CCFFCC"/>
          </w:tcPr>
          <w:p>
            <w:pPr>
              <w:spacing w:after="0"/>
              <w:rPr>
                <w:sz w:val="17"/>
                <w:szCs w:val="17"/>
                <w:color w:val="auto"/>
              </w:rPr>
            </w:pPr>
          </w:p>
        </w:tc>
        <w:tc>
          <w:tcPr>
            <w:tcW w:w="2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FFCC"/>
          </w:tcPr>
          <w:p>
            <w:pPr>
              <w:ind w:left="180"/>
              <w:spacing w:after="0"/>
              <w:rPr>
                <w:sz w:val="20"/>
                <w:szCs w:val="20"/>
                <w:color w:val="auto"/>
              </w:rPr>
            </w:pPr>
            <w:r>
              <w:rPr>
                <w:rFonts w:ascii="Arial" w:cs="Arial" w:eastAsia="Arial" w:hAnsi="Arial"/>
                <w:sz w:val="18"/>
                <w:szCs w:val="18"/>
                <w:color w:val="auto"/>
                <w:w w:val="95"/>
              </w:rPr>
              <w:t>par value per share; 6,818 authorized, issued</w:t>
            </w:r>
          </w:p>
        </w:tc>
        <w:tc>
          <w:tcPr>
            <w:tcW w:w="2040" w:type="dxa"/>
            <w:vAlign w:val="bottom"/>
            <w:gridSpan w:val="3"/>
            <w:vMerge w:val="restart"/>
            <w:shd w:val="clear" w:color="auto" w:fill="CCFFCC"/>
          </w:tcPr>
          <w:p>
            <w:pPr>
              <w:jc w:val="right"/>
              <w:ind w:right="72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vMerge w:val="restart"/>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FFCC"/>
          </w:tcPr>
          <w:p>
            <w:pPr>
              <w:spacing w:after="0"/>
              <w:rPr>
                <w:sz w:val="18"/>
                <w:szCs w:val="18"/>
                <w:color w:val="auto"/>
              </w:rPr>
            </w:pPr>
          </w:p>
        </w:tc>
        <w:tc>
          <w:tcPr>
            <w:tcW w:w="1640" w:type="dxa"/>
            <w:vAlign w:val="bottom"/>
            <w:gridSpan w:val="2"/>
            <w:vMerge w:val="restart"/>
            <w:shd w:val="clear" w:color="auto" w:fill="CCFFCC"/>
          </w:tcPr>
          <w:p>
            <w:pPr>
              <w:jc w:val="right"/>
              <w:ind w:right="400"/>
              <w:spacing w:after="0"/>
              <w:rPr>
                <w:sz w:val="20"/>
                <w:szCs w:val="20"/>
                <w:color w:val="auto"/>
              </w:rPr>
            </w:pPr>
            <w:r>
              <w:rPr>
                <w:rFonts w:ascii="Arial" w:cs="Arial" w:eastAsia="Arial" w:hAnsi="Arial"/>
                <w:sz w:val="18"/>
                <w:szCs w:val="18"/>
                <w:b w:val="1"/>
                <w:bCs w:val="1"/>
                <w:color w:val="auto"/>
              </w:rPr>
              <w:t>—</w:t>
            </w:r>
          </w:p>
        </w:tc>
        <w:tc>
          <w:tcPr>
            <w:tcW w:w="1480" w:type="dxa"/>
            <w:vAlign w:val="bottom"/>
            <w:shd w:val="clear" w:color="auto" w:fill="CCFFCC"/>
          </w:tcPr>
          <w:p>
            <w:pPr>
              <w:spacing w:after="0"/>
              <w:rPr>
                <w:sz w:val="18"/>
                <w:szCs w:val="18"/>
                <w:color w:val="auto"/>
              </w:rPr>
            </w:pPr>
          </w:p>
        </w:tc>
        <w:tc>
          <w:tcPr>
            <w:tcW w:w="1360" w:type="dxa"/>
            <w:vAlign w:val="bottom"/>
            <w:gridSpan w:val="3"/>
            <w:vMerge w:val="restart"/>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0"/>
        </w:trPr>
        <w:tc>
          <w:tcPr>
            <w:tcW w:w="3660" w:type="dxa"/>
            <w:vAlign w:val="bottom"/>
            <w:shd w:val="clear" w:color="auto" w:fill="CCFFCC"/>
          </w:tcPr>
          <w:p>
            <w:pPr>
              <w:ind w:left="180"/>
              <w:spacing w:after="0"/>
              <w:rPr>
                <w:sz w:val="20"/>
                <w:szCs w:val="20"/>
                <w:color w:val="auto"/>
              </w:rPr>
            </w:pPr>
            <w:r>
              <w:rPr>
                <w:rFonts w:ascii="Arial" w:cs="Arial" w:eastAsia="Arial" w:hAnsi="Arial"/>
                <w:sz w:val="18"/>
                <w:szCs w:val="18"/>
                <w:color w:val="auto"/>
              </w:rPr>
              <w:t>and outstanding</w:t>
            </w:r>
          </w:p>
        </w:tc>
        <w:tc>
          <w:tcPr>
            <w:tcW w:w="2040" w:type="dxa"/>
            <w:vAlign w:val="bottom"/>
            <w:gridSpan w:val="3"/>
            <w:vMerge w:val="continue"/>
            <w:shd w:val="clear" w:color="auto" w:fill="CCFFCC"/>
          </w:tcPr>
          <w:p>
            <w:pPr>
              <w:spacing w:after="0"/>
              <w:rPr>
                <w:sz w:val="20"/>
                <w:szCs w:val="20"/>
                <w:color w:val="auto"/>
              </w:rPr>
            </w:pPr>
          </w:p>
        </w:tc>
        <w:tc>
          <w:tcPr>
            <w:tcW w:w="1020" w:type="dxa"/>
            <w:vAlign w:val="bottom"/>
            <w:gridSpan w:val="2"/>
            <w:vMerge w:val="continue"/>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640" w:type="dxa"/>
            <w:vAlign w:val="bottom"/>
            <w:gridSpan w:val="2"/>
            <w:vMerge w:val="continue"/>
            <w:shd w:val="clear" w:color="auto" w:fill="CCFFCC"/>
          </w:tcPr>
          <w:p>
            <w:pPr>
              <w:spacing w:after="0"/>
              <w:rPr>
                <w:sz w:val="20"/>
                <w:szCs w:val="20"/>
                <w:color w:val="auto"/>
              </w:rPr>
            </w:pPr>
          </w:p>
        </w:tc>
        <w:tc>
          <w:tcPr>
            <w:tcW w:w="1480" w:type="dxa"/>
            <w:vAlign w:val="bottom"/>
            <w:shd w:val="clear" w:color="auto" w:fill="CCFFCC"/>
          </w:tcPr>
          <w:p>
            <w:pPr>
              <w:jc w:val="center"/>
              <w:ind w:right="190"/>
              <w:spacing w:after="0"/>
              <w:rPr>
                <w:sz w:val="20"/>
                <w:szCs w:val="20"/>
                <w:color w:val="auto"/>
              </w:rPr>
            </w:pPr>
            <w:r>
              <w:rPr>
                <w:rFonts w:ascii="Arial" w:cs="Arial" w:eastAsia="Arial" w:hAnsi="Arial"/>
                <w:sz w:val="18"/>
                <w:szCs w:val="18"/>
                <w:color w:val="auto"/>
                <w:w w:val="79"/>
              </w:rPr>
              <w:t>6</w:t>
            </w:r>
          </w:p>
        </w:tc>
        <w:tc>
          <w:tcPr>
            <w:tcW w:w="1360" w:type="dxa"/>
            <w:vAlign w:val="bottom"/>
            <w:gridSpan w:val="3"/>
            <w:vMerge w:val="continue"/>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660" w:type="dxa"/>
            <w:vAlign w:val="bottom"/>
          </w:tcPr>
          <w:p>
            <w:pPr>
              <w:spacing w:after="0" w:line="201" w:lineRule="exact"/>
              <w:rPr>
                <w:sz w:val="20"/>
                <w:szCs w:val="20"/>
                <w:color w:val="auto"/>
              </w:rPr>
            </w:pPr>
            <w:r>
              <w:rPr>
                <w:rFonts w:ascii="Arial" w:cs="Arial" w:eastAsia="Arial" w:hAnsi="Arial"/>
                <w:sz w:val="18"/>
                <w:szCs w:val="18"/>
                <w:color w:val="auto"/>
              </w:rPr>
              <w:t>Common stock, $0.01 par value per share,</w:t>
            </w:r>
          </w:p>
        </w:tc>
        <w:tc>
          <w:tcPr>
            <w:tcW w:w="1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60" w:type="dxa"/>
            <w:vAlign w:val="bottom"/>
          </w:tcPr>
          <w:p>
            <w:pPr>
              <w:ind w:left="180"/>
              <w:spacing w:after="0"/>
              <w:rPr>
                <w:sz w:val="20"/>
                <w:szCs w:val="20"/>
                <w:color w:val="auto"/>
              </w:rPr>
            </w:pPr>
            <w:r>
              <w:rPr>
                <w:rFonts w:ascii="Arial" w:cs="Arial" w:eastAsia="Arial" w:hAnsi="Arial"/>
                <w:sz w:val="18"/>
                <w:szCs w:val="18"/>
                <w:color w:val="auto"/>
              </w:rPr>
              <w:t>150,000,000** authorized, 31,979,592</w:t>
            </w:r>
          </w:p>
        </w:tc>
        <w:tc>
          <w:tcPr>
            <w:tcW w:w="1660" w:type="dxa"/>
            <w:vAlign w:val="bottom"/>
            <w:gridSpan w:val="2"/>
            <w:vMerge w:val="restart"/>
          </w:tcPr>
          <w:p>
            <w:pPr>
              <w:jc w:val="right"/>
              <w:ind w:right="340"/>
              <w:spacing w:after="0"/>
              <w:rPr>
                <w:sz w:val="20"/>
                <w:szCs w:val="20"/>
                <w:color w:val="auto"/>
              </w:rPr>
            </w:pPr>
            <w:r>
              <w:rPr>
                <w:rFonts w:ascii="Arial" w:cs="Arial" w:eastAsia="Arial" w:hAnsi="Arial"/>
                <w:sz w:val="18"/>
                <w:szCs w:val="18"/>
                <w:b w:val="1"/>
                <w:bCs w:val="1"/>
                <w:color w:val="auto"/>
              </w:rPr>
              <w:t>1</w:t>
            </w:r>
          </w:p>
        </w:tc>
        <w:tc>
          <w:tcPr>
            <w:tcW w:w="380" w:type="dxa"/>
            <w:vAlign w:val="bottom"/>
          </w:tcPr>
          <w:p>
            <w:pPr>
              <w:spacing w:after="0"/>
              <w:rPr>
                <w:sz w:val="18"/>
                <w:szCs w:val="18"/>
                <w:color w:val="auto"/>
              </w:rPr>
            </w:pPr>
          </w:p>
        </w:tc>
        <w:tc>
          <w:tcPr>
            <w:tcW w:w="1020" w:type="dxa"/>
            <w:vAlign w:val="bottom"/>
            <w:gridSpan w:val="2"/>
            <w:vMerge w:val="restart"/>
          </w:tcPr>
          <w:p>
            <w:pPr>
              <w:jc w:val="right"/>
              <w:ind w:right="120"/>
              <w:spacing w:after="0"/>
              <w:rPr>
                <w:sz w:val="20"/>
                <w:szCs w:val="20"/>
                <w:color w:val="auto"/>
              </w:rPr>
            </w:pPr>
            <w:r>
              <w:rPr>
                <w:rFonts w:ascii="Arial" w:cs="Arial" w:eastAsia="Arial" w:hAnsi="Arial"/>
                <w:sz w:val="18"/>
                <w:szCs w:val="18"/>
                <w:b w:val="1"/>
                <w:bCs w:val="1"/>
                <w:color w:val="auto"/>
              </w:rPr>
              <w:t>139</w:t>
            </w:r>
          </w:p>
        </w:tc>
        <w:tc>
          <w:tcPr>
            <w:tcW w:w="1860" w:type="dxa"/>
            <w:vAlign w:val="bottom"/>
            <w:gridSpan w:val="3"/>
            <w:vMerge w:val="restart"/>
          </w:tcPr>
          <w:p>
            <w:pPr>
              <w:jc w:val="right"/>
              <w:ind w:right="340"/>
              <w:spacing w:after="0"/>
              <w:rPr>
                <w:sz w:val="20"/>
                <w:szCs w:val="20"/>
                <w:color w:val="auto"/>
              </w:rPr>
            </w:pPr>
            <w:r>
              <w:rPr>
                <w:rFonts w:ascii="Arial" w:cs="Arial" w:eastAsia="Arial" w:hAnsi="Arial"/>
                <w:sz w:val="18"/>
                <w:szCs w:val="18"/>
                <w:b w:val="1"/>
                <w:bCs w:val="1"/>
                <w:color w:val="auto"/>
              </w:rPr>
              <w:t>(1)</w:t>
            </w:r>
          </w:p>
        </w:tc>
        <w:tc>
          <w:tcPr>
            <w:tcW w:w="1480" w:type="dxa"/>
            <w:vAlign w:val="bottom"/>
          </w:tcPr>
          <w:p>
            <w:pPr>
              <w:spacing w:after="0"/>
              <w:rPr>
                <w:sz w:val="18"/>
                <w:szCs w:val="18"/>
                <w:color w:val="auto"/>
              </w:rPr>
            </w:pPr>
          </w:p>
        </w:tc>
        <w:tc>
          <w:tcPr>
            <w:tcW w:w="1280" w:type="dxa"/>
            <w:vAlign w:val="bottom"/>
            <w:gridSpan w:val="2"/>
            <w:vMerge w:val="restart"/>
          </w:tcPr>
          <w:p>
            <w:pPr>
              <w:jc w:val="right"/>
              <w:ind w:right="20"/>
              <w:spacing w:after="0"/>
              <w:rPr>
                <w:sz w:val="20"/>
                <w:szCs w:val="20"/>
                <w:color w:val="auto"/>
              </w:rPr>
            </w:pPr>
            <w:r>
              <w:rPr>
                <w:rFonts w:ascii="Arial" w:cs="Arial" w:eastAsia="Arial" w:hAnsi="Arial"/>
                <w:sz w:val="18"/>
                <w:szCs w:val="18"/>
                <w:b w:val="1"/>
                <w:bCs w:val="1"/>
                <w:color w:val="auto"/>
              </w:rPr>
              <w:t>320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60" w:type="dxa"/>
            <w:vAlign w:val="bottom"/>
          </w:tcPr>
          <w:p>
            <w:pPr>
              <w:ind w:left="180"/>
              <w:spacing w:after="0"/>
              <w:rPr>
                <w:sz w:val="20"/>
                <w:szCs w:val="20"/>
                <w:color w:val="auto"/>
              </w:rPr>
            </w:pPr>
            <w:r>
              <w:rPr>
                <w:rFonts w:ascii="Arial" w:cs="Arial" w:eastAsia="Arial" w:hAnsi="Arial"/>
                <w:sz w:val="18"/>
                <w:szCs w:val="18"/>
                <w:color w:val="auto"/>
              </w:rPr>
              <w:t>issued and outstanding</w:t>
            </w:r>
          </w:p>
        </w:tc>
        <w:tc>
          <w:tcPr>
            <w:tcW w:w="1660" w:type="dxa"/>
            <w:vAlign w:val="bottom"/>
            <w:gridSpan w:val="2"/>
            <w:vMerge w:val="continue"/>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1860" w:type="dxa"/>
            <w:vAlign w:val="bottom"/>
            <w:gridSpan w:val="3"/>
            <w:vMerge w:val="continue"/>
          </w:tcPr>
          <w:p>
            <w:pPr>
              <w:spacing w:after="0"/>
              <w:rPr>
                <w:sz w:val="20"/>
                <w:szCs w:val="20"/>
                <w:color w:val="auto"/>
              </w:rPr>
            </w:pPr>
          </w:p>
        </w:tc>
        <w:tc>
          <w:tcPr>
            <w:tcW w:w="1480" w:type="dxa"/>
            <w:vAlign w:val="bottom"/>
          </w:tcPr>
          <w:p>
            <w:pPr>
              <w:jc w:val="center"/>
              <w:ind w:right="190"/>
              <w:spacing w:after="0"/>
              <w:rPr>
                <w:sz w:val="20"/>
                <w:szCs w:val="20"/>
                <w:color w:val="auto"/>
              </w:rPr>
            </w:pPr>
            <w:r>
              <w:rPr>
                <w:rFonts w:ascii="Arial" w:cs="Arial" w:eastAsia="Arial" w:hAnsi="Arial"/>
                <w:sz w:val="18"/>
                <w:szCs w:val="18"/>
                <w:color w:val="auto"/>
                <w:w w:val="79"/>
              </w:rPr>
              <w:t>7</w:t>
            </w:r>
          </w:p>
        </w:tc>
        <w:tc>
          <w:tcPr>
            <w:tcW w:w="128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FFCC"/>
          </w:tcPr>
          <w:p>
            <w:pPr>
              <w:spacing w:after="0"/>
              <w:rPr>
                <w:sz w:val="18"/>
                <w:szCs w:val="18"/>
                <w:color w:val="auto"/>
              </w:rPr>
            </w:pPr>
          </w:p>
        </w:tc>
        <w:tc>
          <w:tcPr>
            <w:tcW w:w="132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860" w:type="dxa"/>
            <w:vAlign w:val="bottom"/>
            <w:gridSpan w:val="3"/>
            <w:shd w:val="clear" w:color="auto" w:fill="CCFFCC"/>
          </w:tcPr>
          <w:p>
            <w:pPr>
              <w:jc w:val="right"/>
              <w:ind w:right="400"/>
              <w:spacing w:after="0"/>
              <w:rPr>
                <w:sz w:val="20"/>
                <w:szCs w:val="20"/>
                <w:color w:val="auto"/>
              </w:rPr>
            </w:pPr>
            <w:r>
              <w:rPr>
                <w:rFonts w:ascii="Arial" w:cs="Arial" w:eastAsia="Arial" w:hAnsi="Arial"/>
                <w:sz w:val="18"/>
                <w:szCs w:val="18"/>
                <w:b w:val="1"/>
                <w:bCs w:val="1"/>
                <w:color w:val="auto"/>
              </w:rPr>
              <w:t>181</w:t>
            </w:r>
          </w:p>
        </w:tc>
        <w:tc>
          <w:tcPr>
            <w:tcW w:w="1480" w:type="dxa"/>
            <w:vAlign w:val="bottom"/>
            <w:shd w:val="clear" w:color="auto" w:fill="CCFFCC"/>
          </w:tcPr>
          <w:p>
            <w:pPr>
              <w:jc w:val="center"/>
              <w:ind w:right="190"/>
              <w:spacing w:after="0"/>
              <w:rPr>
                <w:sz w:val="20"/>
                <w:szCs w:val="20"/>
                <w:color w:val="auto"/>
              </w:rPr>
            </w:pPr>
            <w:r>
              <w:rPr>
                <w:rFonts w:ascii="Arial" w:cs="Arial" w:eastAsia="Arial" w:hAnsi="Arial"/>
                <w:sz w:val="18"/>
                <w:szCs w:val="18"/>
                <w:color w:val="auto"/>
                <w:w w:val="79"/>
              </w:rPr>
              <w:t>7</w:t>
            </w:r>
          </w:p>
        </w:tc>
        <w:tc>
          <w:tcPr>
            <w:tcW w:w="126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6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5,742</w:t>
            </w:r>
          </w:p>
        </w:tc>
        <w:tc>
          <w:tcPr>
            <w:tcW w:w="38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44,072</w:t>
            </w:r>
          </w:p>
        </w:tc>
        <w:tc>
          <w:tcPr>
            <w:tcW w:w="186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rPr>
              <w:t>(15,237)</w:t>
            </w:r>
          </w:p>
        </w:tc>
        <w:tc>
          <w:tcPr>
            <w:tcW w:w="1480" w:type="dxa"/>
            <w:vAlign w:val="bottom"/>
          </w:tcPr>
          <w:p>
            <w:pPr>
              <w:jc w:val="center"/>
              <w:ind w:right="190"/>
              <w:spacing w:after="0"/>
              <w:rPr>
                <w:sz w:val="20"/>
                <w:szCs w:val="20"/>
                <w:color w:val="auto"/>
              </w:rPr>
            </w:pPr>
            <w:r>
              <w:rPr>
                <w:rFonts w:ascii="Arial" w:cs="Arial" w:eastAsia="Arial" w:hAnsi="Arial"/>
                <w:sz w:val="18"/>
                <w:szCs w:val="18"/>
                <w:color w:val="auto"/>
                <w:w w:val="79"/>
              </w:rPr>
              <w:t>8</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51,443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FFCC"/>
          </w:tcPr>
          <w:p>
            <w:pPr>
              <w:spacing w:after="0"/>
              <w:rPr>
                <w:sz w:val="18"/>
                <w:szCs w:val="18"/>
                <w:color w:val="auto"/>
              </w:rPr>
            </w:pPr>
          </w:p>
        </w:tc>
        <w:tc>
          <w:tcPr>
            <w:tcW w:w="132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860" w:type="dxa"/>
            <w:vAlign w:val="bottom"/>
            <w:gridSpan w:val="3"/>
            <w:shd w:val="clear" w:color="auto" w:fill="CCFFCC"/>
          </w:tcPr>
          <w:p>
            <w:pPr>
              <w:jc w:val="right"/>
              <w:ind w:right="400"/>
              <w:spacing w:after="0"/>
              <w:rPr>
                <w:sz w:val="20"/>
                <w:szCs w:val="20"/>
                <w:color w:val="auto"/>
              </w:rPr>
            </w:pPr>
            <w:r>
              <w:rPr>
                <w:rFonts w:ascii="Arial" w:cs="Arial" w:eastAsia="Arial" w:hAnsi="Arial"/>
                <w:sz w:val="18"/>
                <w:szCs w:val="18"/>
                <w:b w:val="1"/>
                <w:bCs w:val="1"/>
                <w:color w:val="auto"/>
              </w:rPr>
              <w:t>6,734</w:t>
            </w:r>
          </w:p>
        </w:tc>
        <w:tc>
          <w:tcPr>
            <w:tcW w:w="1480" w:type="dxa"/>
            <w:vAlign w:val="bottom"/>
            <w:shd w:val="clear" w:color="auto" w:fill="CCFFCC"/>
          </w:tcPr>
          <w:p>
            <w:pPr>
              <w:jc w:val="center"/>
              <w:ind w:right="190"/>
              <w:spacing w:after="0"/>
              <w:rPr>
                <w:sz w:val="20"/>
                <w:szCs w:val="20"/>
                <w:color w:val="auto"/>
              </w:rPr>
            </w:pPr>
            <w:r>
              <w:rPr>
                <w:rFonts w:ascii="Arial" w:cs="Arial" w:eastAsia="Arial" w:hAnsi="Arial"/>
                <w:sz w:val="18"/>
                <w:szCs w:val="18"/>
                <w:color w:val="auto"/>
              </w:rPr>
              <w:t>1, *</w:t>
            </w:r>
          </w:p>
        </w:tc>
        <w:tc>
          <w:tcPr>
            <w:tcW w:w="126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gridSpan w:val="3"/>
          </w:tcPr>
          <w:p>
            <w:pPr>
              <w:jc w:val="right"/>
              <w:ind w:right="400"/>
              <w:spacing w:after="0"/>
              <w:rPr>
                <w:sz w:val="20"/>
                <w:szCs w:val="20"/>
                <w:color w:val="auto"/>
              </w:rPr>
            </w:pPr>
            <w:r>
              <w:rPr>
                <w:rFonts w:ascii="Arial" w:cs="Arial" w:eastAsia="Arial" w:hAnsi="Arial"/>
                <w:sz w:val="18"/>
                <w:szCs w:val="18"/>
                <w:b w:val="1"/>
                <w:bCs w:val="1"/>
                <w:color w:val="auto"/>
              </w:rPr>
              <w:t>10,132</w:t>
            </w:r>
          </w:p>
        </w:tc>
        <w:tc>
          <w:tcPr>
            <w:tcW w:w="1480" w:type="dxa"/>
            <w:vAlign w:val="bottom"/>
          </w:tcPr>
          <w:p>
            <w:pPr>
              <w:jc w:val="center"/>
              <w:ind w:right="190"/>
              <w:spacing w:after="0"/>
              <w:rPr>
                <w:sz w:val="20"/>
                <w:szCs w:val="20"/>
                <w:color w:val="auto"/>
              </w:rPr>
            </w:pPr>
            <w:r>
              <w:rPr>
                <w:rFonts w:ascii="Arial" w:cs="Arial" w:eastAsia="Arial" w:hAnsi="Arial"/>
                <w:sz w:val="18"/>
                <w:szCs w:val="18"/>
                <w:color w:val="auto"/>
              </w:rPr>
              <w:t>1, *</w:t>
            </w: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FFCC"/>
          </w:tcPr>
          <w:p>
            <w:pPr>
              <w:spacing w:after="0"/>
              <w:rPr>
                <w:sz w:val="20"/>
                <w:szCs w:val="20"/>
                <w:color w:val="auto"/>
              </w:rPr>
            </w:pPr>
            <w:r>
              <w:rPr>
                <w:rFonts w:ascii="Arial" w:cs="Arial" w:eastAsia="Arial" w:hAnsi="Arial"/>
                <w:sz w:val="18"/>
                <w:szCs w:val="18"/>
                <w:color w:val="auto"/>
              </w:rPr>
              <w:t>Accumulated deficit</w:t>
            </w:r>
          </w:p>
        </w:tc>
        <w:tc>
          <w:tcPr>
            <w:tcW w:w="166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b w:val="1"/>
                <w:bCs w:val="1"/>
                <w:color w:val="auto"/>
              </w:rPr>
              <w:t>(4,626)</w:t>
            </w:r>
          </w:p>
        </w:tc>
        <w:tc>
          <w:tcPr>
            <w:tcW w:w="38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b w:val="1"/>
                <w:bCs w:val="1"/>
                <w:color w:val="auto"/>
              </w:rPr>
              <w:t>(43,190)</w:t>
            </w:r>
          </w:p>
        </w:tc>
        <w:tc>
          <w:tcPr>
            <w:tcW w:w="1860" w:type="dxa"/>
            <w:vAlign w:val="bottom"/>
            <w:gridSpan w:val="3"/>
            <w:shd w:val="clear" w:color="auto" w:fill="CCFFCC"/>
          </w:tcPr>
          <w:p>
            <w:pPr>
              <w:jc w:val="right"/>
              <w:ind w:right="340"/>
              <w:spacing w:after="0"/>
              <w:rPr>
                <w:sz w:val="20"/>
                <w:szCs w:val="20"/>
                <w:color w:val="auto"/>
              </w:rPr>
            </w:pPr>
            <w:r>
              <w:rPr>
                <w:rFonts w:ascii="Arial" w:cs="Arial" w:eastAsia="Arial" w:hAnsi="Arial"/>
                <w:sz w:val="18"/>
                <w:szCs w:val="18"/>
                <w:b w:val="1"/>
                <w:bCs w:val="1"/>
                <w:color w:val="auto"/>
              </w:rPr>
              <w:t>(852)</w:t>
            </w:r>
          </w:p>
        </w:tc>
        <w:tc>
          <w:tcPr>
            <w:tcW w:w="1480" w:type="dxa"/>
            <w:vAlign w:val="bottom"/>
            <w:shd w:val="clear" w:color="auto" w:fill="CCFFCC"/>
          </w:tcPr>
          <w:p>
            <w:pPr>
              <w:jc w:val="center"/>
              <w:ind w:right="190"/>
              <w:spacing w:after="0"/>
              <w:rPr>
                <w:sz w:val="20"/>
                <w:szCs w:val="20"/>
                <w:color w:val="auto"/>
              </w:rPr>
            </w:pPr>
            <w:r>
              <w:rPr>
                <w:rFonts w:ascii="Arial" w:cs="Arial" w:eastAsia="Arial" w:hAnsi="Arial"/>
                <w:sz w:val="18"/>
                <w:szCs w:val="18"/>
                <w:color w:val="auto"/>
                <w:w w:val="79"/>
              </w:rPr>
              <w:t>4</w:t>
            </w:r>
          </w:p>
        </w:tc>
        <w:tc>
          <w:tcPr>
            <w:tcW w:w="1360" w:type="dxa"/>
            <w:vAlign w:val="bottom"/>
            <w:gridSpan w:val="3"/>
            <w:shd w:val="clear" w:color="auto" w:fill="CCFFCC"/>
          </w:tcPr>
          <w:p>
            <w:pPr>
              <w:jc w:val="right"/>
              <w:ind w:right="40"/>
              <w:spacing w:after="0"/>
              <w:rPr>
                <w:sz w:val="20"/>
                <w:szCs w:val="20"/>
                <w:color w:val="auto"/>
              </w:rPr>
            </w:pPr>
            <w:r>
              <w:rPr>
                <w:rFonts w:ascii="Arial" w:cs="Arial" w:eastAsia="Arial" w:hAnsi="Arial"/>
                <w:sz w:val="18"/>
                <w:szCs w:val="18"/>
                <w:b w:val="1"/>
                <w:bCs w:val="1"/>
                <w:color w:val="auto"/>
              </w:rPr>
              <w:t>(5,478)</w:t>
            </w:r>
          </w:p>
        </w:tc>
        <w:tc>
          <w:tcPr>
            <w:tcW w:w="0" w:type="dxa"/>
            <w:vAlign w:val="bottom"/>
          </w:tcPr>
          <w:p>
            <w:pPr>
              <w:spacing w:after="0"/>
              <w:rPr>
                <w:sz w:val="1"/>
                <w:szCs w:val="1"/>
                <w:color w:val="auto"/>
              </w:rPr>
            </w:pPr>
          </w:p>
        </w:tc>
      </w:tr>
      <w:tr>
        <w:trPr>
          <w:trHeight w:val="230"/>
        </w:trPr>
        <w:tc>
          <w:tcPr>
            <w:tcW w:w="36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60" w:type="dxa"/>
            <w:vAlign w:val="bottom"/>
            <w:gridSpan w:val="3"/>
          </w:tcPr>
          <w:p>
            <w:pPr>
              <w:jc w:val="right"/>
              <w:ind w:right="400"/>
              <w:spacing w:after="0"/>
              <w:rPr>
                <w:sz w:val="20"/>
                <w:szCs w:val="20"/>
                <w:color w:val="auto"/>
              </w:rPr>
            </w:pPr>
            <w:r>
              <w:rPr>
                <w:rFonts w:ascii="Arial" w:cs="Arial" w:eastAsia="Arial" w:hAnsi="Arial"/>
                <w:sz w:val="18"/>
                <w:szCs w:val="18"/>
                <w:b w:val="1"/>
                <w:bCs w:val="1"/>
                <w:color w:val="auto"/>
              </w:rPr>
              <w:t>43,190</w:t>
            </w:r>
          </w:p>
        </w:tc>
        <w:tc>
          <w:tcPr>
            <w:tcW w:w="1480" w:type="dxa"/>
            <w:vAlign w:val="bottom"/>
          </w:tcPr>
          <w:p>
            <w:pPr>
              <w:jc w:val="center"/>
              <w:ind w:right="190"/>
              <w:spacing w:after="0"/>
              <w:rPr>
                <w:sz w:val="20"/>
                <w:szCs w:val="20"/>
                <w:color w:val="auto"/>
              </w:rPr>
            </w:pPr>
            <w:r>
              <w:rPr>
                <w:rFonts w:ascii="Arial" w:cs="Arial" w:eastAsia="Arial" w:hAnsi="Arial"/>
                <w:sz w:val="18"/>
                <w:szCs w:val="18"/>
                <w:color w:val="auto"/>
                <w:w w:val="79"/>
              </w:rPr>
              <w:t>8</w:t>
            </w: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66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Total stockholders’ equity (deficit)</w:t>
            </w:r>
          </w:p>
        </w:tc>
        <w:tc>
          <w:tcPr>
            <w:tcW w:w="13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1,117</w:t>
            </w:r>
          </w:p>
        </w:tc>
        <w:tc>
          <w:tcPr>
            <w:tcW w:w="340" w:type="dxa"/>
            <w:vAlign w:val="bottom"/>
            <w:tcBorders>
              <w:top w:val="single" w:sz="8" w:color="CCFFCC"/>
            </w:tcBorders>
            <w:shd w:val="clear" w:color="auto" w:fill="CCFFCC"/>
          </w:tcPr>
          <w:p>
            <w:pPr>
              <w:spacing w:after="0"/>
              <w:rPr>
                <w:sz w:val="18"/>
                <w:szCs w:val="18"/>
                <w:color w:val="auto"/>
              </w:rPr>
            </w:pPr>
          </w:p>
        </w:tc>
        <w:tc>
          <w:tcPr>
            <w:tcW w:w="380" w:type="dxa"/>
            <w:vAlign w:val="bottom"/>
            <w:tcBorders>
              <w:top w:val="single" w:sz="8" w:color="auto"/>
              <w:bottom w:val="single" w:sz="8" w:color="auto"/>
            </w:tcBorders>
            <w:shd w:val="clear" w:color="auto" w:fill="CCFFCC"/>
          </w:tcPr>
          <w:p>
            <w:pPr>
              <w:spacing w:after="0"/>
              <w:rPr>
                <w:sz w:val="18"/>
                <w:szCs w:val="18"/>
                <w:color w:val="auto"/>
              </w:rPr>
            </w:pPr>
          </w:p>
        </w:tc>
        <w:tc>
          <w:tcPr>
            <w:tcW w:w="9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1,021</w:t>
            </w:r>
          </w:p>
        </w:tc>
        <w:tc>
          <w:tcPr>
            <w:tcW w:w="120" w:type="dxa"/>
            <w:vAlign w:val="bottom"/>
            <w:tcBorders>
              <w:top w:val="single" w:sz="8" w:color="CCFFCC"/>
            </w:tcBorders>
            <w:shd w:val="clear" w:color="auto" w:fill="CCFFCC"/>
          </w:tcPr>
          <w:p>
            <w:pPr>
              <w:spacing w:after="0"/>
              <w:rPr>
                <w:sz w:val="18"/>
                <w:szCs w:val="18"/>
                <w:color w:val="auto"/>
              </w:rPr>
            </w:pPr>
          </w:p>
        </w:tc>
        <w:tc>
          <w:tcPr>
            <w:tcW w:w="220" w:type="dxa"/>
            <w:vAlign w:val="bottom"/>
            <w:tcBorders>
              <w:top w:val="single" w:sz="8" w:color="CCFFCC"/>
            </w:tcBorders>
            <w:shd w:val="clear" w:color="auto" w:fill="CCFFCC"/>
          </w:tcPr>
          <w:p>
            <w:pPr>
              <w:spacing w:after="0"/>
              <w:rPr>
                <w:sz w:val="18"/>
                <w:szCs w:val="18"/>
                <w:color w:val="auto"/>
              </w:rPr>
            </w:pPr>
          </w:p>
        </w:tc>
        <w:tc>
          <w:tcPr>
            <w:tcW w:w="12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44,147</w:t>
            </w:r>
          </w:p>
        </w:tc>
        <w:tc>
          <w:tcPr>
            <w:tcW w:w="400" w:type="dxa"/>
            <w:vAlign w:val="bottom"/>
            <w:tcBorders>
              <w:top w:val="single" w:sz="8" w:color="CCFFCC"/>
            </w:tcBorders>
            <w:shd w:val="clear" w:color="auto" w:fill="CCFFCC"/>
          </w:tcPr>
          <w:p>
            <w:pPr>
              <w:spacing w:after="0"/>
              <w:rPr>
                <w:sz w:val="18"/>
                <w:szCs w:val="18"/>
                <w:color w:val="auto"/>
              </w:rPr>
            </w:pPr>
          </w:p>
        </w:tc>
        <w:tc>
          <w:tcPr>
            <w:tcW w:w="1480" w:type="dxa"/>
            <w:vAlign w:val="bottom"/>
            <w:tcBorders>
              <w:top w:val="single" w:sz="8" w:color="CCFFCC"/>
            </w:tcBorders>
            <w:shd w:val="clear" w:color="auto" w:fill="CCFFCC"/>
          </w:tcPr>
          <w:p>
            <w:pPr>
              <w:spacing w:after="0"/>
              <w:rPr>
                <w:sz w:val="18"/>
                <w:szCs w:val="18"/>
                <w:color w:val="auto"/>
              </w:rPr>
            </w:pPr>
          </w:p>
        </w:tc>
        <w:tc>
          <w:tcPr>
            <w:tcW w:w="12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46,285</w:t>
            </w:r>
          </w:p>
        </w:tc>
        <w:tc>
          <w:tcPr>
            <w:tcW w:w="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66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6,944</w:t>
            </w:r>
          </w:p>
        </w:tc>
        <w:tc>
          <w:tcPr>
            <w:tcW w:w="3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4,067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67,241</w:t>
            </w:r>
          </w:p>
        </w:tc>
        <w:tc>
          <w:tcPr>
            <w:tcW w:w="4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78,252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Refer to preliminary Purchase Price Allocation table on page 190 .</w:t>
      </w:r>
    </w:p>
    <w:p>
      <w:pPr>
        <w:spacing w:after="0" w:line="23" w:lineRule="exact"/>
        <w:rPr>
          <w:sz w:val="20"/>
          <w:szCs w:val="20"/>
          <w:color w:val="auto"/>
        </w:rPr>
      </w:pPr>
    </w:p>
    <w:p>
      <w:pPr>
        <w:ind w:left="340" w:hanging="332"/>
        <w:spacing w:after="0" w:line="261"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increase in common stock $0.01 par value per share, from 28,000,000 to 150,000,000, is expected to take place at the stockholders’ meeting to approve the merger.</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Notes to the Unaudited Pro Forma Consolidated Statements of Operations and Balance Sheet:</w:t>
      </w:r>
    </w:p>
    <w:p>
      <w:pPr>
        <w:spacing w:after="0" w:line="229" w:lineRule="exact"/>
        <w:rPr>
          <w:sz w:val="20"/>
          <w:szCs w:val="20"/>
          <w:color w:val="auto"/>
        </w:rPr>
      </w:pPr>
    </w:p>
    <w:p>
      <w:pPr>
        <w:ind w:left="660" w:hanging="652"/>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This pro-forma adjustment represents additional amortization expense, recorded in connection with amortizable intangible assets acquired in the Merger, assuming the acquisition of Vringo occurred on June 8, 2011:</w:t>
      </w:r>
    </w:p>
    <w:p>
      <w:pPr>
        <w:spacing w:after="0" w:line="166"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Arial" w:cs="Arial" w:eastAsia="Arial" w:hAnsi="Arial"/>
                <w:sz w:val="18"/>
                <w:szCs w:val="18"/>
                <w:b w:val="1"/>
                <w:bCs w:val="1"/>
                <w:color w:val="auto"/>
                <w:w w:val="90"/>
              </w:rPr>
              <w:t>Three month period ended</w:t>
            </w:r>
          </w:p>
        </w:tc>
      </w:tr>
      <w:tr>
        <w:trPr>
          <w:trHeight w:val="234"/>
        </w:trPr>
        <w:tc>
          <w:tcPr>
            <w:tcW w:w="4740" w:type="dxa"/>
            <w:vAlign w:val="bottom"/>
          </w:tcPr>
          <w:p>
            <w:pPr>
              <w:spacing w:after="0"/>
              <w:rPr>
                <w:sz w:val="20"/>
                <w:szCs w:val="20"/>
                <w:color w:val="auto"/>
              </w:rPr>
            </w:pPr>
          </w:p>
        </w:tc>
        <w:tc>
          <w:tcPr>
            <w:tcW w:w="20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Gross carrying amount</w:t>
            </w: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Life</w:t>
            </w:r>
          </w:p>
        </w:tc>
        <w:tc>
          <w:tcPr>
            <w:tcW w:w="2260" w:type="dxa"/>
            <w:vAlign w:val="bottom"/>
          </w:tcPr>
          <w:p>
            <w:pPr>
              <w:jc w:val="center"/>
              <w:spacing w:after="0"/>
              <w:rPr>
                <w:sz w:val="20"/>
                <w:szCs w:val="20"/>
                <w:color w:val="auto"/>
              </w:rPr>
            </w:pPr>
            <w:r>
              <w:rPr>
                <w:rFonts w:ascii="Arial" w:cs="Arial" w:eastAsia="Arial" w:hAnsi="Arial"/>
                <w:sz w:val="18"/>
                <w:szCs w:val="18"/>
                <w:b w:val="1"/>
                <w:bCs w:val="1"/>
                <w:color w:val="auto"/>
                <w:w w:val="92"/>
              </w:rPr>
              <w:t>March 31, 2012</w:t>
            </w:r>
          </w:p>
        </w:tc>
      </w:tr>
      <w:tr>
        <w:trPr>
          <w:trHeight w:val="210"/>
        </w:trPr>
        <w:tc>
          <w:tcPr>
            <w:tcW w:w="4740" w:type="dxa"/>
            <w:vAlign w:val="bottom"/>
          </w:tcPr>
          <w:p>
            <w:pPr>
              <w:spacing w:after="0"/>
              <w:rPr>
                <w:sz w:val="18"/>
                <w:szCs w:val="18"/>
                <w:color w:val="auto"/>
              </w:rPr>
            </w:pPr>
          </w:p>
        </w:tc>
        <w:tc>
          <w:tcPr>
            <w:tcW w:w="18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 — in thousands)</w:t>
            </w:r>
          </w:p>
        </w:tc>
        <w:tc>
          <w:tcPr>
            <w:tcW w:w="200" w:type="dxa"/>
            <w:vAlign w:val="bottom"/>
          </w:tcPr>
          <w:p>
            <w:pPr>
              <w:spacing w:after="0"/>
              <w:rPr>
                <w:sz w:val="18"/>
                <w:szCs w:val="18"/>
                <w:color w:val="auto"/>
              </w:rPr>
            </w:pPr>
          </w:p>
        </w:tc>
        <w:tc>
          <w:tcPr>
            <w:tcW w:w="10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(years)</w:t>
            </w:r>
          </w:p>
        </w:tc>
        <w:tc>
          <w:tcPr>
            <w:tcW w:w="200" w:type="dxa"/>
            <w:vAlign w:val="bottom"/>
          </w:tcPr>
          <w:p>
            <w:pPr>
              <w:spacing w:after="0"/>
              <w:rPr>
                <w:sz w:val="18"/>
                <w:szCs w:val="18"/>
                <w:color w:val="auto"/>
              </w:rPr>
            </w:pPr>
          </w:p>
        </w:tc>
        <w:tc>
          <w:tcPr>
            <w:tcW w:w="22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 — in thousands)</w:t>
            </w:r>
          </w:p>
        </w:tc>
      </w:tr>
      <w:tr>
        <w:trPr>
          <w:trHeight w:val="216"/>
        </w:trPr>
        <w:tc>
          <w:tcPr>
            <w:tcW w:w="47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Cost of revenue:</w:t>
            </w:r>
          </w:p>
        </w:tc>
        <w:tc>
          <w:tcPr>
            <w:tcW w:w="18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2260" w:type="dxa"/>
            <w:vAlign w:val="bottom"/>
            <w:shd w:val="clear" w:color="auto" w:fill="CCFFCC"/>
          </w:tcPr>
          <w:p>
            <w:pPr>
              <w:spacing w:after="0"/>
              <w:rPr>
                <w:sz w:val="18"/>
                <w:szCs w:val="18"/>
                <w:color w:val="auto"/>
              </w:rPr>
            </w:pPr>
          </w:p>
        </w:tc>
      </w:tr>
      <w:tr>
        <w:trPr>
          <w:trHeight w:val="216"/>
        </w:trPr>
        <w:tc>
          <w:tcPr>
            <w:tcW w:w="4740" w:type="dxa"/>
            <w:vAlign w:val="bottom"/>
            <w:tcBorders>
              <w:bottom w:val="single" w:sz="8" w:color="CCFFCC"/>
            </w:tcBorders>
          </w:tcPr>
          <w:p>
            <w:pPr>
              <w:spacing w:after="0"/>
              <w:rPr>
                <w:sz w:val="20"/>
                <w:szCs w:val="20"/>
                <w:color w:val="auto"/>
              </w:rPr>
            </w:pPr>
            <w:r>
              <w:rPr>
                <w:rFonts w:ascii="Arial" w:cs="Arial" w:eastAsia="Arial" w:hAnsi="Arial"/>
                <w:sz w:val="18"/>
                <w:szCs w:val="18"/>
                <w:color w:val="auto"/>
              </w:rPr>
              <w:t>Technology</w:t>
            </w:r>
          </w:p>
        </w:tc>
        <w:tc>
          <w:tcPr>
            <w:tcW w:w="1840" w:type="dxa"/>
            <w:vAlign w:val="bottom"/>
            <w:tcBorders>
              <w:bottom w:val="single" w:sz="8" w:color="CCFFCC"/>
            </w:tcBorders>
          </w:tcPr>
          <w:p>
            <w:pPr>
              <w:jc w:val="right"/>
              <w:spacing w:after="0"/>
              <w:rPr>
                <w:sz w:val="20"/>
                <w:szCs w:val="20"/>
                <w:color w:val="auto"/>
              </w:rPr>
            </w:pPr>
            <w:r>
              <w:rPr>
                <w:rFonts w:ascii="Arial" w:cs="Arial" w:eastAsia="Arial" w:hAnsi="Arial"/>
                <w:sz w:val="18"/>
                <w:szCs w:val="18"/>
                <w:color w:val="auto"/>
              </w:rPr>
              <w:t>10,906</w:t>
            </w:r>
          </w:p>
        </w:tc>
        <w:tc>
          <w:tcPr>
            <w:tcW w:w="200" w:type="dxa"/>
            <w:vAlign w:val="bottom"/>
            <w:tcBorders>
              <w:bottom w:val="single" w:sz="8" w:color="CCFFCC"/>
            </w:tcBorders>
          </w:tcPr>
          <w:p>
            <w:pPr>
              <w:spacing w:after="0"/>
              <w:rPr>
                <w:sz w:val="18"/>
                <w:szCs w:val="18"/>
                <w:color w:val="auto"/>
              </w:rPr>
            </w:pPr>
          </w:p>
        </w:tc>
        <w:tc>
          <w:tcPr>
            <w:tcW w:w="1020" w:type="dxa"/>
            <w:vAlign w:val="bottom"/>
            <w:tcBorders>
              <w:bottom w:val="single" w:sz="8" w:color="CCFFCC"/>
            </w:tcBorders>
          </w:tcPr>
          <w:p>
            <w:pPr>
              <w:jc w:val="right"/>
              <w:spacing w:after="0"/>
              <w:rPr>
                <w:sz w:val="20"/>
                <w:szCs w:val="20"/>
                <w:color w:val="auto"/>
              </w:rPr>
            </w:pPr>
            <w:r>
              <w:rPr>
                <w:rFonts w:ascii="Arial" w:cs="Arial" w:eastAsia="Arial" w:hAnsi="Arial"/>
                <w:sz w:val="18"/>
                <w:szCs w:val="18"/>
                <w:color w:val="auto"/>
              </w:rPr>
              <w:t>6</w:t>
            </w:r>
          </w:p>
        </w:tc>
        <w:tc>
          <w:tcPr>
            <w:tcW w:w="200" w:type="dxa"/>
            <w:vAlign w:val="bottom"/>
            <w:tcBorders>
              <w:bottom w:val="single" w:sz="8" w:color="CCFFCC"/>
            </w:tcBorders>
          </w:tcPr>
          <w:p>
            <w:pPr>
              <w:spacing w:after="0"/>
              <w:rPr>
                <w:sz w:val="18"/>
                <w:szCs w:val="18"/>
                <w:color w:val="auto"/>
              </w:rPr>
            </w:pPr>
          </w:p>
        </w:tc>
        <w:tc>
          <w:tcPr>
            <w:tcW w:w="2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w:t>
            </w:r>
          </w:p>
        </w:tc>
      </w:tr>
      <w:tr>
        <w:trPr>
          <w:trHeight w:val="210"/>
        </w:trPr>
        <w:tc>
          <w:tcPr>
            <w:tcW w:w="4740" w:type="dxa"/>
            <w:vAlign w:val="bottom"/>
            <w:shd w:val="clear" w:color="auto" w:fill="CCFFCC"/>
          </w:tcPr>
          <w:p>
            <w:pPr>
              <w:spacing w:after="0"/>
              <w:rPr>
                <w:sz w:val="18"/>
                <w:szCs w:val="18"/>
                <w:color w:val="auto"/>
              </w:rPr>
            </w:pPr>
          </w:p>
        </w:tc>
        <w:tc>
          <w:tcPr>
            <w:tcW w:w="18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22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454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-290830</wp:posOffset>
            </wp:positionV>
            <wp:extent cx="5085715" cy="146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085715" cy="146050"/>
                    </a:xfrm>
                    <a:prstGeom prst="rect">
                      <a:avLst/>
                    </a:prstGeom>
                    <a:noFill/>
                  </pic:spPr>
                </pic:pic>
              </a:graphicData>
            </a:graphic>
          </wp:anchor>
        </w:drawing>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90"/>
              </w:rPr>
              <w:t>Gross carrying</w:t>
            </w:r>
          </w:p>
        </w:tc>
        <w:tc>
          <w:tcPr>
            <w:tcW w:w="5760" w:type="dxa"/>
            <w:vAlign w:val="bottom"/>
          </w:tcPr>
          <w:p>
            <w:pPr>
              <w:ind w:left="1160"/>
              <w:spacing w:after="0"/>
              <w:rPr>
                <w:sz w:val="20"/>
                <w:szCs w:val="20"/>
                <w:color w:val="auto"/>
              </w:rPr>
            </w:pPr>
            <w:r>
              <w:rPr>
                <w:rFonts w:ascii="Arial" w:cs="Arial" w:eastAsia="Arial" w:hAnsi="Arial"/>
                <w:sz w:val="18"/>
                <w:szCs w:val="18"/>
                <w:b w:val="1"/>
                <w:bCs w:val="1"/>
                <w:color w:val="auto"/>
              </w:rPr>
              <w:t>Amortization of intangible assets and liabilities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amount</w:t>
            </w:r>
          </w:p>
        </w:tc>
        <w:tc>
          <w:tcPr>
            <w:tcW w:w="57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760" w:type="dxa"/>
            <w:vAlign w:val="bottom"/>
          </w:tcPr>
          <w:p>
            <w:pPr>
              <w:ind w:left="1420"/>
              <w:spacing w:after="0"/>
              <w:rPr>
                <w:sz w:val="20"/>
                <w:szCs w:val="20"/>
                <w:color w:val="auto"/>
              </w:rPr>
            </w:pPr>
            <w:r>
              <w:rPr>
                <w:rFonts w:ascii="Arial" w:cs="Arial" w:eastAsia="Arial" w:hAnsi="Arial"/>
                <w:sz w:val="18"/>
                <w:szCs w:val="18"/>
                <w:b w:val="1"/>
                <w:bCs w:val="1"/>
                <w:color w:val="auto"/>
              </w:rPr>
              <w:t>($ — in thousands)</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2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rPr>
              <w:t>Goodwill</w:t>
            </w:r>
          </w:p>
        </w:tc>
        <w:tc>
          <w:tcPr>
            <w:tcW w:w="1420" w:type="dxa"/>
            <w:vAlign w:val="bottom"/>
            <w:shd w:val="clear" w:color="auto" w:fill="CCFFCC"/>
          </w:tcPr>
          <w:p>
            <w:pPr>
              <w:jc w:val="center"/>
              <w:spacing w:after="0" w:line="201" w:lineRule="exact"/>
              <w:rPr>
                <w:sz w:val="20"/>
                <w:szCs w:val="20"/>
                <w:color w:val="auto"/>
              </w:rPr>
            </w:pPr>
            <w:r>
              <w:rPr>
                <w:rFonts w:ascii="Arial" w:cs="Arial" w:eastAsia="Arial" w:hAnsi="Arial"/>
                <w:sz w:val="18"/>
                <w:szCs w:val="18"/>
                <w:color w:val="auto"/>
                <w:w w:val="90"/>
              </w:rPr>
              <w:t>56,335</w:t>
            </w:r>
          </w:p>
        </w:tc>
        <w:tc>
          <w:tcPr>
            <w:tcW w:w="5760" w:type="dxa"/>
            <w:vAlign w:val="bottom"/>
            <w:shd w:val="clear" w:color="auto" w:fill="CCFFCC"/>
          </w:tcPr>
          <w:p>
            <w:pPr>
              <w:ind w:left="160"/>
              <w:spacing w:after="0" w:line="201" w:lineRule="exact"/>
              <w:rPr>
                <w:sz w:val="20"/>
                <w:szCs w:val="20"/>
                <w:color w:val="auto"/>
              </w:rPr>
            </w:pPr>
            <w:r>
              <w:rPr>
                <w:rFonts w:ascii="Arial" w:cs="Arial" w:eastAsia="Arial" w:hAnsi="Arial"/>
                <w:sz w:val="18"/>
                <w:szCs w:val="18"/>
                <w:color w:val="auto"/>
                <w:w w:val="92"/>
              </w:rPr>
              <w:t>Goodwill is reviewed for impairment at least annually in accordance with the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20" w:type="dxa"/>
            <w:vAlign w:val="bottom"/>
            <w:shd w:val="clear" w:color="auto" w:fill="CCFFCC"/>
          </w:tcPr>
          <w:p>
            <w:pPr>
              <w:spacing w:after="0"/>
              <w:rPr>
                <w:sz w:val="20"/>
                <w:szCs w:val="20"/>
                <w:color w:val="auto"/>
              </w:rPr>
            </w:pPr>
          </w:p>
        </w:tc>
        <w:tc>
          <w:tcPr>
            <w:tcW w:w="1420" w:type="dxa"/>
            <w:vAlign w:val="bottom"/>
            <w:shd w:val="clear" w:color="auto" w:fill="CCFFCC"/>
          </w:tcPr>
          <w:p>
            <w:pPr>
              <w:spacing w:after="0"/>
              <w:rPr>
                <w:sz w:val="20"/>
                <w:szCs w:val="20"/>
                <w:color w:val="auto"/>
              </w:rPr>
            </w:pPr>
          </w:p>
        </w:tc>
        <w:tc>
          <w:tcPr>
            <w:tcW w:w="57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provisions of ACS 350 “Intangibles, Goodwill and Other”</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22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rPr>
              <w:t>Fair value of vested stock options granted to</w:t>
            </w:r>
          </w:p>
        </w:tc>
        <w:tc>
          <w:tcPr>
            <w:tcW w:w="1420" w:type="dxa"/>
            <w:vAlign w:val="bottom"/>
            <w:shd w:val="clear" w:color="auto" w:fill="CCFFCC"/>
          </w:tcPr>
          <w:p>
            <w:pPr>
              <w:jc w:val="center"/>
              <w:spacing w:after="0" w:line="201" w:lineRule="exact"/>
              <w:rPr>
                <w:sz w:val="20"/>
                <w:szCs w:val="20"/>
                <w:color w:val="auto"/>
              </w:rPr>
            </w:pPr>
            <w:r>
              <w:rPr>
                <w:rFonts w:ascii="Arial" w:cs="Arial" w:eastAsia="Arial" w:hAnsi="Arial"/>
                <w:sz w:val="18"/>
                <w:szCs w:val="18"/>
                <w:color w:val="auto"/>
                <w:w w:val="88"/>
              </w:rPr>
              <w:t>6,734</w:t>
            </w:r>
          </w:p>
        </w:tc>
        <w:tc>
          <w:tcPr>
            <w:tcW w:w="5760" w:type="dxa"/>
            <w:vAlign w:val="bottom"/>
            <w:shd w:val="clear" w:color="auto" w:fill="CCFFCC"/>
          </w:tcPr>
          <w:p>
            <w:pPr>
              <w:ind w:left="160"/>
              <w:spacing w:after="0" w:line="201" w:lineRule="exact"/>
              <w:rPr>
                <w:sz w:val="20"/>
                <w:szCs w:val="20"/>
                <w:color w:val="auto"/>
              </w:rPr>
            </w:pPr>
            <w:r>
              <w:rPr>
                <w:rFonts w:ascii="Arial" w:cs="Arial" w:eastAsia="Arial" w:hAnsi="Arial"/>
                <w:sz w:val="18"/>
                <w:szCs w:val="18"/>
                <w:color w:val="auto"/>
              </w:rPr>
              <w:t>Originally allocated fair value (which also reflects the impact of partial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FFCC"/>
          </w:tcPr>
          <w:p>
            <w:pPr>
              <w:spacing w:after="0"/>
              <w:rPr>
                <w:sz w:val="20"/>
                <w:szCs w:val="20"/>
                <w:color w:val="auto"/>
              </w:rPr>
            </w:pPr>
            <w:r>
              <w:rPr>
                <w:rFonts w:ascii="Arial" w:cs="Arial" w:eastAsia="Arial" w:hAnsi="Arial"/>
                <w:sz w:val="18"/>
                <w:szCs w:val="18"/>
                <w:color w:val="auto"/>
                <w:w w:val="95"/>
              </w:rPr>
              <w:t>employees, management and consultants, classified as</w:t>
            </w:r>
          </w:p>
        </w:tc>
        <w:tc>
          <w:tcPr>
            <w:tcW w:w="1420" w:type="dxa"/>
            <w:vAlign w:val="bottom"/>
            <w:shd w:val="clear" w:color="auto" w:fill="CCFFCC"/>
          </w:tcPr>
          <w:p>
            <w:pPr>
              <w:spacing w:after="0"/>
              <w:rPr>
                <w:sz w:val="18"/>
                <w:szCs w:val="18"/>
                <w:color w:val="auto"/>
              </w:rPr>
            </w:pPr>
          </w:p>
        </w:tc>
        <w:tc>
          <w:tcPr>
            <w:tcW w:w="57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acceleration of vesting of outstanding options granted to employees,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FFCC"/>
          </w:tcPr>
          <w:p>
            <w:pPr>
              <w:spacing w:after="0"/>
              <w:rPr>
                <w:sz w:val="20"/>
                <w:szCs w:val="20"/>
                <w:color w:val="auto"/>
              </w:rPr>
            </w:pPr>
            <w:r>
              <w:rPr>
                <w:rFonts w:ascii="Arial" w:cs="Arial" w:eastAsia="Arial" w:hAnsi="Arial"/>
                <w:sz w:val="18"/>
                <w:szCs w:val="18"/>
                <w:color w:val="auto"/>
              </w:rPr>
              <w:t>equity in these consolidated pro forma financial</w:t>
            </w:r>
          </w:p>
        </w:tc>
        <w:tc>
          <w:tcPr>
            <w:tcW w:w="1420" w:type="dxa"/>
            <w:vAlign w:val="bottom"/>
            <w:shd w:val="clear" w:color="auto" w:fill="CCFFCC"/>
          </w:tcPr>
          <w:p>
            <w:pPr>
              <w:spacing w:after="0"/>
              <w:rPr>
                <w:sz w:val="18"/>
                <w:szCs w:val="18"/>
                <w:color w:val="auto"/>
              </w:rPr>
            </w:pPr>
          </w:p>
        </w:tc>
        <w:tc>
          <w:tcPr>
            <w:tcW w:w="5760" w:type="dxa"/>
            <w:vAlign w:val="bottom"/>
            <w:shd w:val="clear" w:color="auto" w:fill="CCFFCC"/>
          </w:tcPr>
          <w:p>
            <w:pPr>
              <w:ind w:left="160"/>
              <w:spacing w:after="0"/>
              <w:rPr>
                <w:sz w:val="20"/>
                <w:szCs w:val="20"/>
                <w:color w:val="auto"/>
              </w:rPr>
            </w:pPr>
            <w:r>
              <w:rPr>
                <w:rFonts w:ascii="Arial" w:cs="Arial" w:eastAsia="Arial" w:hAnsi="Arial"/>
                <w:sz w:val="18"/>
                <w:szCs w:val="18"/>
                <w:color w:val="auto"/>
                <w:w w:val="92"/>
              </w:rPr>
              <w:t>management and consultants of Vringo triggered directly by the Merger) will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FFCC"/>
          </w:tcPr>
          <w:p>
            <w:pPr>
              <w:spacing w:after="0"/>
              <w:rPr>
                <w:sz w:val="20"/>
                <w:szCs w:val="20"/>
                <w:color w:val="auto"/>
              </w:rPr>
            </w:pPr>
            <w:r>
              <w:rPr>
                <w:rFonts w:ascii="Arial" w:cs="Arial" w:eastAsia="Arial" w:hAnsi="Arial"/>
                <w:sz w:val="18"/>
                <w:szCs w:val="18"/>
                <w:color w:val="auto"/>
              </w:rPr>
              <w:t>statements</w:t>
            </w:r>
          </w:p>
        </w:tc>
        <w:tc>
          <w:tcPr>
            <w:tcW w:w="1420" w:type="dxa"/>
            <w:vAlign w:val="bottom"/>
            <w:shd w:val="clear" w:color="auto" w:fill="CCFFCC"/>
          </w:tcPr>
          <w:p>
            <w:pPr>
              <w:spacing w:after="0"/>
              <w:rPr>
                <w:sz w:val="18"/>
                <w:szCs w:val="18"/>
                <w:color w:val="auto"/>
              </w:rPr>
            </w:pPr>
          </w:p>
        </w:tc>
        <w:tc>
          <w:tcPr>
            <w:tcW w:w="57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be adjusted for options exercised. This adjustment will be recorded as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20" w:type="dxa"/>
            <w:vAlign w:val="bottom"/>
            <w:shd w:val="clear" w:color="auto" w:fill="CCFFCC"/>
          </w:tcPr>
          <w:p>
            <w:pPr>
              <w:spacing w:after="0"/>
              <w:rPr>
                <w:sz w:val="20"/>
                <w:szCs w:val="20"/>
                <w:color w:val="auto"/>
              </w:rPr>
            </w:pPr>
          </w:p>
        </w:tc>
        <w:tc>
          <w:tcPr>
            <w:tcW w:w="1420" w:type="dxa"/>
            <w:vAlign w:val="bottom"/>
            <w:shd w:val="clear" w:color="auto" w:fill="CCFFCC"/>
          </w:tcPr>
          <w:p>
            <w:pPr>
              <w:spacing w:after="0"/>
              <w:rPr>
                <w:sz w:val="20"/>
                <w:szCs w:val="20"/>
                <w:color w:val="auto"/>
              </w:rPr>
            </w:pPr>
          </w:p>
        </w:tc>
        <w:tc>
          <w:tcPr>
            <w:tcW w:w="57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internal reclassification in additional paid-in capital.</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22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rPr>
              <w:t>Fair value of outstanding warrants granted by Vringo</w:t>
            </w:r>
          </w:p>
        </w:tc>
        <w:tc>
          <w:tcPr>
            <w:tcW w:w="1420" w:type="dxa"/>
            <w:vAlign w:val="bottom"/>
            <w:shd w:val="clear" w:color="auto" w:fill="CCFFCC"/>
          </w:tcPr>
          <w:p>
            <w:pPr>
              <w:jc w:val="center"/>
              <w:spacing w:after="0" w:line="201" w:lineRule="exact"/>
              <w:rPr>
                <w:sz w:val="20"/>
                <w:szCs w:val="20"/>
                <w:color w:val="auto"/>
              </w:rPr>
            </w:pPr>
            <w:r>
              <w:rPr>
                <w:rFonts w:ascii="Arial" w:cs="Arial" w:eastAsia="Arial" w:hAnsi="Arial"/>
                <w:sz w:val="18"/>
                <w:szCs w:val="18"/>
                <w:color w:val="auto"/>
                <w:w w:val="88"/>
              </w:rPr>
              <w:t>4,106</w:t>
            </w:r>
          </w:p>
        </w:tc>
        <w:tc>
          <w:tcPr>
            <w:tcW w:w="5760" w:type="dxa"/>
            <w:vAlign w:val="bottom"/>
            <w:shd w:val="clear" w:color="auto" w:fill="CCFFCC"/>
          </w:tcPr>
          <w:p>
            <w:pPr>
              <w:ind w:left="160"/>
              <w:spacing w:after="0" w:line="201" w:lineRule="exact"/>
              <w:rPr>
                <w:sz w:val="20"/>
                <w:szCs w:val="20"/>
                <w:color w:val="auto"/>
              </w:rPr>
            </w:pPr>
            <w:r>
              <w:rPr>
                <w:rFonts w:ascii="Arial" w:cs="Arial" w:eastAsia="Arial" w:hAnsi="Arial"/>
                <w:sz w:val="18"/>
                <w:szCs w:val="18"/>
                <w:color w:val="auto"/>
                <w:w w:val="95"/>
              </w:rPr>
              <w:t>Originally allocated fair value to warrants classified as a derivative liability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FFCC"/>
          </w:tcPr>
          <w:p>
            <w:pPr>
              <w:spacing w:after="0"/>
              <w:rPr>
                <w:sz w:val="20"/>
                <w:szCs w:val="20"/>
                <w:color w:val="auto"/>
              </w:rPr>
            </w:pPr>
            <w:r>
              <w:rPr>
                <w:rFonts w:ascii="Arial" w:cs="Arial" w:eastAsia="Arial" w:hAnsi="Arial"/>
                <w:sz w:val="18"/>
                <w:szCs w:val="18"/>
                <w:color w:val="auto"/>
                <w:w w:val="96"/>
              </w:rPr>
              <w:t>prior to the Merger, classified as a long term derivative</w:t>
            </w:r>
          </w:p>
        </w:tc>
        <w:tc>
          <w:tcPr>
            <w:tcW w:w="1420" w:type="dxa"/>
            <w:vAlign w:val="bottom"/>
            <w:shd w:val="clear" w:color="auto" w:fill="CCFFCC"/>
          </w:tcPr>
          <w:p>
            <w:pPr>
              <w:spacing w:after="0"/>
              <w:rPr>
                <w:sz w:val="18"/>
                <w:szCs w:val="18"/>
                <w:color w:val="auto"/>
              </w:rPr>
            </w:pPr>
          </w:p>
        </w:tc>
        <w:tc>
          <w:tcPr>
            <w:tcW w:w="57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will be adjusted at the end of each reporting period.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FFCC"/>
          </w:tcPr>
          <w:p>
            <w:pPr>
              <w:spacing w:after="0"/>
              <w:rPr>
                <w:sz w:val="20"/>
                <w:szCs w:val="20"/>
                <w:color w:val="auto"/>
              </w:rPr>
            </w:pPr>
            <w:r>
              <w:rPr>
                <w:rFonts w:ascii="Arial" w:cs="Arial" w:eastAsia="Arial" w:hAnsi="Arial"/>
                <w:sz w:val="18"/>
                <w:szCs w:val="18"/>
                <w:color w:val="auto"/>
              </w:rPr>
              <w:t>liability, as these warrants bear certain down-round</w:t>
            </w:r>
          </w:p>
        </w:tc>
        <w:tc>
          <w:tcPr>
            <w:tcW w:w="1420" w:type="dxa"/>
            <w:vAlign w:val="bottom"/>
            <w:shd w:val="clear" w:color="auto" w:fill="CCFFCC"/>
          </w:tcPr>
          <w:p>
            <w:pPr>
              <w:spacing w:after="0"/>
              <w:rPr>
                <w:sz w:val="18"/>
                <w:szCs w:val="18"/>
                <w:color w:val="auto"/>
              </w:rPr>
            </w:pPr>
          </w:p>
        </w:tc>
        <w:tc>
          <w:tcPr>
            <w:tcW w:w="57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20" w:type="dxa"/>
            <w:vAlign w:val="bottom"/>
            <w:shd w:val="clear" w:color="auto" w:fill="CCFFCC"/>
          </w:tcPr>
          <w:p>
            <w:pPr>
              <w:spacing w:after="0"/>
              <w:rPr>
                <w:sz w:val="20"/>
                <w:szCs w:val="20"/>
                <w:color w:val="auto"/>
              </w:rPr>
            </w:pPr>
            <w:r>
              <w:rPr>
                <w:rFonts w:ascii="Arial" w:cs="Arial" w:eastAsia="Arial" w:hAnsi="Arial"/>
                <w:sz w:val="18"/>
                <w:szCs w:val="18"/>
                <w:color w:val="auto"/>
              </w:rPr>
              <w:t>protection clauses</w:t>
            </w:r>
          </w:p>
        </w:tc>
        <w:tc>
          <w:tcPr>
            <w:tcW w:w="1420" w:type="dxa"/>
            <w:vAlign w:val="bottom"/>
            <w:shd w:val="clear" w:color="auto" w:fill="CCFFCC"/>
          </w:tcPr>
          <w:p>
            <w:pPr>
              <w:spacing w:after="0"/>
              <w:rPr>
                <w:sz w:val="20"/>
                <w:szCs w:val="20"/>
                <w:color w:val="auto"/>
              </w:rPr>
            </w:pPr>
          </w:p>
        </w:tc>
        <w:tc>
          <w:tcPr>
            <w:tcW w:w="576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22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rPr>
              <w:t>Fair value of outstanding warrants granted by Vringo</w:t>
            </w:r>
          </w:p>
        </w:tc>
        <w:tc>
          <w:tcPr>
            <w:tcW w:w="1420" w:type="dxa"/>
            <w:vAlign w:val="bottom"/>
            <w:shd w:val="clear" w:color="auto" w:fill="CCFFCC"/>
          </w:tcPr>
          <w:p>
            <w:pPr>
              <w:jc w:val="center"/>
              <w:spacing w:after="0" w:line="201" w:lineRule="exact"/>
              <w:rPr>
                <w:sz w:val="20"/>
                <w:szCs w:val="20"/>
                <w:color w:val="auto"/>
              </w:rPr>
            </w:pPr>
            <w:r>
              <w:rPr>
                <w:rFonts w:ascii="Arial" w:cs="Arial" w:eastAsia="Arial" w:hAnsi="Arial"/>
                <w:sz w:val="18"/>
                <w:szCs w:val="18"/>
                <w:color w:val="auto"/>
                <w:w w:val="90"/>
              </w:rPr>
              <w:t>10,132</w:t>
            </w:r>
          </w:p>
        </w:tc>
        <w:tc>
          <w:tcPr>
            <w:tcW w:w="5760" w:type="dxa"/>
            <w:vAlign w:val="bottom"/>
            <w:shd w:val="clear" w:color="auto" w:fill="CCFFCC"/>
          </w:tcPr>
          <w:p>
            <w:pPr>
              <w:ind w:left="160"/>
              <w:spacing w:after="0" w:line="201" w:lineRule="exact"/>
              <w:rPr>
                <w:sz w:val="20"/>
                <w:szCs w:val="20"/>
                <w:color w:val="auto"/>
              </w:rPr>
            </w:pPr>
            <w:r>
              <w:rPr>
                <w:rFonts w:ascii="Arial" w:cs="Arial" w:eastAsia="Arial" w:hAnsi="Arial"/>
                <w:sz w:val="18"/>
                <w:szCs w:val="18"/>
                <w:color w:val="auto"/>
              </w:rPr>
              <w:t>Originally allocated fair value to warrants classified as equity will be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FFCC"/>
          </w:tcPr>
          <w:p>
            <w:pPr>
              <w:spacing w:after="0"/>
              <w:rPr>
                <w:sz w:val="20"/>
                <w:szCs w:val="20"/>
                <w:color w:val="auto"/>
              </w:rPr>
            </w:pPr>
            <w:r>
              <w:rPr>
                <w:rFonts w:ascii="Arial" w:cs="Arial" w:eastAsia="Arial" w:hAnsi="Arial"/>
                <w:sz w:val="18"/>
                <w:szCs w:val="18"/>
                <w:color w:val="auto"/>
              </w:rPr>
              <w:t>prior to the Merger, classified as equity, in these</w:t>
            </w:r>
          </w:p>
        </w:tc>
        <w:tc>
          <w:tcPr>
            <w:tcW w:w="1420" w:type="dxa"/>
            <w:vAlign w:val="bottom"/>
            <w:shd w:val="clear" w:color="auto" w:fill="CCFFCC"/>
          </w:tcPr>
          <w:p>
            <w:pPr>
              <w:spacing w:after="0"/>
              <w:rPr>
                <w:sz w:val="18"/>
                <w:szCs w:val="18"/>
                <w:color w:val="auto"/>
              </w:rPr>
            </w:pPr>
          </w:p>
        </w:tc>
        <w:tc>
          <w:tcPr>
            <w:tcW w:w="5760" w:type="dxa"/>
            <w:vAlign w:val="bottom"/>
            <w:shd w:val="clear" w:color="auto" w:fill="CCFFCC"/>
          </w:tcPr>
          <w:p>
            <w:pPr>
              <w:ind w:left="160"/>
              <w:spacing w:after="0"/>
              <w:rPr>
                <w:sz w:val="20"/>
                <w:szCs w:val="20"/>
                <w:color w:val="auto"/>
              </w:rPr>
            </w:pPr>
            <w:r>
              <w:rPr>
                <w:rFonts w:ascii="Arial" w:cs="Arial" w:eastAsia="Arial" w:hAnsi="Arial"/>
                <w:sz w:val="18"/>
                <w:szCs w:val="18"/>
                <w:color w:val="auto"/>
                <w:w w:val="92"/>
              </w:rPr>
              <w:t>adjusted for warrants exercised. This adjustment will be recorded as internal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20" w:type="dxa"/>
            <w:vAlign w:val="bottom"/>
            <w:shd w:val="clear" w:color="auto" w:fill="CCFFCC"/>
          </w:tcPr>
          <w:p>
            <w:pPr>
              <w:spacing w:after="0"/>
              <w:rPr>
                <w:sz w:val="20"/>
                <w:szCs w:val="20"/>
                <w:color w:val="auto"/>
              </w:rPr>
            </w:pPr>
            <w:r>
              <w:rPr>
                <w:rFonts w:ascii="Arial" w:cs="Arial" w:eastAsia="Arial" w:hAnsi="Arial"/>
                <w:sz w:val="18"/>
                <w:szCs w:val="18"/>
                <w:color w:val="auto"/>
              </w:rPr>
              <w:t>consolidated pro forma financial statements</w:t>
            </w:r>
          </w:p>
        </w:tc>
        <w:tc>
          <w:tcPr>
            <w:tcW w:w="1420" w:type="dxa"/>
            <w:vAlign w:val="bottom"/>
            <w:shd w:val="clear" w:color="auto" w:fill="CCFFCC"/>
          </w:tcPr>
          <w:p>
            <w:pPr>
              <w:spacing w:after="0"/>
              <w:rPr>
                <w:sz w:val="20"/>
                <w:szCs w:val="20"/>
                <w:color w:val="auto"/>
              </w:rPr>
            </w:pPr>
          </w:p>
        </w:tc>
        <w:tc>
          <w:tcPr>
            <w:tcW w:w="57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reclassification in additional paid-in capital.</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For these pro forma consolidated statements of operations, we assume that there was no sign of impairment of goodwill, throughout the period presented. In addition, we assume that the purchase price allocated to the fair value of outstanding warrants granted by Vringo prior to the Merger did not change over the presented period.</w:t>
      </w:r>
    </w:p>
    <w:p>
      <w:pPr>
        <w:spacing w:after="0" w:line="181"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Amortization and depreciation and capital acquisition costs, were reclassified into general and administrative: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21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Three month period</w:t>
            </w:r>
          </w:p>
        </w:tc>
        <w:tc>
          <w:tcPr>
            <w:tcW w:w="500" w:type="dxa"/>
            <w:vAlign w:val="bottom"/>
          </w:tcPr>
          <w:p>
            <w:pPr>
              <w:spacing w:after="0"/>
              <w:rPr>
                <w:sz w:val="18"/>
                <w:szCs w:val="18"/>
                <w:color w:val="auto"/>
              </w:rPr>
            </w:pPr>
          </w:p>
        </w:tc>
      </w:tr>
      <w:tr>
        <w:trPr>
          <w:trHeight w:val="234"/>
        </w:trPr>
        <w:tc>
          <w:tcPr>
            <w:tcW w:w="66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21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ended March 31, 2012</w:t>
            </w:r>
          </w:p>
        </w:tc>
        <w:tc>
          <w:tcPr>
            <w:tcW w:w="500" w:type="dxa"/>
            <w:vAlign w:val="bottom"/>
          </w:tcPr>
          <w:p>
            <w:pPr>
              <w:spacing w:after="0"/>
              <w:rPr>
                <w:sz w:val="20"/>
                <w:szCs w:val="20"/>
                <w:color w:val="auto"/>
              </w:rPr>
            </w:pPr>
          </w:p>
        </w:tc>
      </w:tr>
      <w:tr>
        <w:trPr>
          <w:trHeight w:val="210"/>
        </w:trPr>
        <w:tc>
          <w:tcPr>
            <w:tcW w:w="66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20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 — in thousands)</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600" w:type="dxa"/>
            <w:vAlign w:val="bottom"/>
            <w:shd w:val="clear" w:color="auto" w:fill="CCFFCC"/>
          </w:tcPr>
          <w:p>
            <w:pPr>
              <w:spacing w:after="0"/>
              <w:rPr>
                <w:sz w:val="20"/>
                <w:szCs w:val="20"/>
                <w:color w:val="auto"/>
              </w:rPr>
            </w:pPr>
            <w:r>
              <w:rPr>
                <w:rFonts w:ascii="Arial" w:cs="Arial" w:eastAsia="Arial" w:hAnsi="Arial"/>
                <w:sz w:val="18"/>
                <w:szCs w:val="18"/>
                <w:color w:val="auto"/>
              </w:rPr>
              <w:t>General and administrative</w:t>
            </w:r>
          </w:p>
        </w:tc>
        <w:tc>
          <w:tcPr>
            <w:tcW w:w="666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534</w:t>
            </w:r>
          </w:p>
        </w:tc>
        <w:tc>
          <w:tcPr>
            <w:tcW w:w="50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Compensation</w:t>
            </w:r>
          </w:p>
        </w:tc>
        <w:tc>
          <w:tcPr>
            <w:tcW w:w="6660" w:type="dxa"/>
            <w:vAlign w:val="bottom"/>
            <w:gridSpan w:val="3"/>
          </w:tcPr>
          <w:p>
            <w:pPr>
              <w:jc w:val="right"/>
              <w:ind w:right="40"/>
              <w:spacing w:after="0"/>
              <w:rPr>
                <w:sz w:val="20"/>
                <w:szCs w:val="20"/>
                <w:color w:val="auto"/>
              </w:rPr>
            </w:pPr>
            <w:r>
              <w:rPr>
                <w:rFonts w:ascii="Arial" w:cs="Arial" w:eastAsia="Arial" w:hAnsi="Arial"/>
                <w:sz w:val="18"/>
                <w:szCs w:val="18"/>
                <w:color w:val="auto"/>
              </w:rPr>
              <w:t>(378)</w:t>
            </w:r>
          </w:p>
        </w:tc>
        <w:tc>
          <w:tcPr>
            <w:tcW w:w="500" w:type="dxa"/>
            <w:vAlign w:val="bottom"/>
          </w:tcPr>
          <w:p>
            <w:pPr>
              <w:spacing w:after="0"/>
              <w:rPr>
                <w:sz w:val="18"/>
                <w:szCs w:val="18"/>
                <w:color w:val="auto"/>
              </w:rPr>
            </w:pPr>
          </w:p>
        </w:tc>
      </w:tr>
      <w:tr>
        <w:trPr>
          <w:trHeight w:val="230"/>
        </w:trPr>
        <w:tc>
          <w:tcPr>
            <w:tcW w:w="660" w:type="dxa"/>
            <w:vAlign w:val="bottom"/>
          </w:tcPr>
          <w:p>
            <w:pPr>
              <w:spacing w:after="0"/>
              <w:rPr>
                <w:sz w:val="19"/>
                <w:szCs w:val="19"/>
                <w:color w:val="auto"/>
              </w:rPr>
            </w:pPr>
          </w:p>
        </w:tc>
        <w:tc>
          <w:tcPr>
            <w:tcW w:w="3600" w:type="dxa"/>
            <w:vAlign w:val="bottom"/>
            <w:shd w:val="clear" w:color="auto" w:fill="CCFFCC"/>
          </w:tcPr>
          <w:p>
            <w:pPr>
              <w:spacing w:after="0"/>
              <w:rPr>
                <w:sz w:val="20"/>
                <w:szCs w:val="20"/>
                <w:color w:val="auto"/>
              </w:rPr>
            </w:pPr>
            <w:r>
              <w:rPr>
                <w:rFonts w:ascii="Arial" w:cs="Arial" w:eastAsia="Arial" w:hAnsi="Arial"/>
                <w:sz w:val="18"/>
                <w:szCs w:val="18"/>
                <w:color w:val="auto"/>
              </w:rPr>
              <w:t>Amortization and depreciation</w:t>
            </w:r>
          </w:p>
        </w:tc>
        <w:tc>
          <w:tcPr>
            <w:tcW w:w="6660" w:type="dxa"/>
            <w:vAlign w:val="bottom"/>
            <w:gridSpan w:val="3"/>
            <w:shd w:val="clear" w:color="auto" w:fill="CCFFCC"/>
          </w:tcPr>
          <w:p>
            <w:pPr>
              <w:jc w:val="right"/>
              <w:ind w:right="40"/>
              <w:spacing w:after="0"/>
              <w:rPr>
                <w:sz w:val="20"/>
                <w:szCs w:val="20"/>
                <w:color w:val="auto"/>
              </w:rPr>
            </w:pPr>
            <w:r>
              <w:rPr>
                <w:rFonts w:ascii="Arial" w:cs="Arial" w:eastAsia="Arial" w:hAnsi="Arial"/>
                <w:sz w:val="18"/>
                <w:szCs w:val="18"/>
                <w:color w:val="auto"/>
              </w:rPr>
              <w:t>(156)</w:t>
            </w:r>
          </w:p>
        </w:tc>
        <w:tc>
          <w:tcPr>
            <w:tcW w:w="500" w:type="dxa"/>
            <w:vAlign w:val="bottom"/>
          </w:tcPr>
          <w:p>
            <w:pPr>
              <w:spacing w:after="0"/>
              <w:rPr>
                <w:sz w:val="19"/>
                <w:szCs w:val="19"/>
                <w:color w:val="auto"/>
              </w:rPr>
            </w:pPr>
          </w:p>
        </w:tc>
      </w:tr>
      <w:tr>
        <w:trPr>
          <w:trHeight w:val="210"/>
        </w:trPr>
        <w:tc>
          <w:tcPr>
            <w:tcW w:w="66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2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642"/>
        </w:trPr>
        <w:tc>
          <w:tcPr>
            <w:tcW w:w="66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tcPr>
          <w:p>
            <w:pPr>
              <w:jc w:val="right"/>
              <w:ind w:right="2930"/>
              <w:spacing w:after="0"/>
              <w:rPr>
                <w:sz w:val="20"/>
                <w:szCs w:val="20"/>
                <w:color w:val="auto"/>
              </w:rPr>
            </w:pPr>
            <w:r>
              <w:rPr>
                <w:rFonts w:ascii="Arial" w:cs="Arial" w:eastAsia="Arial" w:hAnsi="Arial"/>
                <w:sz w:val="18"/>
                <w:szCs w:val="18"/>
                <w:color w:val="auto"/>
              </w:rPr>
              <w:t>6</w:t>
            </w:r>
          </w:p>
        </w:tc>
        <w:tc>
          <w:tcPr>
            <w:tcW w:w="2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11" w:name="page12"/>
    <w:bookmarkEnd w:id="11"/>
    <w:p>
      <w:pPr>
        <w:jc w:val="both"/>
        <w:ind w:left="660" w:hanging="652"/>
        <w:spacing w:after="0" w:line="297"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According to GAAP, the consolidated pro forma equity will reflect Vringo’s common stock and preferred stock, at par value, as Vringo is the legal acquirer. Shares used to calculate unaudited pro forma basic and diluted loss per share were computed by adding the shares assumed to be issued, to the weighted average number of shares outstanding for the three month period ended March 31, 2012. However, as the combined company generated only losses in the period presented, potentially dilutive securities, comprised mainly of the abovementioned preferred shares, warrants and stock options, were not reflected in pro forma diluted net loss per share, because the effect of conversion of such shares is anti-dilutive.</w:t>
      </w:r>
    </w:p>
    <w:p>
      <w:pPr>
        <w:sectPr>
          <w:pgSz w:w="11900" w:h="16838" w:orient="portrait"/>
          <w:cols w:equalWidth="0" w:num="1">
            <w:col w:w="11420"/>
          </w:cols>
          <w:pgMar w:left="240" w:top="90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Numerator: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-119380</wp:posOffset>
            </wp:positionV>
            <wp:extent cx="651764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517640" cy="137160"/>
                    </a:xfrm>
                    <a:prstGeom prst="rect">
                      <a:avLst/>
                    </a:prstGeom>
                    <a:noFill/>
                  </pic:spPr>
                </pic:pic>
              </a:graphicData>
            </a:graphic>
          </wp:anchor>
        </w:drawing>
      </w:r>
    </w:p>
    <w:p>
      <w:pPr>
        <w:spacing w:after="0" w:line="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loss attributable to common stock shares (basic and diluted):</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Denominator: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-130810</wp:posOffset>
            </wp:positionV>
            <wp:extent cx="651764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517640" cy="137160"/>
                    </a:xfrm>
                    <a:prstGeom prst="rect">
                      <a:avLst/>
                    </a:prstGeom>
                    <a:noFill/>
                  </pic:spPr>
                </pic:pic>
              </a:graphicData>
            </a:graphic>
          </wp:anchor>
        </w:drawing>
      </w:r>
    </w:p>
    <w:p>
      <w:pPr>
        <w:ind w:left="660"/>
        <w:spacing w:after="0"/>
        <w:rPr>
          <w:sz w:val="20"/>
          <w:szCs w:val="20"/>
          <w:color w:val="auto"/>
        </w:rPr>
      </w:pPr>
      <w:r>
        <w:rPr>
          <w:rFonts w:ascii="Arial" w:cs="Arial" w:eastAsia="Arial" w:hAnsi="Arial"/>
          <w:sz w:val="18"/>
          <w:szCs w:val="18"/>
          <w:color w:val="auto"/>
        </w:rPr>
        <w:t>Weighted average of Vringo common stock shares, outstanding for the period:</w:t>
      </w:r>
    </w:p>
    <w:p>
      <w:pPr>
        <w:spacing w:after="0" w:line="9" w:lineRule="exact"/>
        <w:rPr>
          <w:sz w:val="20"/>
          <w:szCs w:val="20"/>
          <w:color w:val="auto"/>
        </w:rPr>
      </w:pPr>
    </w:p>
    <w:p>
      <w:pPr>
        <w:ind w:left="840" w:right="280" w:hanging="179"/>
        <w:spacing w:after="0" w:line="250" w:lineRule="auto"/>
        <w:rPr>
          <w:sz w:val="20"/>
          <w:szCs w:val="20"/>
          <w:color w:val="auto"/>
        </w:rPr>
      </w:pPr>
      <w:r>
        <w:rPr>
          <w:rFonts w:ascii="Arial" w:cs="Arial" w:eastAsia="Arial" w:hAnsi="Arial"/>
          <w:sz w:val="18"/>
          <w:szCs w:val="18"/>
          <w:color w:val="auto"/>
        </w:rPr>
        <w:t>Weighted average of Vringo common stock shares issued to former Innovate/Protect stockholders, outstanding for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-273050</wp:posOffset>
            </wp:positionV>
            <wp:extent cx="6517640" cy="2832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517640" cy="283210"/>
                    </a:xfrm>
                    <a:prstGeom prst="rect">
                      <a:avLst/>
                    </a:prstGeom>
                    <a:noFill/>
                  </pic:spPr>
                </pic:pic>
              </a:graphicData>
            </a:graphic>
          </wp:anchor>
        </w:drawing>
      </w:r>
    </w:p>
    <w:p>
      <w:pPr>
        <w:ind w:left="660"/>
        <w:spacing w:after="0"/>
        <w:rPr>
          <w:sz w:val="20"/>
          <w:szCs w:val="20"/>
          <w:color w:val="auto"/>
        </w:rPr>
      </w:pPr>
      <w:r>
        <w:rPr>
          <w:rFonts w:ascii="Arial" w:cs="Arial" w:eastAsia="Arial" w:hAnsi="Arial"/>
          <w:sz w:val="18"/>
          <w:szCs w:val="18"/>
          <w:color w:val="auto"/>
        </w:rPr>
        <w:t>Total common stock shares outstanding, after the Merger:</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Basic and diluted net losses per share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-121920</wp:posOffset>
            </wp:positionV>
            <wp:extent cx="6517640" cy="146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517640"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jc w:val="center"/>
        <w:ind w:right="640"/>
        <w:spacing w:after="0"/>
        <w:rPr>
          <w:sz w:val="20"/>
          <w:szCs w:val="20"/>
          <w:color w:val="auto"/>
        </w:rPr>
      </w:pPr>
      <w:r>
        <w:rPr>
          <w:rFonts w:ascii="Arial" w:cs="Arial" w:eastAsia="Arial" w:hAnsi="Arial"/>
          <w:sz w:val="16"/>
          <w:szCs w:val="16"/>
          <w:b w:val="1"/>
          <w:bCs w:val="1"/>
          <w:color w:val="auto"/>
        </w:rPr>
        <w:t>Three month period ended</w:t>
      </w:r>
    </w:p>
    <w:p>
      <w:pPr>
        <w:spacing w:after="0" w:line="50"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March 31, 2012</w:t>
      </w:r>
    </w:p>
    <w:p>
      <w:pPr>
        <w:spacing w:after="0" w:line="9" w:lineRule="exact"/>
        <w:rPr>
          <w:sz w:val="20"/>
          <w:szCs w:val="20"/>
          <w:color w:val="auto"/>
        </w:rPr>
      </w:pPr>
    </w:p>
    <w:p>
      <w:pPr>
        <w:jc w:val="both"/>
        <w:ind w:left="60" w:right="680" w:hanging="5"/>
        <w:spacing w:after="0" w:line="380" w:lineRule="auto"/>
        <w:rPr>
          <w:sz w:val="20"/>
          <w:szCs w:val="20"/>
          <w:color w:val="auto"/>
        </w:rPr>
      </w:pPr>
      <w:r>
        <w:rPr>
          <w:rFonts w:ascii="Arial" w:cs="Arial" w:eastAsia="Arial" w:hAnsi="Arial"/>
          <w:sz w:val="15"/>
          <w:szCs w:val="15"/>
          <w:b w:val="1"/>
          <w:bCs w:val="1"/>
          <w:color w:val="auto"/>
        </w:rPr>
        <w:t>($ —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-346075</wp:posOffset>
            </wp:positionV>
            <wp:extent cx="136334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363345" cy="8890"/>
                    </a:xfrm>
                    <a:prstGeom prst="rect">
                      <a:avLst/>
                    </a:prstGeom>
                    <a:noFill/>
                  </pic:spPr>
                </pic:pic>
              </a:graphicData>
            </a:graphic>
          </wp:anchor>
        </w:drawing>
      </w:r>
    </w:p>
    <w:p>
      <w:pPr>
        <w:spacing w:after="0" w:line="81" w:lineRule="exact"/>
        <w:rPr>
          <w:sz w:val="20"/>
          <w:szCs w:val="20"/>
          <w:color w:val="auto"/>
        </w:rPr>
      </w:pPr>
    </w:p>
    <w:p>
      <w:pPr>
        <w:jc w:val="right"/>
        <w:ind w:right="540"/>
        <w:spacing w:after="0"/>
        <w:rPr>
          <w:sz w:val="20"/>
          <w:szCs w:val="20"/>
          <w:color w:val="auto"/>
        </w:rPr>
      </w:pPr>
      <w:r>
        <w:rPr>
          <w:rFonts w:ascii="Arial" w:cs="Arial" w:eastAsia="Arial" w:hAnsi="Arial"/>
          <w:sz w:val="18"/>
          <w:szCs w:val="18"/>
          <w:color w:val="auto"/>
        </w:rPr>
        <w:t>(7,970)</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12,371,472</w:t>
      </w:r>
    </w:p>
    <w:p>
      <w:pPr>
        <w:spacing w:after="0" w:line="250" w:lineRule="exact"/>
        <w:rPr>
          <w:sz w:val="20"/>
          <w:szCs w:val="20"/>
          <w:color w:val="auto"/>
        </w:rPr>
      </w:pPr>
    </w:p>
    <w:p>
      <w:pPr>
        <w:jc w:val="right"/>
        <w:ind w:right="600"/>
        <w:spacing w:after="0"/>
        <w:rPr>
          <w:sz w:val="20"/>
          <w:szCs w:val="20"/>
          <w:color w:val="auto"/>
        </w:rPr>
      </w:pPr>
      <w:r>
        <w:rPr>
          <w:rFonts w:ascii="Arial" w:cs="Arial" w:eastAsia="Arial" w:hAnsi="Arial"/>
          <w:sz w:val="18"/>
          <w:szCs w:val="18"/>
          <w:color w:val="auto"/>
        </w:rPr>
        <w:t>18,113,169</w:t>
      </w:r>
    </w:p>
    <w:p>
      <w:pPr>
        <w:spacing w:after="0" w:line="23" w:lineRule="exact"/>
        <w:rPr>
          <w:sz w:val="20"/>
          <w:szCs w:val="20"/>
          <w:color w:val="auto"/>
        </w:rPr>
      </w:pPr>
    </w:p>
    <w:p>
      <w:pPr>
        <w:jc w:val="right"/>
        <w:ind w:right="600"/>
        <w:spacing w:after="0"/>
        <w:rPr>
          <w:sz w:val="20"/>
          <w:szCs w:val="20"/>
          <w:color w:val="auto"/>
        </w:rPr>
      </w:pPr>
      <w:r>
        <w:rPr>
          <w:rFonts w:ascii="Arial" w:cs="Arial" w:eastAsia="Arial" w:hAnsi="Arial"/>
          <w:sz w:val="18"/>
          <w:szCs w:val="18"/>
          <w:color w:val="auto"/>
        </w:rPr>
        <w:t>30,484,641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-130810</wp:posOffset>
            </wp:positionV>
            <wp:extent cx="136334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363345" cy="8890"/>
                    </a:xfrm>
                    <a:prstGeom prst="rect">
                      <a:avLst/>
                    </a:prstGeom>
                    <a:noFill/>
                  </pic:spPr>
                </pic:pic>
              </a:graphicData>
            </a:graphic>
          </wp:anchor>
        </w:drawing>
      </w:r>
    </w:p>
    <w:p>
      <w:pPr>
        <w:spacing w:after="0" w:line="3" w:lineRule="exact"/>
        <w:rPr>
          <w:sz w:val="20"/>
          <w:szCs w:val="20"/>
          <w:color w:val="auto"/>
        </w:rPr>
      </w:pPr>
    </w:p>
    <w:p>
      <w:pPr>
        <w:jc w:val="right"/>
        <w:ind w:right="540"/>
        <w:spacing w:after="0"/>
        <w:rPr>
          <w:sz w:val="20"/>
          <w:szCs w:val="20"/>
          <w:color w:val="auto"/>
        </w:rPr>
      </w:pPr>
      <w:r>
        <w:rPr>
          <w:rFonts w:ascii="Arial" w:cs="Arial" w:eastAsia="Arial" w:hAnsi="Arial"/>
          <w:sz w:val="18"/>
          <w:szCs w:val="18"/>
          <w:color w:val="auto"/>
        </w:rPr>
        <w:t>(0.26)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14605</wp:posOffset>
            </wp:positionV>
            <wp:extent cx="136334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36334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000" w:space="720"/>
            <w:col w:w="2700"/>
          </w:cols>
          <w:pgMar w:left="240" w:top="908" w:right="239" w:bottom="1440" w:gutter="0" w:footer="0" w:header="0"/>
          <w:type w:val="continuous"/>
        </w:sectPr>
      </w:pPr>
    </w:p>
    <w:p>
      <w:pPr>
        <w:spacing w:after="0" w:line="38" w:lineRule="exact"/>
        <w:rPr>
          <w:sz w:val="20"/>
          <w:szCs w:val="20"/>
          <w:color w:val="auto"/>
        </w:rPr>
      </w:pPr>
    </w:p>
    <w:p>
      <w:pPr>
        <w:ind w:left="660" w:right="20" w:hanging="652"/>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This adjustment represents direct, incremental costs of this Merger, which were not yet reflected in the historical financial statements of either company. These costs include mainly legal, accounting and filing fees.</w:t>
      </w:r>
    </w:p>
    <w:p>
      <w:pPr>
        <w:spacing w:after="0" w:line="170" w:lineRule="exact"/>
        <w:rPr>
          <w:rFonts w:ascii="Arial" w:cs="Arial" w:eastAsia="Arial" w:hAnsi="Arial"/>
          <w:sz w:val="18"/>
          <w:szCs w:val="18"/>
          <w:color w:val="auto"/>
        </w:rPr>
      </w:pPr>
    </w:p>
    <w:p>
      <w:pPr>
        <w:jc w:val="both"/>
        <w:ind w:left="660" w:hanging="652"/>
        <w:spacing w:after="0" w:line="271"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According to the Merger Agreement, Vringo will grant former Innovate/Protect stockholders 16,809,838 warrants, at an exercise price of $1.76. 8,741,116 of these warrants bear down-round protection clauses; as a result, they will be classified as a long term derivative liability and recorded at fair value. Fair value, in the total amount of $21.7 million, was calculated using the Black-Scholes-Merton and the Monte-Carlo models, using the following assumptions: 77.96% expected volatility, a risk-free interest rate of 0.77%, estimated life of 5 years and no dividend yield. The fair value of our common stock, used for this valuation, was $3.39. We estimate there is a 30% probability that the down-round protection will be activated. Our valuation may significantly change, dependent on the deviation of actual future parameters (primarily our common stock price, that will be known on the date of the Merger), from those taken in our preliminary valuation. In these consolidated pro forma statements of operations we assume that fair value of these warrants did not change throughout the period presented.</w:t>
      </w:r>
    </w:p>
    <w:p>
      <w:pPr>
        <w:spacing w:after="0" w:line="178" w:lineRule="exact"/>
        <w:rPr>
          <w:rFonts w:ascii="Arial" w:cs="Arial" w:eastAsia="Arial" w:hAnsi="Arial"/>
          <w:sz w:val="17"/>
          <w:szCs w:val="17"/>
          <w:color w:val="auto"/>
        </w:rPr>
      </w:pPr>
    </w:p>
    <w:p>
      <w:pPr>
        <w:jc w:val="both"/>
        <w:ind w:left="660" w:hanging="652"/>
        <w:spacing w:after="0" w:line="279"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Series A Convertible Preferred stock shares, both pre and post-Merger, have certain liquidation preferences, and are otherwise convertible, at any time, at the option of the holder, subject to certain limitations. In addition, their conversion price may be subject to adjustments for anti-dilution and other corporate events. Also, under certain circumstances (as defined in the Certificate of Designations in each of the merging companies), these shares are entitled to participate in dividends, and vote, on an as converted basis.</w:t>
      </w:r>
    </w:p>
    <w:p>
      <w:pPr>
        <w:spacing w:after="0" w:line="171" w:lineRule="exact"/>
        <w:rPr>
          <w:rFonts w:ascii="Arial" w:cs="Arial" w:eastAsia="Arial" w:hAnsi="Arial"/>
          <w:sz w:val="17"/>
          <w:szCs w:val="17"/>
          <w:color w:val="auto"/>
        </w:rPr>
      </w:pPr>
    </w:p>
    <w:p>
      <w:pPr>
        <w:jc w:val="both"/>
        <w:ind w:left="660"/>
        <w:spacing w:after="0" w:line="255" w:lineRule="auto"/>
        <w:rPr>
          <w:rFonts w:ascii="Arial" w:cs="Arial" w:eastAsia="Arial" w:hAnsi="Arial"/>
          <w:sz w:val="17"/>
          <w:szCs w:val="17"/>
          <w:color w:val="auto"/>
        </w:rPr>
      </w:pPr>
      <w:r>
        <w:rPr>
          <w:rFonts w:ascii="Arial" w:cs="Arial" w:eastAsia="Arial" w:hAnsi="Arial"/>
          <w:sz w:val="18"/>
          <w:szCs w:val="18"/>
          <w:color w:val="auto"/>
        </w:rPr>
        <w:t>The 6,818 outstanding Series A Convertible Preferred stock shares, $0.0001 par value, issued by Innovate/Protect were classified as mezzanine equity, as the holder had the right to require the Company to redeem these shares in cash, upon occurrence of a triggering event which is outside the control of the company. The 6,818 Series A Convertible Preferred stock shares, $0.01 par value, to be issued by Vringo to former stockholders of Innovate/Protect, as part of this Merger, were classified as equity, as cash based redemption event is only triggered by events fully controlled by the company. As a result, in these pro forma consolidated financial statements, Innovate/Protect’s mezzanine equity, in the total amount of $1,761 thousand, was cancelled, as, according to GAAP, these pro forma consolidated financial statements will only include the 6,818 Series A Convertible Preferred stock, presented at par value.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type w:val="continuous"/>
        </w:sectPr>
      </w:pPr>
    </w:p>
    <w:bookmarkStart w:id="12" w:name="page13"/>
    <w:bookmarkEnd w:id="12"/>
    <w:p>
      <w:pPr>
        <w:ind w:left="660" w:hanging="652"/>
        <w:spacing w:after="0" w:line="308"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According to GAAP, the equity of the combined entity will reflect Vringo’s Common and Preferred stock, at par value, as Vringo is the legal acquirer. As a result, the common stock share number will be adjusted to include Vringo’s common stock shares, immediately after the merger:</w:t>
      </w:r>
    </w:p>
    <w:p>
      <w:pPr>
        <w:sectPr>
          <w:pgSz w:w="11900" w:h="16838" w:orient="portrait"/>
          <w:cols w:equalWidth="0" w:num="1">
            <w:col w:w="11420"/>
          </w:cols>
          <w:pgMar w:left="240" w:top="908" w:right="2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Vringo common stock outstanding as of March 31,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-130175</wp:posOffset>
            </wp:positionV>
            <wp:extent cx="6517640" cy="146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517640" cy="146050"/>
                    </a:xfrm>
                    <a:prstGeom prst="rect">
                      <a:avLst/>
                    </a:prstGeom>
                    <a:noFill/>
                  </pic:spPr>
                </pic:pic>
              </a:graphicData>
            </a:graphic>
          </wp:anchor>
        </w:drawing>
      </w:r>
    </w:p>
    <w:p>
      <w:pPr>
        <w:spacing w:after="0" w:line="3" w:lineRule="exact"/>
        <w:rPr>
          <w:sz w:val="20"/>
          <w:szCs w:val="20"/>
          <w:color w:val="auto"/>
        </w:rPr>
      </w:pPr>
    </w:p>
    <w:p>
      <w:pPr>
        <w:ind w:left="660" w:right="2980"/>
        <w:spacing w:after="0" w:line="341" w:lineRule="auto"/>
        <w:rPr>
          <w:sz w:val="20"/>
          <w:szCs w:val="20"/>
          <w:color w:val="auto"/>
        </w:rPr>
      </w:pPr>
      <w:r>
        <w:rPr>
          <w:rFonts w:ascii="Arial" w:cs="Arial" w:eastAsia="Arial" w:hAnsi="Arial"/>
          <w:sz w:val="16"/>
          <w:szCs w:val="16"/>
          <w:color w:val="auto"/>
        </w:rPr>
        <w:t>Vringo common stock issued to former Innovate/Protect stockholders Total common stock outstanding, pursuant to the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-185420</wp:posOffset>
            </wp:positionV>
            <wp:extent cx="6517640" cy="146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517640"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As of</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March 31, 2012</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5"/>
          <w:szCs w:val="15"/>
          <w:color w:val="auto"/>
        </w:rPr>
        <w:t>13,866,423</w:t>
      </w:r>
    </w:p>
    <w:p>
      <w:pPr>
        <w:spacing w:after="0" w:line="57" w:lineRule="exact"/>
        <w:rPr>
          <w:sz w:val="20"/>
          <w:szCs w:val="20"/>
          <w:color w:val="auto"/>
        </w:rPr>
      </w:pPr>
    </w:p>
    <w:p>
      <w:pPr>
        <w:ind w:left="660"/>
        <w:spacing w:after="0"/>
        <w:rPr>
          <w:sz w:val="20"/>
          <w:szCs w:val="20"/>
          <w:color w:val="auto"/>
        </w:rPr>
      </w:pPr>
      <w:r>
        <w:rPr>
          <w:rFonts w:ascii="Arial" w:cs="Arial" w:eastAsia="Arial" w:hAnsi="Arial"/>
          <w:sz w:val="15"/>
          <w:szCs w:val="15"/>
          <w:color w:val="auto"/>
        </w:rPr>
        <w:t>18,113,169</w:t>
      </w:r>
    </w:p>
    <w:p>
      <w:pPr>
        <w:spacing w:after="0" w:line="57" w:lineRule="exact"/>
        <w:rPr>
          <w:sz w:val="20"/>
          <w:szCs w:val="20"/>
          <w:color w:val="auto"/>
        </w:rPr>
      </w:pPr>
    </w:p>
    <w:p>
      <w:pPr>
        <w:ind w:left="660"/>
        <w:spacing w:after="0"/>
        <w:rPr>
          <w:sz w:val="20"/>
          <w:szCs w:val="20"/>
          <w:color w:val="auto"/>
        </w:rPr>
      </w:pPr>
      <w:r>
        <w:rPr>
          <w:rFonts w:ascii="Arial" w:cs="Arial" w:eastAsia="Arial" w:hAnsi="Arial"/>
          <w:sz w:val="15"/>
          <w:szCs w:val="15"/>
          <w:color w:val="auto"/>
        </w:rPr>
        <w:t>31,979,592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wp:posOffset>
            </wp:positionH>
            <wp:positionV relativeFrom="paragraph">
              <wp:posOffset>36195</wp:posOffset>
            </wp:positionV>
            <wp:extent cx="110617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72" w:lineRule="exact"/>
        <w:rPr>
          <w:sz w:val="20"/>
          <w:szCs w:val="20"/>
          <w:color w:val="auto"/>
        </w:rPr>
      </w:pPr>
    </w:p>
    <w:p>
      <w:pPr>
        <w:sectPr>
          <w:pgSz w:w="11900" w:h="16838" w:orient="portrait"/>
          <w:cols w:equalWidth="0" w:num="2">
            <w:col w:w="8640" w:space="720"/>
            <w:col w:w="2060"/>
          </w:cols>
          <w:pgMar w:left="240" w:top="908" w:right="239" w:bottom="1440" w:gutter="0" w:footer="0" w:header="0"/>
          <w:type w:val="continuous"/>
        </w:sectPr>
      </w:pPr>
    </w:p>
    <w:p>
      <w:pPr>
        <w:jc w:val="both"/>
        <w:ind w:left="660" w:hanging="652"/>
        <w:spacing w:after="0" w:line="273"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According to GAAP, in the post-combination consolidated financial statements, equity will reflect Innovate/Protect’s total equity just before the merger, plus the fair value of assumed assets of Vringo, net, as well as adjustments to equity caused by the consummation of the Merger (notes 4, 5 and 6). Specifically, in these consolidated pro forma financial statements, accumulated deficit will include only Innovate/Protect’s historical deficit, in the total amount of $4,626 thousand, plus adjustments reflected in Note 4. Vringo’s historical deficit, in the total amount of $43,190 thousand, will be cancelled upon consolidation. Finally, an adjustment to additional paid-in capital, in the total amount of $15,237 thousand was recorded, in order to adjust the total consolidated equity, as per the abovementioned GAAP requirements.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Unaudited Pro Forma Consolidated Statement of Operations, for the period from June 8, 2011 (date of inception of Innovate/Protect) through</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2011:</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3280" w:type="dxa"/>
            <w:vAlign w:val="bottom"/>
            <w:gridSpan w:val="4"/>
          </w:tcPr>
          <w:p>
            <w:pPr>
              <w:jc w:val="right"/>
              <w:ind w:right="1340"/>
              <w:spacing w:after="0"/>
              <w:rPr>
                <w:sz w:val="20"/>
                <w:szCs w:val="20"/>
                <w:color w:val="auto"/>
              </w:rPr>
            </w:pPr>
            <w:r>
              <w:rPr>
                <w:rFonts w:ascii="Arial" w:cs="Arial" w:eastAsia="Arial" w:hAnsi="Arial"/>
                <w:sz w:val="18"/>
                <w:szCs w:val="18"/>
                <w:b w:val="1"/>
                <w:bCs w:val="1"/>
                <w:color w:val="auto"/>
              </w:rPr>
              <w:t>Historical</w:t>
            </w:r>
          </w:p>
        </w:tc>
        <w:tc>
          <w:tcPr>
            <w:tcW w:w="1640" w:type="dxa"/>
            <w:vAlign w:val="bottom"/>
            <w:gridSpan w:val="2"/>
            <w:vMerge w:val="restart"/>
          </w:tcPr>
          <w:p>
            <w:pPr>
              <w:jc w:val="right"/>
              <w:ind w:right="520"/>
              <w:spacing w:after="0"/>
              <w:rPr>
                <w:sz w:val="20"/>
                <w:szCs w:val="20"/>
                <w:color w:val="auto"/>
              </w:rPr>
            </w:pPr>
            <w:r>
              <w:rPr>
                <w:rFonts w:ascii="Arial" w:cs="Arial" w:eastAsia="Arial" w:hAnsi="Arial"/>
                <w:sz w:val="18"/>
                <w:szCs w:val="18"/>
                <w:b w:val="1"/>
                <w:bCs w:val="1"/>
                <w:color w:val="auto"/>
              </w:rPr>
              <w:t>Pro Forma</w:t>
            </w:r>
          </w:p>
        </w:tc>
        <w:tc>
          <w:tcPr>
            <w:tcW w:w="1480" w:type="dxa"/>
            <w:vAlign w:val="bottom"/>
          </w:tcPr>
          <w:p>
            <w:pPr>
              <w:spacing w:after="0"/>
              <w:rPr>
                <w:sz w:val="20"/>
                <w:szCs w:val="20"/>
                <w:color w:val="auto"/>
              </w:rPr>
            </w:pPr>
          </w:p>
        </w:tc>
        <w:tc>
          <w:tcPr>
            <w:tcW w:w="1360" w:type="dxa"/>
            <w:vAlign w:val="bottom"/>
            <w:gridSpan w:val="2"/>
            <w:vMerge w:val="restart"/>
          </w:tcPr>
          <w:p>
            <w:pPr>
              <w:jc w:val="right"/>
              <w:ind w:right="220"/>
              <w:spacing w:after="0"/>
              <w:rPr>
                <w:sz w:val="20"/>
                <w:szCs w:val="20"/>
                <w:color w:val="auto"/>
              </w:rPr>
            </w:pPr>
            <w:r>
              <w:rPr>
                <w:rFonts w:ascii="Arial" w:cs="Arial" w:eastAsia="Arial" w:hAnsi="Arial"/>
                <w:sz w:val="18"/>
                <w:szCs w:val="18"/>
                <w:b w:val="1"/>
                <w:bCs w:val="1"/>
                <w:color w:val="auto"/>
              </w:rPr>
              <w:t>Pro Forma</w:t>
            </w:r>
          </w:p>
        </w:tc>
        <w:tc>
          <w:tcPr>
            <w:tcW w:w="0" w:type="dxa"/>
            <w:vAlign w:val="bottom"/>
          </w:tcPr>
          <w:p>
            <w:pPr>
              <w:spacing w:after="0"/>
              <w:rPr>
                <w:sz w:val="1"/>
                <w:szCs w:val="1"/>
                <w:color w:val="auto"/>
              </w:rPr>
            </w:pPr>
          </w:p>
        </w:tc>
      </w:tr>
      <w:tr>
        <w:trPr>
          <w:trHeight w:val="178"/>
        </w:trPr>
        <w:tc>
          <w:tcPr>
            <w:tcW w:w="3660" w:type="dxa"/>
            <w:vAlign w:val="bottom"/>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640" w:type="dxa"/>
            <w:vAlign w:val="bottom"/>
            <w:gridSpan w:val="2"/>
            <w:vMerge w:val="continue"/>
          </w:tcPr>
          <w:p>
            <w:pPr>
              <w:spacing w:after="0"/>
              <w:rPr>
                <w:sz w:val="15"/>
                <w:szCs w:val="15"/>
                <w:color w:val="auto"/>
              </w:rPr>
            </w:pPr>
          </w:p>
        </w:tc>
        <w:tc>
          <w:tcPr>
            <w:tcW w:w="148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660" w:type="dxa"/>
            <w:vAlign w:val="bottom"/>
          </w:tcPr>
          <w:p>
            <w:pPr>
              <w:spacing w:after="0"/>
              <w:rPr>
                <w:sz w:val="20"/>
                <w:szCs w:val="20"/>
                <w:color w:val="auto"/>
              </w:rPr>
            </w:pPr>
          </w:p>
        </w:tc>
        <w:tc>
          <w:tcPr>
            <w:tcW w:w="16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0"/>
              </w:rPr>
              <w:t>Innovate/Protect</w:t>
            </w:r>
          </w:p>
        </w:tc>
        <w:tc>
          <w:tcPr>
            <w:tcW w:w="162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Vringo</w:t>
            </w:r>
          </w:p>
        </w:tc>
        <w:tc>
          <w:tcPr>
            <w:tcW w:w="16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9"/>
              </w:rPr>
              <w:t>adjustments</w:t>
            </w:r>
          </w:p>
        </w:tc>
        <w:tc>
          <w:tcPr>
            <w:tcW w:w="1480" w:type="dxa"/>
            <w:vAlign w:val="bottom"/>
          </w:tcPr>
          <w:p>
            <w:pPr>
              <w:jc w:val="right"/>
              <w:ind w:right="630"/>
              <w:spacing w:after="0"/>
              <w:rPr>
                <w:sz w:val="20"/>
                <w:szCs w:val="20"/>
                <w:color w:val="auto"/>
              </w:rPr>
            </w:pPr>
            <w:r>
              <w:rPr>
                <w:rFonts w:ascii="Arial" w:cs="Arial" w:eastAsia="Arial" w:hAnsi="Arial"/>
                <w:sz w:val="18"/>
                <w:szCs w:val="18"/>
                <w:b w:val="1"/>
                <w:bCs w:val="1"/>
                <w:color w:val="auto"/>
              </w:rPr>
              <w:t>Notes</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9"/>
              </w:rPr>
              <w:t>consolidated</w:t>
            </w:r>
          </w:p>
        </w:tc>
        <w:tc>
          <w:tcPr>
            <w:tcW w:w="0" w:type="dxa"/>
            <w:vAlign w:val="bottom"/>
          </w:tcPr>
          <w:p>
            <w:pPr>
              <w:spacing w:after="0"/>
              <w:rPr>
                <w:sz w:val="1"/>
                <w:szCs w:val="1"/>
                <w:color w:val="auto"/>
              </w:rPr>
            </w:pPr>
          </w:p>
        </w:tc>
      </w:tr>
      <w:tr>
        <w:trPr>
          <w:trHeight w:val="210"/>
        </w:trPr>
        <w:tc>
          <w:tcPr>
            <w:tcW w:w="3660" w:type="dxa"/>
            <w:vAlign w:val="bottom"/>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4740" w:type="dxa"/>
            <w:vAlign w:val="bottom"/>
            <w:tcBorders>
              <w:top w:val="single" w:sz="8" w:color="auto"/>
            </w:tcBorders>
            <w:gridSpan w:val="5"/>
          </w:tcPr>
          <w:p>
            <w:pPr>
              <w:jc w:val="right"/>
              <w:ind w:right="490"/>
              <w:spacing w:after="0"/>
              <w:rPr>
                <w:sz w:val="20"/>
                <w:szCs w:val="20"/>
                <w:color w:val="auto"/>
              </w:rPr>
            </w:pPr>
            <w:r>
              <w:rPr>
                <w:rFonts w:ascii="Arial" w:cs="Arial" w:eastAsia="Arial" w:hAnsi="Arial"/>
                <w:sz w:val="18"/>
                <w:szCs w:val="18"/>
                <w:b w:val="1"/>
                <w:bCs w:val="1"/>
                <w:color w:val="auto"/>
                <w:w w:val="92"/>
              </w:rPr>
              <w:t>($ — in thousands, except share and per share data)</w:t>
            </w: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Revenue</w:t>
            </w:r>
          </w:p>
        </w:tc>
        <w:tc>
          <w:tcPr>
            <w:tcW w:w="166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b w:val="1"/>
                <w:bCs w:val="1"/>
                <w:color w:val="auto"/>
              </w:rPr>
              <w:t>—</w:t>
            </w:r>
          </w:p>
        </w:tc>
        <w:tc>
          <w:tcPr>
            <w:tcW w:w="162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b w:val="1"/>
                <w:bCs w:val="1"/>
                <w:color w:val="auto"/>
              </w:rPr>
              <w:t>415</w:t>
            </w:r>
          </w:p>
        </w:tc>
        <w:tc>
          <w:tcPr>
            <w:tcW w:w="164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b w:val="1"/>
                <w:bCs w:val="1"/>
                <w:color w:val="auto"/>
              </w:rPr>
              <w:t>—</w:t>
            </w:r>
          </w:p>
        </w:tc>
        <w:tc>
          <w:tcPr>
            <w:tcW w:w="148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415</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b w:val="1"/>
                <w:bCs w:val="1"/>
                <w:color w:val="auto"/>
              </w:rPr>
              <w:t>Costs and expenses:</w:t>
            </w: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FFCC"/>
          </w:tcPr>
          <w:p>
            <w:pPr>
              <w:spacing w:after="0"/>
              <w:rPr>
                <w:sz w:val="20"/>
                <w:szCs w:val="20"/>
                <w:color w:val="auto"/>
              </w:rPr>
            </w:pPr>
            <w:r>
              <w:rPr>
                <w:rFonts w:ascii="Arial" w:cs="Arial" w:eastAsia="Arial" w:hAnsi="Arial"/>
                <w:sz w:val="18"/>
                <w:szCs w:val="18"/>
                <w:color w:val="auto"/>
              </w:rPr>
              <w:t>Cost of revenue</w:t>
            </w:r>
          </w:p>
        </w:tc>
        <w:tc>
          <w:tcPr>
            <w:tcW w:w="166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b w:val="1"/>
                <w:bCs w:val="1"/>
                <w:color w:val="auto"/>
              </w:rPr>
              <w:t>—</w:t>
            </w:r>
          </w:p>
        </w:tc>
        <w:tc>
          <w:tcPr>
            <w:tcW w:w="162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b w:val="1"/>
                <w:bCs w:val="1"/>
                <w:color w:val="auto"/>
              </w:rPr>
              <w:t>106</w:t>
            </w:r>
          </w:p>
        </w:tc>
        <w:tc>
          <w:tcPr>
            <w:tcW w:w="164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b w:val="1"/>
                <w:bCs w:val="1"/>
                <w:color w:val="auto"/>
              </w:rPr>
              <w:t>1,026</w:t>
            </w:r>
          </w:p>
        </w:tc>
        <w:tc>
          <w:tcPr>
            <w:tcW w:w="1480" w:type="dxa"/>
            <w:vAlign w:val="bottom"/>
            <w:shd w:val="clear" w:color="auto" w:fill="CCFFCC"/>
          </w:tcPr>
          <w:p>
            <w:pPr>
              <w:jc w:val="right"/>
              <w:ind w:right="750"/>
              <w:spacing w:after="0"/>
              <w:rPr>
                <w:sz w:val="20"/>
                <w:szCs w:val="20"/>
                <w:color w:val="auto"/>
              </w:rPr>
            </w:pPr>
            <w:r>
              <w:rPr>
                <w:rFonts w:ascii="Arial" w:cs="Arial" w:eastAsia="Arial" w:hAnsi="Arial"/>
                <w:sz w:val="18"/>
                <w:szCs w:val="18"/>
                <w:color w:val="auto"/>
              </w:rPr>
              <w:t>1</w:t>
            </w:r>
          </w:p>
        </w:tc>
        <w:tc>
          <w:tcPr>
            <w:tcW w:w="13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1,132</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Operating legal costs</w:t>
            </w:r>
          </w:p>
        </w:tc>
        <w:tc>
          <w:tcPr>
            <w:tcW w:w="16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1,102</w:t>
            </w:r>
          </w:p>
        </w:tc>
        <w:tc>
          <w:tcPr>
            <w:tcW w:w="16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16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t>
            </w:r>
          </w:p>
        </w:tc>
        <w:tc>
          <w:tcPr>
            <w:tcW w:w="148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1,102</w:t>
            </w:r>
          </w:p>
        </w:tc>
        <w:tc>
          <w:tcPr>
            <w:tcW w:w="0" w:type="dxa"/>
            <w:vAlign w:val="bottom"/>
          </w:tcPr>
          <w:p>
            <w:pPr>
              <w:spacing w:after="0"/>
              <w:rPr>
                <w:sz w:val="1"/>
                <w:szCs w:val="1"/>
                <w:color w:val="auto"/>
              </w:rPr>
            </w:pPr>
          </w:p>
        </w:tc>
      </w:tr>
      <w:tr>
        <w:trPr>
          <w:trHeight w:val="216"/>
        </w:trPr>
        <w:tc>
          <w:tcPr>
            <w:tcW w:w="3660" w:type="dxa"/>
            <w:vAlign w:val="bottom"/>
            <w:shd w:val="clear" w:color="auto" w:fill="CCFFCC"/>
          </w:tcPr>
          <w:p>
            <w:pPr>
              <w:spacing w:after="0"/>
              <w:rPr>
                <w:sz w:val="20"/>
                <w:szCs w:val="20"/>
                <w:color w:val="auto"/>
              </w:rPr>
            </w:pPr>
            <w:r>
              <w:rPr>
                <w:rFonts w:ascii="Arial" w:cs="Arial" w:eastAsia="Arial" w:hAnsi="Arial"/>
                <w:sz w:val="18"/>
                <w:szCs w:val="18"/>
                <w:color w:val="auto"/>
              </w:rPr>
              <w:t>Compensation</w:t>
            </w:r>
          </w:p>
        </w:tc>
        <w:tc>
          <w:tcPr>
            <w:tcW w:w="166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b w:val="1"/>
                <w:bCs w:val="1"/>
                <w:color w:val="auto"/>
              </w:rPr>
              <w:t>997</w:t>
            </w:r>
          </w:p>
        </w:tc>
        <w:tc>
          <w:tcPr>
            <w:tcW w:w="162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b w:val="1"/>
                <w:bCs w:val="1"/>
                <w:color w:val="auto"/>
              </w:rPr>
              <w:t>—</w:t>
            </w:r>
          </w:p>
        </w:tc>
        <w:tc>
          <w:tcPr>
            <w:tcW w:w="164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b w:val="1"/>
                <w:bCs w:val="1"/>
                <w:color w:val="auto"/>
              </w:rPr>
              <w:t>(997)</w:t>
            </w:r>
          </w:p>
        </w:tc>
        <w:tc>
          <w:tcPr>
            <w:tcW w:w="1480" w:type="dxa"/>
            <w:vAlign w:val="bottom"/>
            <w:shd w:val="clear" w:color="auto" w:fill="CCFFCC"/>
          </w:tcPr>
          <w:p>
            <w:pPr>
              <w:jc w:val="right"/>
              <w:ind w:right="750"/>
              <w:spacing w:after="0"/>
              <w:rPr>
                <w:sz w:val="20"/>
                <w:szCs w:val="20"/>
                <w:color w:val="auto"/>
              </w:rPr>
            </w:pPr>
            <w:r>
              <w:rPr>
                <w:rFonts w:ascii="Arial" w:cs="Arial" w:eastAsia="Arial" w:hAnsi="Arial"/>
                <w:sz w:val="18"/>
                <w:szCs w:val="18"/>
                <w:color w:val="auto"/>
              </w:rPr>
              <w:t>2</w:t>
            </w:r>
          </w:p>
        </w:tc>
        <w:tc>
          <w:tcPr>
            <w:tcW w:w="13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Amortization and depreciation</w:t>
            </w:r>
          </w:p>
        </w:tc>
        <w:tc>
          <w:tcPr>
            <w:tcW w:w="16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328</w:t>
            </w:r>
          </w:p>
        </w:tc>
        <w:tc>
          <w:tcPr>
            <w:tcW w:w="16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16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(328)</w:t>
            </w:r>
          </w:p>
        </w:tc>
        <w:tc>
          <w:tcPr>
            <w:tcW w:w="1480" w:type="dxa"/>
            <w:vAlign w:val="bottom"/>
          </w:tcPr>
          <w:p>
            <w:pPr>
              <w:jc w:val="right"/>
              <w:ind w:right="750"/>
              <w:spacing w:after="0"/>
              <w:rPr>
                <w:sz w:val="20"/>
                <w:szCs w:val="20"/>
                <w:color w:val="auto"/>
              </w:rPr>
            </w:pPr>
            <w:r>
              <w:rPr>
                <w:rFonts w:ascii="Arial" w:cs="Arial" w:eastAsia="Arial" w:hAnsi="Arial"/>
                <w:sz w:val="18"/>
                <w:szCs w:val="18"/>
                <w:color w:val="auto"/>
              </w:rPr>
              <w:t>2</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3660" w:type="dxa"/>
            <w:vAlign w:val="bottom"/>
            <w:shd w:val="clear" w:color="auto" w:fill="CCFFCC"/>
          </w:tcPr>
          <w:p>
            <w:pPr>
              <w:spacing w:after="0"/>
              <w:rPr>
                <w:sz w:val="20"/>
                <w:szCs w:val="20"/>
                <w:color w:val="auto"/>
              </w:rPr>
            </w:pPr>
            <w:r>
              <w:rPr>
                <w:rFonts w:ascii="Arial" w:cs="Arial" w:eastAsia="Arial" w:hAnsi="Arial"/>
                <w:sz w:val="18"/>
                <w:szCs w:val="18"/>
                <w:color w:val="auto"/>
              </w:rPr>
              <w:t>Startup and capital acquisition costs</w:t>
            </w:r>
          </w:p>
        </w:tc>
        <w:tc>
          <w:tcPr>
            <w:tcW w:w="166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b w:val="1"/>
                <w:bCs w:val="1"/>
                <w:color w:val="auto"/>
              </w:rPr>
              <w:t>106</w:t>
            </w:r>
          </w:p>
        </w:tc>
        <w:tc>
          <w:tcPr>
            <w:tcW w:w="162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b w:val="1"/>
                <w:bCs w:val="1"/>
                <w:color w:val="auto"/>
              </w:rPr>
              <w:t>—</w:t>
            </w:r>
          </w:p>
        </w:tc>
        <w:tc>
          <w:tcPr>
            <w:tcW w:w="164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b w:val="1"/>
                <w:bCs w:val="1"/>
                <w:color w:val="auto"/>
              </w:rPr>
              <w:t>(106)</w:t>
            </w:r>
          </w:p>
        </w:tc>
        <w:tc>
          <w:tcPr>
            <w:tcW w:w="1480" w:type="dxa"/>
            <w:vAlign w:val="bottom"/>
            <w:shd w:val="clear" w:color="auto" w:fill="CCFFCC"/>
          </w:tcPr>
          <w:p>
            <w:pPr>
              <w:jc w:val="right"/>
              <w:ind w:right="750"/>
              <w:spacing w:after="0"/>
              <w:rPr>
                <w:sz w:val="20"/>
                <w:szCs w:val="20"/>
                <w:color w:val="auto"/>
              </w:rPr>
            </w:pPr>
            <w:r>
              <w:rPr>
                <w:rFonts w:ascii="Arial" w:cs="Arial" w:eastAsia="Arial" w:hAnsi="Arial"/>
                <w:sz w:val="18"/>
                <w:szCs w:val="18"/>
                <w:color w:val="auto"/>
              </w:rPr>
              <w:t>2</w:t>
            </w:r>
          </w:p>
        </w:tc>
        <w:tc>
          <w:tcPr>
            <w:tcW w:w="13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6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16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1,171</w:t>
            </w:r>
          </w:p>
        </w:tc>
        <w:tc>
          <w:tcPr>
            <w:tcW w:w="16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t>
            </w:r>
          </w:p>
        </w:tc>
        <w:tc>
          <w:tcPr>
            <w:tcW w:w="148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1,171</w:t>
            </w:r>
          </w:p>
        </w:tc>
        <w:tc>
          <w:tcPr>
            <w:tcW w:w="0" w:type="dxa"/>
            <w:vAlign w:val="bottom"/>
          </w:tcPr>
          <w:p>
            <w:pPr>
              <w:spacing w:after="0"/>
              <w:rPr>
                <w:sz w:val="1"/>
                <w:szCs w:val="1"/>
                <w:color w:val="auto"/>
              </w:rPr>
            </w:pPr>
          </w:p>
        </w:tc>
      </w:tr>
      <w:tr>
        <w:trPr>
          <w:trHeight w:val="216"/>
        </w:trPr>
        <w:tc>
          <w:tcPr>
            <w:tcW w:w="3660" w:type="dxa"/>
            <w:vAlign w:val="bottom"/>
            <w:shd w:val="clear" w:color="auto" w:fill="CCFFCC"/>
          </w:tcPr>
          <w:p>
            <w:pPr>
              <w:spacing w:after="0"/>
              <w:rPr>
                <w:sz w:val="20"/>
                <w:szCs w:val="20"/>
                <w:color w:val="auto"/>
              </w:rPr>
            </w:pPr>
            <w:r>
              <w:rPr>
                <w:rFonts w:ascii="Arial" w:cs="Arial" w:eastAsia="Arial" w:hAnsi="Arial"/>
                <w:sz w:val="18"/>
                <w:szCs w:val="18"/>
                <w:color w:val="auto"/>
              </w:rPr>
              <w:t>Marketing</w:t>
            </w:r>
          </w:p>
        </w:tc>
        <w:tc>
          <w:tcPr>
            <w:tcW w:w="166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b w:val="1"/>
                <w:bCs w:val="1"/>
                <w:color w:val="auto"/>
              </w:rPr>
              <w:t>—</w:t>
            </w:r>
          </w:p>
        </w:tc>
        <w:tc>
          <w:tcPr>
            <w:tcW w:w="162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b w:val="1"/>
                <w:bCs w:val="1"/>
                <w:color w:val="auto"/>
              </w:rPr>
              <w:t>1,084</w:t>
            </w:r>
          </w:p>
        </w:tc>
        <w:tc>
          <w:tcPr>
            <w:tcW w:w="164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b w:val="1"/>
                <w:bCs w:val="1"/>
                <w:color w:val="auto"/>
              </w:rPr>
              <w:t>—</w:t>
            </w:r>
          </w:p>
        </w:tc>
        <w:tc>
          <w:tcPr>
            <w:tcW w:w="148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1,084</w:t>
            </w:r>
          </w:p>
        </w:tc>
        <w:tc>
          <w:tcPr>
            <w:tcW w:w="0" w:type="dxa"/>
            <w:vAlign w:val="bottom"/>
          </w:tcPr>
          <w:p>
            <w:pPr>
              <w:spacing w:after="0"/>
              <w:rPr>
                <w:sz w:val="1"/>
                <w:szCs w:val="1"/>
                <w:color w:val="auto"/>
              </w:rPr>
            </w:pPr>
          </w:p>
        </w:tc>
      </w:t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6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213</w:t>
            </w:r>
          </w:p>
        </w:tc>
        <w:tc>
          <w:tcPr>
            <w:tcW w:w="16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1,610</w:t>
            </w:r>
          </w:p>
        </w:tc>
        <w:tc>
          <w:tcPr>
            <w:tcW w:w="16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1,431</w:t>
            </w:r>
          </w:p>
        </w:tc>
        <w:tc>
          <w:tcPr>
            <w:tcW w:w="1480" w:type="dxa"/>
            <w:vAlign w:val="bottom"/>
          </w:tcPr>
          <w:p>
            <w:pPr>
              <w:jc w:val="right"/>
              <w:ind w:right="750"/>
              <w:spacing w:after="0"/>
              <w:rPr>
                <w:sz w:val="20"/>
                <w:szCs w:val="20"/>
                <w:color w:val="auto"/>
              </w:rPr>
            </w:pPr>
            <w:r>
              <w:rPr>
                <w:rFonts w:ascii="Arial" w:cs="Arial" w:eastAsia="Arial" w:hAnsi="Arial"/>
                <w:sz w:val="18"/>
                <w:szCs w:val="18"/>
                <w:color w:val="auto"/>
              </w:rPr>
              <w:t>2</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3,254</w:t>
            </w:r>
          </w:p>
        </w:tc>
        <w:tc>
          <w:tcPr>
            <w:tcW w:w="0" w:type="dxa"/>
            <w:vAlign w:val="bottom"/>
          </w:tcPr>
          <w:p>
            <w:pPr>
              <w:spacing w:after="0"/>
              <w:rPr>
                <w:sz w:val="1"/>
                <w:szCs w:val="1"/>
                <w:color w:val="auto"/>
              </w:rPr>
            </w:pPr>
          </w:p>
        </w:tc>
      </w:tr>
      <w:tr>
        <w:trPr>
          <w:trHeight w:val="210"/>
        </w:trPr>
        <w:tc>
          <w:tcPr>
            <w:tcW w:w="366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Total operating expenses:</w:t>
            </w:r>
          </w:p>
        </w:tc>
        <w:tc>
          <w:tcPr>
            <w:tcW w:w="13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2,746</w:t>
            </w:r>
          </w:p>
        </w:tc>
        <w:tc>
          <w:tcPr>
            <w:tcW w:w="340" w:type="dxa"/>
            <w:vAlign w:val="bottom"/>
            <w:tcBorders>
              <w:top w:val="single" w:sz="8" w:color="CCFFCC"/>
            </w:tcBorders>
            <w:shd w:val="clear" w:color="auto" w:fill="CCFFCC"/>
          </w:tcPr>
          <w:p>
            <w:pPr>
              <w:spacing w:after="0"/>
              <w:rPr>
                <w:sz w:val="18"/>
                <w:szCs w:val="18"/>
                <w:color w:val="auto"/>
              </w:rPr>
            </w:pPr>
          </w:p>
        </w:tc>
        <w:tc>
          <w:tcPr>
            <w:tcW w:w="12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3,971</w:t>
            </w:r>
          </w:p>
        </w:tc>
        <w:tc>
          <w:tcPr>
            <w:tcW w:w="340" w:type="dxa"/>
            <w:vAlign w:val="bottom"/>
            <w:tcBorders>
              <w:top w:val="single" w:sz="8" w:color="CCFFCC"/>
            </w:tcBorders>
            <w:shd w:val="clear" w:color="auto" w:fill="CCFFCC"/>
          </w:tcPr>
          <w:p>
            <w:pPr>
              <w:spacing w:after="0"/>
              <w:rPr>
                <w:sz w:val="18"/>
                <w:szCs w:val="18"/>
                <w:color w:val="auto"/>
              </w:rPr>
            </w:pPr>
          </w:p>
        </w:tc>
        <w:tc>
          <w:tcPr>
            <w:tcW w:w="12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1,026</w:t>
            </w:r>
          </w:p>
        </w:tc>
        <w:tc>
          <w:tcPr>
            <w:tcW w:w="400" w:type="dxa"/>
            <w:vAlign w:val="bottom"/>
            <w:tcBorders>
              <w:top w:val="single" w:sz="8" w:color="CCFFCC"/>
            </w:tcBorders>
            <w:shd w:val="clear" w:color="auto" w:fill="CCFFCC"/>
          </w:tcPr>
          <w:p>
            <w:pPr>
              <w:spacing w:after="0"/>
              <w:rPr>
                <w:sz w:val="18"/>
                <w:szCs w:val="18"/>
                <w:color w:val="auto"/>
              </w:rPr>
            </w:pPr>
          </w:p>
        </w:tc>
        <w:tc>
          <w:tcPr>
            <w:tcW w:w="1480" w:type="dxa"/>
            <w:vAlign w:val="bottom"/>
            <w:tcBorders>
              <w:top w:val="single" w:sz="8" w:color="CCFFCC"/>
            </w:tcBorders>
            <w:shd w:val="clear" w:color="auto" w:fill="CCFFCC"/>
          </w:tcPr>
          <w:p>
            <w:pPr>
              <w:spacing w:after="0"/>
              <w:rPr>
                <w:sz w:val="18"/>
                <w:szCs w:val="18"/>
                <w:color w:val="auto"/>
              </w:rPr>
            </w:pPr>
          </w:p>
        </w:tc>
        <w:tc>
          <w:tcPr>
            <w:tcW w:w="12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7,743</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60" w:type="dxa"/>
            <w:vAlign w:val="bottom"/>
            <w:tcBorders>
              <w:bottom w:val="single" w:sz="8" w:color="CCFFCC"/>
            </w:tcBorders>
          </w:tcPr>
          <w:p>
            <w:pPr>
              <w:spacing w:after="0"/>
              <w:rPr>
                <w:sz w:val="20"/>
                <w:szCs w:val="20"/>
                <w:color w:val="auto"/>
              </w:rPr>
            </w:pPr>
            <w:r>
              <w:rPr>
                <w:rFonts w:ascii="Arial" w:cs="Arial" w:eastAsia="Arial" w:hAnsi="Arial"/>
                <w:sz w:val="18"/>
                <w:szCs w:val="18"/>
                <w:b w:val="1"/>
                <w:bCs w:val="1"/>
                <w:color w:val="auto"/>
              </w:rPr>
              <w:t>Operating loss:</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(2,746</w:t>
            </w:r>
          </w:p>
        </w:tc>
        <w:tc>
          <w:tcPr>
            <w:tcW w:w="340" w:type="dxa"/>
            <w:vAlign w:val="bottom"/>
            <w:tcBorders>
              <w:bottom w:val="single" w:sz="8" w:color="CCFFCC"/>
            </w:tcBorders>
          </w:tcPr>
          <w:p>
            <w:pPr>
              <w:jc w:val="right"/>
              <w:ind w:right="200"/>
              <w:spacing w:after="0"/>
              <w:rPr>
                <w:sz w:val="20"/>
                <w:szCs w:val="20"/>
                <w:color w:val="auto"/>
              </w:rPr>
            </w:pPr>
            <w:r>
              <w:rPr>
                <w:rFonts w:ascii="Arial" w:cs="Arial" w:eastAsia="Arial" w:hAnsi="Arial"/>
                <w:sz w:val="16"/>
                <w:szCs w:val="16"/>
                <w:b w:val="1"/>
                <w:bCs w:val="1"/>
                <w:color w:val="auto"/>
                <w:w w:val="74"/>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(3,556</w:t>
            </w:r>
          </w:p>
        </w:tc>
        <w:tc>
          <w:tcPr>
            <w:tcW w:w="340" w:type="dxa"/>
            <w:vAlign w:val="bottom"/>
            <w:tcBorders>
              <w:bottom w:val="single" w:sz="8" w:color="CCFFCC"/>
            </w:tcBorders>
          </w:tcPr>
          <w:p>
            <w:pPr>
              <w:jc w:val="right"/>
              <w:ind w:right="200"/>
              <w:spacing w:after="0"/>
              <w:rPr>
                <w:sz w:val="20"/>
                <w:szCs w:val="20"/>
                <w:color w:val="auto"/>
              </w:rPr>
            </w:pPr>
            <w:r>
              <w:rPr>
                <w:rFonts w:ascii="Arial" w:cs="Arial" w:eastAsia="Arial" w:hAnsi="Arial"/>
                <w:sz w:val="16"/>
                <w:szCs w:val="16"/>
                <w:b w:val="1"/>
                <w:bCs w:val="1"/>
                <w:color w:val="auto"/>
                <w:w w:val="74"/>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(1,026</w:t>
            </w:r>
          </w:p>
        </w:tc>
        <w:tc>
          <w:tcPr>
            <w:tcW w:w="400" w:type="dxa"/>
            <w:vAlign w:val="bottom"/>
            <w:tcBorders>
              <w:bottom w:val="single" w:sz="8" w:color="CCFFCC"/>
            </w:tcBorders>
          </w:tcPr>
          <w:p>
            <w:pPr>
              <w:jc w:val="right"/>
              <w:ind w:right="260"/>
              <w:spacing w:after="0"/>
              <w:rPr>
                <w:sz w:val="20"/>
                <w:szCs w:val="20"/>
                <w:color w:val="auto"/>
              </w:rPr>
            </w:pPr>
            <w:r>
              <w:rPr>
                <w:rFonts w:ascii="Arial" w:cs="Arial" w:eastAsia="Arial" w:hAnsi="Arial"/>
                <w:sz w:val="16"/>
                <w:szCs w:val="16"/>
                <w:b w:val="1"/>
                <w:bCs w:val="1"/>
                <w:color w:val="auto"/>
                <w:w w:val="74"/>
              </w:rPr>
              <w:t>)</w:t>
            </w:r>
          </w:p>
        </w:tc>
        <w:tc>
          <w:tcPr>
            <w:tcW w:w="1480" w:type="dxa"/>
            <w:vAlign w:val="bottom"/>
            <w:tcBorders>
              <w:bottom w:val="single" w:sz="8" w:color="CCFFCC"/>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(7,328</w:t>
            </w:r>
          </w:p>
        </w:tc>
        <w:tc>
          <w:tcPr>
            <w:tcW w:w="100" w:type="dxa"/>
            <w:vAlign w:val="bottom"/>
            <w:tcBorders>
              <w:bottom w:val="single" w:sz="8" w:color="CCFFCC"/>
            </w:tcBorders>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10"/>
        </w:trPr>
        <w:tc>
          <w:tcPr>
            <w:tcW w:w="3660" w:type="dxa"/>
            <w:vAlign w:val="bottom"/>
            <w:shd w:val="clear" w:color="auto" w:fill="CCFFCC"/>
          </w:tcPr>
          <w:p>
            <w:pPr>
              <w:spacing w:after="0"/>
              <w:rPr>
                <w:sz w:val="20"/>
                <w:szCs w:val="20"/>
                <w:color w:val="auto"/>
              </w:rPr>
            </w:pPr>
            <w:r>
              <w:rPr>
                <w:rFonts w:ascii="Arial" w:cs="Arial" w:eastAsia="Arial" w:hAnsi="Arial"/>
                <w:sz w:val="18"/>
                <w:szCs w:val="18"/>
                <w:color w:val="auto"/>
              </w:rPr>
              <w:t>Non-operating income (expense)</w:t>
            </w:r>
          </w:p>
        </w:tc>
        <w:tc>
          <w:tcPr>
            <w:tcW w:w="16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(8)</w:t>
            </w:r>
          </w:p>
        </w:tc>
        <w:tc>
          <w:tcPr>
            <w:tcW w:w="12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13</w:t>
            </w:r>
          </w:p>
        </w:tc>
        <w:tc>
          <w:tcPr>
            <w:tcW w:w="340" w:type="dxa"/>
            <w:vAlign w:val="bottom"/>
            <w:shd w:val="clear" w:color="auto" w:fill="CCFFCC"/>
          </w:tcPr>
          <w:p>
            <w:pPr>
              <w:spacing w:after="0"/>
              <w:rPr>
                <w:sz w:val="18"/>
                <w:szCs w:val="18"/>
                <w:color w:val="auto"/>
              </w:rPr>
            </w:pP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FFCC"/>
          </w:tcPr>
          <w:p>
            <w:pPr>
              <w:spacing w:after="0"/>
              <w:rPr>
                <w:sz w:val="18"/>
                <w:szCs w:val="18"/>
                <w:color w:val="auto"/>
              </w:rPr>
            </w:pPr>
          </w:p>
        </w:tc>
        <w:tc>
          <w:tcPr>
            <w:tcW w:w="1480" w:type="dxa"/>
            <w:vAlign w:val="bottom"/>
            <w:shd w:val="clear" w:color="auto" w:fill="CCFFCC"/>
          </w:tcPr>
          <w:p>
            <w:pPr>
              <w:spacing w:after="0"/>
              <w:rPr>
                <w:sz w:val="18"/>
                <w:szCs w:val="18"/>
                <w:color w:val="auto"/>
              </w:rPr>
            </w:pP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660" w:type="dxa"/>
            <w:vAlign w:val="bottom"/>
          </w:tcPr>
          <w:p>
            <w:pPr>
              <w:spacing w:after="0" w:line="201" w:lineRule="exact"/>
              <w:rPr>
                <w:sz w:val="20"/>
                <w:szCs w:val="20"/>
                <w:color w:val="auto"/>
              </w:rPr>
            </w:pPr>
            <w:r>
              <w:rPr>
                <w:rFonts w:ascii="Arial" w:cs="Arial" w:eastAsia="Arial" w:hAnsi="Arial"/>
                <w:sz w:val="18"/>
                <w:szCs w:val="18"/>
                <w:color w:val="auto"/>
              </w:rPr>
              <w:t>Interest and amortization of debt discount</w:t>
            </w:r>
          </w:p>
        </w:tc>
        <w:tc>
          <w:tcPr>
            <w:tcW w:w="1660" w:type="dxa"/>
            <w:vAlign w:val="bottom"/>
            <w:gridSpan w:val="2"/>
            <w:vMerge w:val="restart"/>
          </w:tcPr>
          <w:p>
            <w:pPr>
              <w:jc w:val="right"/>
              <w:ind w:right="260"/>
              <w:spacing w:after="0"/>
              <w:rPr>
                <w:sz w:val="20"/>
                <w:szCs w:val="20"/>
                <w:color w:val="auto"/>
              </w:rPr>
            </w:pPr>
            <w:r>
              <w:rPr>
                <w:rFonts w:ascii="Arial" w:cs="Arial" w:eastAsia="Arial" w:hAnsi="Arial"/>
                <w:sz w:val="18"/>
                <w:szCs w:val="18"/>
                <w:b w:val="1"/>
                <w:bCs w:val="1"/>
                <w:color w:val="auto"/>
              </w:rPr>
              <w:t>—</w:t>
            </w:r>
          </w:p>
        </w:tc>
        <w:tc>
          <w:tcPr>
            <w:tcW w:w="1620" w:type="dxa"/>
            <w:vAlign w:val="bottom"/>
            <w:gridSpan w:val="2"/>
            <w:vMerge w:val="restart"/>
          </w:tcPr>
          <w:p>
            <w:pPr>
              <w:jc w:val="right"/>
              <w:ind w:right="200"/>
              <w:spacing w:after="0"/>
              <w:rPr>
                <w:sz w:val="20"/>
                <w:szCs w:val="20"/>
                <w:color w:val="auto"/>
              </w:rPr>
            </w:pPr>
            <w:r>
              <w:rPr>
                <w:rFonts w:ascii="Arial" w:cs="Arial" w:eastAsia="Arial" w:hAnsi="Arial"/>
                <w:sz w:val="18"/>
                <w:szCs w:val="18"/>
                <w:b w:val="1"/>
                <w:bCs w:val="1"/>
                <w:color w:val="auto"/>
              </w:rPr>
              <w:t>(1,324)</w:t>
            </w:r>
          </w:p>
        </w:tc>
        <w:tc>
          <w:tcPr>
            <w:tcW w:w="1640" w:type="dxa"/>
            <w:vAlign w:val="bottom"/>
            <w:gridSpan w:val="2"/>
            <w:vMerge w:val="restart"/>
          </w:tcPr>
          <w:p>
            <w:pPr>
              <w:jc w:val="right"/>
              <w:ind w:right="320"/>
              <w:spacing w:after="0"/>
              <w:rPr>
                <w:sz w:val="20"/>
                <w:szCs w:val="20"/>
                <w:color w:val="auto"/>
              </w:rPr>
            </w:pPr>
            <w:r>
              <w:rPr>
                <w:rFonts w:ascii="Arial" w:cs="Arial" w:eastAsia="Arial" w:hAnsi="Arial"/>
                <w:sz w:val="18"/>
                <w:szCs w:val="18"/>
                <w:b w:val="1"/>
                <w:bCs w:val="1"/>
                <w:color w:val="auto"/>
              </w:rPr>
              <w:t>—</w:t>
            </w:r>
          </w:p>
        </w:tc>
        <w:tc>
          <w:tcPr>
            <w:tcW w:w="1480" w:type="dxa"/>
            <w:vAlign w:val="bottom"/>
          </w:tcPr>
          <w:p>
            <w:pPr>
              <w:spacing w:after="0"/>
              <w:rPr>
                <w:sz w:val="17"/>
                <w:szCs w:val="17"/>
                <w:color w:val="auto"/>
              </w:rPr>
            </w:pPr>
          </w:p>
        </w:tc>
        <w:tc>
          <w:tcPr>
            <w:tcW w:w="136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(1,324)</w:t>
            </w:r>
          </w:p>
        </w:tc>
        <w:tc>
          <w:tcPr>
            <w:tcW w:w="0" w:type="dxa"/>
            <w:vAlign w:val="bottom"/>
          </w:tcPr>
          <w:p>
            <w:pPr>
              <w:spacing w:after="0"/>
              <w:rPr>
                <w:sz w:val="1"/>
                <w:szCs w:val="1"/>
                <w:color w:val="auto"/>
              </w:rPr>
            </w:pPr>
          </w:p>
        </w:tc>
      </w:tr>
      <w:tr>
        <w:trPr>
          <w:trHeight w:val="230"/>
        </w:trPr>
        <w:tc>
          <w:tcPr>
            <w:tcW w:w="3660" w:type="dxa"/>
            <w:vAlign w:val="bottom"/>
          </w:tcPr>
          <w:p>
            <w:pPr>
              <w:ind w:left="180"/>
              <w:spacing w:after="0"/>
              <w:rPr>
                <w:sz w:val="20"/>
                <w:szCs w:val="20"/>
                <w:color w:val="auto"/>
              </w:rPr>
            </w:pPr>
            <w:r>
              <w:rPr>
                <w:rFonts w:ascii="Arial" w:cs="Arial" w:eastAsia="Arial" w:hAnsi="Arial"/>
                <w:sz w:val="18"/>
                <w:szCs w:val="18"/>
                <w:color w:val="auto"/>
              </w:rPr>
              <w:t>expense</w:t>
            </w:r>
          </w:p>
        </w:tc>
        <w:tc>
          <w:tcPr>
            <w:tcW w:w="1660" w:type="dxa"/>
            <w:vAlign w:val="bottom"/>
            <w:gridSpan w:val="2"/>
            <w:vMerge w:val="continue"/>
          </w:tcPr>
          <w:p>
            <w:pPr>
              <w:spacing w:after="0"/>
              <w:rPr>
                <w:sz w:val="20"/>
                <w:szCs w:val="20"/>
                <w:color w:val="auto"/>
              </w:rPr>
            </w:pPr>
          </w:p>
        </w:tc>
        <w:tc>
          <w:tcPr>
            <w:tcW w:w="1620" w:type="dxa"/>
            <w:vAlign w:val="bottom"/>
            <w:gridSpan w:val="2"/>
            <w:vMerge w:val="continue"/>
          </w:tcPr>
          <w:p>
            <w:pPr>
              <w:spacing w:after="0"/>
              <w:rPr>
                <w:sz w:val="20"/>
                <w:szCs w:val="20"/>
                <w:color w:val="auto"/>
              </w:rPr>
            </w:pPr>
          </w:p>
        </w:tc>
        <w:tc>
          <w:tcPr>
            <w:tcW w:w="1640" w:type="dxa"/>
            <w:vAlign w:val="bottom"/>
            <w:gridSpan w:val="2"/>
            <w:vMerge w:val="continue"/>
          </w:tcPr>
          <w:p>
            <w:pPr>
              <w:spacing w:after="0"/>
              <w:rPr>
                <w:sz w:val="20"/>
                <w:szCs w:val="20"/>
                <w:color w:val="auto"/>
              </w:rPr>
            </w:pPr>
          </w:p>
        </w:tc>
        <w:tc>
          <w:tcPr>
            <w:tcW w:w="1480" w:type="dxa"/>
            <w:vAlign w:val="bottom"/>
          </w:tcPr>
          <w:p>
            <w:pPr>
              <w:spacing w:after="0"/>
              <w:rPr>
                <w:sz w:val="20"/>
                <w:szCs w:val="20"/>
                <w:color w:val="auto"/>
              </w:rPr>
            </w:pPr>
          </w:p>
        </w:tc>
        <w:tc>
          <w:tcPr>
            <w:tcW w:w="13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FFCC"/>
          </w:tcPr>
          <w:p>
            <w:pPr>
              <w:spacing w:after="0"/>
              <w:rPr>
                <w:sz w:val="20"/>
                <w:szCs w:val="20"/>
                <w:color w:val="auto"/>
              </w:rPr>
            </w:pPr>
            <w:r>
              <w:rPr>
                <w:rFonts w:ascii="Arial" w:cs="Arial" w:eastAsia="Arial" w:hAnsi="Arial"/>
                <w:sz w:val="18"/>
                <w:szCs w:val="18"/>
                <w:color w:val="auto"/>
              </w:rPr>
              <w:t>Loss on revaluation of warrants</w:t>
            </w:r>
          </w:p>
        </w:tc>
        <w:tc>
          <w:tcPr>
            <w:tcW w:w="166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b w:val="1"/>
                <w:bCs w:val="1"/>
                <w:color w:val="auto"/>
              </w:rPr>
              <w:t>—</w:t>
            </w:r>
          </w:p>
        </w:tc>
        <w:tc>
          <w:tcPr>
            <w:tcW w:w="16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(934)</w:t>
            </w:r>
          </w:p>
        </w:tc>
        <w:tc>
          <w:tcPr>
            <w:tcW w:w="164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b w:val="1"/>
                <w:bCs w:val="1"/>
                <w:color w:val="auto"/>
              </w:rPr>
              <w:t>—</w:t>
            </w:r>
          </w:p>
        </w:tc>
        <w:tc>
          <w:tcPr>
            <w:tcW w:w="148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(934)</w:t>
            </w:r>
          </w:p>
        </w:tc>
        <w:tc>
          <w:tcPr>
            <w:tcW w:w="0" w:type="dxa"/>
            <w:vAlign w:val="bottom"/>
          </w:tcPr>
          <w:p>
            <w:pPr>
              <w:spacing w:after="0"/>
              <w:rPr>
                <w:sz w:val="1"/>
                <w:szCs w:val="1"/>
                <w:color w:val="auto"/>
              </w:rPr>
            </w:pPr>
          </w:p>
        </w:tc>
      </w:t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Gain on restructuring of venture loan</w:t>
            </w:r>
          </w:p>
        </w:tc>
        <w:tc>
          <w:tcPr>
            <w:tcW w:w="16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16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963</w:t>
            </w:r>
          </w:p>
        </w:tc>
        <w:tc>
          <w:tcPr>
            <w:tcW w:w="16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t>
            </w:r>
          </w:p>
        </w:tc>
        <w:tc>
          <w:tcPr>
            <w:tcW w:w="1480" w:type="dxa"/>
            <w:vAlign w:val="bottom"/>
          </w:tcPr>
          <w:p>
            <w:pPr>
              <w:spacing w:after="0"/>
              <w:rPr>
                <w:sz w:val="19"/>
                <w:szCs w:val="19"/>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963</w:t>
            </w:r>
          </w:p>
        </w:tc>
        <w:tc>
          <w:tcPr>
            <w:tcW w:w="0" w:type="dxa"/>
            <w:vAlign w:val="bottom"/>
          </w:tcPr>
          <w:p>
            <w:pPr>
              <w:spacing w:after="0"/>
              <w:rPr>
                <w:sz w:val="1"/>
                <w:szCs w:val="1"/>
                <w:color w:val="auto"/>
              </w:rPr>
            </w:pPr>
          </w:p>
        </w:tc>
      </w:tr>
      <w:tr>
        <w:trPr>
          <w:trHeight w:val="210"/>
        </w:trPr>
        <w:tc>
          <w:tcPr>
            <w:tcW w:w="366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Loss before income taxes:</w:t>
            </w:r>
          </w:p>
        </w:tc>
        <w:tc>
          <w:tcPr>
            <w:tcW w:w="13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(2,754</w:t>
            </w:r>
          </w:p>
        </w:tc>
        <w:tc>
          <w:tcPr>
            <w:tcW w:w="340" w:type="dxa"/>
            <w:vAlign w:val="bottom"/>
            <w:tcBorders>
              <w:top w:val="single" w:sz="8" w:color="CCFFCC"/>
            </w:tcBorders>
            <w:shd w:val="clear" w:color="auto" w:fill="CCFFCC"/>
          </w:tcPr>
          <w:p>
            <w:pPr>
              <w:jc w:val="right"/>
              <w:ind w:right="200"/>
              <w:spacing w:after="0"/>
              <w:rPr>
                <w:sz w:val="20"/>
                <w:szCs w:val="20"/>
                <w:color w:val="auto"/>
              </w:rPr>
            </w:pPr>
            <w:r>
              <w:rPr>
                <w:rFonts w:ascii="Arial" w:cs="Arial" w:eastAsia="Arial" w:hAnsi="Arial"/>
                <w:sz w:val="16"/>
                <w:szCs w:val="16"/>
                <w:b w:val="1"/>
                <w:bCs w:val="1"/>
                <w:color w:val="auto"/>
                <w:w w:val="74"/>
              </w:rPr>
              <w:t>)</w:t>
            </w:r>
          </w:p>
        </w:tc>
        <w:tc>
          <w:tcPr>
            <w:tcW w:w="12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(4,838</w:t>
            </w:r>
          </w:p>
        </w:tc>
        <w:tc>
          <w:tcPr>
            <w:tcW w:w="340" w:type="dxa"/>
            <w:vAlign w:val="bottom"/>
            <w:tcBorders>
              <w:top w:val="single" w:sz="8" w:color="CCFFCC"/>
            </w:tcBorders>
            <w:shd w:val="clear" w:color="auto" w:fill="CCFFCC"/>
          </w:tcPr>
          <w:p>
            <w:pPr>
              <w:jc w:val="right"/>
              <w:ind w:right="200"/>
              <w:spacing w:after="0"/>
              <w:rPr>
                <w:sz w:val="20"/>
                <w:szCs w:val="20"/>
                <w:color w:val="auto"/>
              </w:rPr>
            </w:pPr>
            <w:r>
              <w:rPr>
                <w:rFonts w:ascii="Arial" w:cs="Arial" w:eastAsia="Arial" w:hAnsi="Arial"/>
                <w:sz w:val="16"/>
                <w:szCs w:val="16"/>
                <w:b w:val="1"/>
                <w:bCs w:val="1"/>
                <w:color w:val="auto"/>
                <w:w w:val="74"/>
              </w:rPr>
              <w:t>)</w:t>
            </w:r>
          </w:p>
        </w:tc>
        <w:tc>
          <w:tcPr>
            <w:tcW w:w="12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(1,026</w:t>
            </w:r>
          </w:p>
        </w:tc>
        <w:tc>
          <w:tcPr>
            <w:tcW w:w="400" w:type="dxa"/>
            <w:vAlign w:val="bottom"/>
            <w:tcBorders>
              <w:top w:val="single" w:sz="8" w:color="CCFFCC"/>
            </w:tcBorders>
            <w:shd w:val="clear" w:color="auto" w:fill="CCFFCC"/>
          </w:tcPr>
          <w:p>
            <w:pPr>
              <w:jc w:val="right"/>
              <w:ind w:right="260"/>
              <w:spacing w:after="0"/>
              <w:rPr>
                <w:sz w:val="20"/>
                <w:szCs w:val="20"/>
                <w:color w:val="auto"/>
              </w:rPr>
            </w:pPr>
            <w:r>
              <w:rPr>
                <w:rFonts w:ascii="Arial" w:cs="Arial" w:eastAsia="Arial" w:hAnsi="Arial"/>
                <w:sz w:val="16"/>
                <w:szCs w:val="16"/>
                <w:b w:val="1"/>
                <w:bCs w:val="1"/>
                <w:color w:val="auto"/>
                <w:w w:val="74"/>
              </w:rPr>
              <w:t>)</w:t>
            </w:r>
          </w:p>
        </w:tc>
        <w:tc>
          <w:tcPr>
            <w:tcW w:w="1480" w:type="dxa"/>
            <w:vAlign w:val="bottom"/>
            <w:tcBorders>
              <w:top w:val="single" w:sz="8" w:color="CCFFCC"/>
            </w:tcBorders>
            <w:shd w:val="clear" w:color="auto" w:fill="CCFFCC"/>
          </w:tcPr>
          <w:p>
            <w:pPr>
              <w:spacing w:after="0"/>
              <w:rPr>
                <w:sz w:val="18"/>
                <w:szCs w:val="18"/>
                <w:color w:val="auto"/>
              </w:rPr>
            </w:pPr>
          </w:p>
        </w:tc>
        <w:tc>
          <w:tcPr>
            <w:tcW w:w="12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(8,618</w:t>
            </w:r>
          </w:p>
        </w:tc>
        <w:tc>
          <w:tcPr>
            <w:tcW w:w="100" w:type="dxa"/>
            <w:vAlign w:val="bottom"/>
            <w:tcBorders>
              <w:top w:val="single" w:sz="8" w:color="CCFFCC"/>
            </w:tcBorders>
            <w:shd w:val="clear" w:color="auto" w:fill="CCFFCC"/>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10"/>
        </w:trPr>
        <w:tc>
          <w:tcPr>
            <w:tcW w:w="3660" w:type="dxa"/>
            <w:vAlign w:val="bottom"/>
            <w:tcBorders>
              <w:bottom w:val="single" w:sz="8" w:color="CCFFCC"/>
            </w:tcBorders>
          </w:tcPr>
          <w:p>
            <w:pPr>
              <w:spacing w:after="0"/>
              <w:rPr>
                <w:sz w:val="20"/>
                <w:szCs w:val="20"/>
                <w:color w:val="auto"/>
              </w:rPr>
            </w:pPr>
            <w:r>
              <w:rPr>
                <w:rFonts w:ascii="Arial" w:cs="Arial" w:eastAsia="Arial" w:hAnsi="Arial"/>
                <w:sz w:val="18"/>
                <w:szCs w:val="18"/>
                <w:color w:val="auto"/>
              </w:rPr>
              <w:t>Income taxes</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CCFFCC"/>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w:t>
            </w:r>
          </w:p>
        </w:tc>
        <w:tc>
          <w:tcPr>
            <w:tcW w:w="340" w:type="dxa"/>
            <w:vAlign w:val="bottom"/>
            <w:tcBorders>
              <w:bottom w:val="single" w:sz="8" w:color="CCFFCC"/>
            </w:tcBorders>
          </w:tcPr>
          <w:p>
            <w:pPr>
              <w:jc w:val="right"/>
              <w:ind w:right="200"/>
              <w:spacing w:after="0"/>
              <w:rPr>
                <w:sz w:val="20"/>
                <w:szCs w:val="20"/>
                <w:color w:val="auto"/>
              </w:rPr>
            </w:pPr>
            <w:r>
              <w:rPr>
                <w:rFonts w:ascii="Arial" w:cs="Arial" w:eastAsia="Arial" w:hAnsi="Arial"/>
                <w:sz w:val="16"/>
                <w:szCs w:val="16"/>
                <w:b w:val="1"/>
                <w:bCs w:val="1"/>
                <w:color w:val="auto"/>
                <w:w w:val="74"/>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CCFFCC"/>
            </w:tcBorders>
          </w:tcPr>
          <w:p>
            <w:pPr>
              <w:spacing w:after="0"/>
              <w:rPr>
                <w:sz w:val="18"/>
                <w:szCs w:val="18"/>
                <w:color w:val="auto"/>
              </w:rPr>
            </w:pPr>
          </w:p>
        </w:tc>
        <w:tc>
          <w:tcPr>
            <w:tcW w:w="1480" w:type="dxa"/>
            <w:vAlign w:val="bottom"/>
            <w:tcBorders>
              <w:bottom w:val="single" w:sz="8" w:color="CCFFCC"/>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w:t>
            </w:r>
          </w:p>
        </w:tc>
        <w:tc>
          <w:tcPr>
            <w:tcW w:w="100" w:type="dxa"/>
            <w:vAlign w:val="bottom"/>
            <w:tcBorders>
              <w:bottom w:val="single" w:sz="8" w:color="CCFFCC"/>
            </w:tcBorders>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23"/>
        </w:trPr>
        <w:tc>
          <w:tcPr>
            <w:tcW w:w="366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Net loss:</w:t>
            </w:r>
          </w:p>
        </w:tc>
        <w:tc>
          <w:tcPr>
            <w:tcW w:w="13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(2,754</w:t>
            </w:r>
          </w:p>
        </w:tc>
        <w:tc>
          <w:tcPr>
            <w:tcW w:w="340" w:type="dxa"/>
            <w:vAlign w:val="bottom"/>
            <w:tcBorders>
              <w:bottom w:val="single" w:sz="8" w:color="CCFFCC"/>
            </w:tcBorders>
            <w:shd w:val="clear" w:color="auto" w:fill="CCFFCC"/>
          </w:tcPr>
          <w:p>
            <w:pPr>
              <w:jc w:val="right"/>
              <w:ind w:right="200"/>
              <w:spacing w:after="0"/>
              <w:rPr>
                <w:sz w:val="20"/>
                <w:szCs w:val="20"/>
                <w:color w:val="auto"/>
              </w:rPr>
            </w:pPr>
            <w:r>
              <w:rPr>
                <w:rFonts w:ascii="Arial" w:cs="Arial" w:eastAsia="Arial" w:hAnsi="Arial"/>
                <w:sz w:val="16"/>
                <w:szCs w:val="16"/>
                <w:b w:val="1"/>
                <w:bCs w:val="1"/>
                <w:color w:val="auto"/>
                <w:w w:val="74"/>
              </w:rPr>
              <w:t>)</w:t>
            </w:r>
          </w:p>
        </w:tc>
        <w:tc>
          <w:tcPr>
            <w:tcW w:w="12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(4,899</w:t>
            </w:r>
          </w:p>
        </w:tc>
        <w:tc>
          <w:tcPr>
            <w:tcW w:w="340" w:type="dxa"/>
            <w:vAlign w:val="bottom"/>
            <w:tcBorders>
              <w:bottom w:val="single" w:sz="8" w:color="CCFFCC"/>
            </w:tcBorders>
            <w:shd w:val="clear" w:color="auto" w:fill="CCFFCC"/>
          </w:tcPr>
          <w:p>
            <w:pPr>
              <w:jc w:val="right"/>
              <w:ind w:right="200"/>
              <w:spacing w:after="0"/>
              <w:rPr>
                <w:sz w:val="20"/>
                <w:szCs w:val="20"/>
                <w:color w:val="auto"/>
              </w:rPr>
            </w:pPr>
            <w:r>
              <w:rPr>
                <w:rFonts w:ascii="Arial" w:cs="Arial" w:eastAsia="Arial" w:hAnsi="Arial"/>
                <w:sz w:val="16"/>
                <w:szCs w:val="16"/>
                <w:b w:val="1"/>
                <w:bCs w:val="1"/>
                <w:color w:val="auto"/>
                <w:w w:val="74"/>
              </w:rPr>
              <w:t>)</w:t>
            </w:r>
          </w:p>
        </w:tc>
        <w:tc>
          <w:tcPr>
            <w:tcW w:w="12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(1,026</w:t>
            </w:r>
          </w:p>
        </w:tc>
        <w:tc>
          <w:tcPr>
            <w:tcW w:w="400" w:type="dxa"/>
            <w:vAlign w:val="bottom"/>
            <w:tcBorders>
              <w:bottom w:val="single" w:sz="8" w:color="CCFFCC"/>
            </w:tcBorders>
            <w:shd w:val="clear" w:color="auto" w:fill="CCFFCC"/>
          </w:tcPr>
          <w:p>
            <w:pPr>
              <w:jc w:val="right"/>
              <w:ind w:right="260"/>
              <w:spacing w:after="0"/>
              <w:rPr>
                <w:sz w:val="20"/>
                <w:szCs w:val="20"/>
                <w:color w:val="auto"/>
              </w:rPr>
            </w:pPr>
            <w:r>
              <w:rPr>
                <w:rFonts w:ascii="Arial" w:cs="Arial" w:eastAsia="Arial" w:hAnsi="Arial"/>
                <w:sz w:val="16"/>
                <w:szCs w:val="16"/>
                <w:b w:val="1"/>
                <w:bCs w:val="1"/>
                <w:color w:val="auto"/>
                <w:w w:val="74"/>
              </w:rPr>
              <w:t>)</w:t>
            </w:r>
          </w:p>
        </w:tc>
        <w:tc>
          <w:tcPr>
            <w:tcW w:w="1480" w:type="dxa"/>
            <w:vAlign w:val="bottom"/>
            <w:tcBorders>
              <w:bottom w:val="single" w:sz="8" w:color="CCFFCC"/>
            </w:tcBorders>
            <w:shd w:val="clear" w:color="auto" w:fill="CCFFCC"/>
          </w:tcPr>
          <w:p>
            <w:pPr>
              <w:spacing w:after="0"/>
              <w:rPr>
                <w:sz w:val="19"/>
                <w:szCs w:val="19"/>
                <w:color w:val="auto"/>
              </w:rPr>
            </w:pPr>
          </w:p>
        </w:tc>
        <w:tc>
          <w:tcPr>
            <w:tcW w:w="12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(8,679</w:t>
            </w:r>
          </w:p>
        </w:tc>
        <w:tc>
          <w:tcPr>
            <w:tcW w:w="1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3660" w:type="dxa"/>
            <w:vAlign w:val="bottom"/>
            <w:vMerge w:val="restart"/>
          </w:tcPr>
          <w:p>
            <w:pPr>
              <w:spacing w:after="0"/>
              <w:rPr>
                <w:sz w:val="20"/>
                <w:szCs w:val="20"/>
                <w:color w:val="auto"/>
              </w:rPr>
            </w:pPr>
            <w:r>
              <w:rPr>
                <w:rFonts w:ascii="Arial" w:cs="Arial" w:eastAsia="Arial" w:hAnsi="Arial"/>
                <w:sz w:val="18"/>
                <w:szCs w:val="18"/>
                <w:color w:val="auto"/>
              </w:rPr>
              <w:t>Basic and diluted net loss per common share</w:t>
            </w:r>
          </w:p>
        </w:tc>
        <w:tc>
          <w:tcPr>
            <w:tcW w:w="1320" w:type="dxa"/>
            <w:vAlign w:val="bottom"/>
            <w:tcBorders>
              <w:bottom w:val="single" w:sz="8" w:color="auto"/>
            </w:tcBorders>
          </w:tcPr>
          <w:p>
            <w:pPr>
              <w:spacing w:after="0" w:line="20" w:lineRule="exact"/>
              <w:rPr>
                <w:sz w:val="1"/>
                <w:szCs w:val="1"/>
                <w:color w:val="auto"/>
              </w:rPr>
            </w:pPr>
          </w:p>
        </w:tc>
        <w:tc>
          <w:tcPr>
            <w:tcW w:w="340" w:type="dxa"/>
            <w:vAlign w:val="bottom"/>
            <w:vMerge w:val="restart"/>
          </w:tcPr>
          <w:p>
            <w:pPr>
              <w:jc w:val="right"/>
              <w:ind w:right="200"/>
              <w:spacing w:after="0"/>
              <w:rPr>
                <w:sz w:val="20"/>
                <w:szCs w:val="20"/>
                <w:color w:val="auto"/>
              </w:rPr>
            </w:pPr>
            <w:r>
              <w:rPr>
                <w:rFonts w:ascii="Arial" w:cs="Arial" w:eastAsia="Arial" w:hAnsi="Arial"/>
                <w:sz w:val="16"/>
                <w:szCs w:val="16"/>
                <w:b w:val="1"/>
                <w:bCs w:val="1"/>
                <w:color w:val="auto"/>
                <w:w w:val="74"/>
              </w:rPr>
              <w:t>)</w:t>
            </w:r>
          </w:p>
        </w:tc>
        <w:tc>
          <w:tcPr>
            <w:tcW w:w="1280" w:type="dxa"/>
            <w:vAlign w:val="bottom"/>
            <w:tcBorders>
              <w:bottom w:val="single" w:sz="8" w:color="auto"/>
            </w:tcBorders>
          </w:tcPr>
          <w:p>
            <w:pPr>
              <w:spacing w:after="0" w:line="20" w:lineRule="exact"/>
              <w:rPr>
                <w:sz w:val="1"/>
                <w:szCs w:val="1"/>
                <w:color w:val="auto"/>
              </w:rPr>
            </w:pPr>
          </w:p>
        </w:tc>
        <w:tc>
          <w:tcPr>
            <w:tcW w:w="340" w:type="dxa"/>
            <w:vAlign w:val="bottom"/>
            <w:vMerge w:val="restart"/>
          </w:tcPr>
          <w:p>
            <w:pPr>
              <w:jc w:val="right"/>
              <w:ind w:right="200"/>
              <w:spacing w:after="0"/>
              <w:rPr>
                <w:sz w:val="20"/>
                <w:szCs w:val="20"/>
                <w:color w:val="auto"/>
              </w:rPr>
            </w:pPr>
            <w:r>
              <w:rPr>
                <w:rFonts w:ascii="Arial" w:cs="Arial" w:eastAsia="Arial" w:hAnsi="Arial"/>
                <w:sz w:val="16"/>
                <w:szCs w:val="16"/>
                <w:b w:val="1"/>
                <w:bCs w:val="1"/>
                <w:color w:val="auto"/>
                <w:w w:val="74"/>
              </w:rPr>
              <w:t>)</w:t>
            </w:r>
          </w:p>
        </w:tc>
        <w:tc>
          <w:tcPr>
            <w:tcW w:w="12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80" w:type="dxa"/>
            <w:vAlign w:val="bottom"/>
            <w:vMerge w:val="restart"/>
          </w:tcPr>
          <w:p>
            <w:pPr>
              <w:jc w:val="right"/>
              <w:ind w:right="750"/>
              <w:spacing w:after="0"/>
              <w:rPr>
                <w:sz w:val="20"/>
                <w:szCs w:val="20"/>
                <w:color w:val="auto"/>
              </w:rPr>
            </w:pPr>
            <w:r>
              <w:rPr>
                <w:rFonts w:ascii="Arial" w:cs="Arial" w:eastAsia="Arial" w:hAnsi="Arial"/>
                <w:sz w:val="18"/>
                <w:szCs w:val="18"/>
                <w:color w:val="auto"/>
              </w:rPr>
              <w:t>3</w:t>
            </w: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line="20" w:lineRule="exact"/>
              <w:rPr>
                <w:sz w:val="1"/>
                <w:szCs w:val="1"/>
                <w:color w:val="auto"/>
              </w:rPr>
            </w:pPr>
          </w:p>
        </w:tc>
      </w:tr>
      <w:tr>
        <w:trPr>
          <w:trHeight w:val="237"/>
        </w:trPr>
        <w:tc>
          <w:tcPr>
            <w:tcW w:w="3660" w:type="dxa"/>
            <w:vAlign w:val="bottom"/>
            <w:tcBorders>
              <w:bottom w:val="single" w:sz="8" w:color="CCFFCC"/>
            </w:tcBorders>
            <w:vMerge w:val="continue"/>
          </w:tcPr>
          <w:p>
            <w:pPr>
              <w:spacing w:after="0"/>
              <w:rPr>
                <w:sz w:val="20"/>
                <w:szCs w:val="20"/>
                <w:color w:val="auto"/>
              </w:rPr>
            </w:pPr>
          </w:p>
        </w:tc>
        <w:tc>
          <w:tcPr>
            <w:tcW w:w="1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(0.98</w:t>
            </w:r>
          </w:p>
        </w:tc>
        <w:tc>
          <w:tcPr>
            <w:tcW w:w="340" w:type="dxa"/>
            <w:vAlign w:val="bottom"/>
            <w:tcBorders>
              <w:bottom w:val="single" w:sz="8" w:color="CCFFCC"/>
            </w:tcBorders>
            <w:vMerge w:val="continue"/>
          </w:tcPr>
          <w:p>
            <w:pPr>
              <w:spacing w:after="0"/>
              <w:rPr>
                <w:sz w:val="20"/>
                <w:szCs w:val="20"/>
                <w:color w:val="auto"/>
              </w:rPr>
            </w:pPr>
          </w:p>
        </w:tc>
        <w:tc>
          <w:tcPr>
            <w:tcW w:w="12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(0.70</w:t>
            </w:r>
          </w:p>
        </w:tc>
        <w:tc>
          <w:tcPr>
            <w:tcW w:w="340" w:type="dxa"/>
            <w:vAlign w:val="bottom"/>
            <w:tcBorders>
              <w:bottom w:val="single" w:sz="8" w:color="CCFFCC"/>
            </w:tcBorders>
            <w:vMerge w:val="continue"/>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400" w:type="dxa"/>
            <w:vAlign w:val="bottom"/>
            <w:tcBorders>
              <w:bottom w:val="single" w:sz="8" w:color="CCFFCC"/>
            </w:tcBorders>
          </w:tcPr>
          <w:p>
            <w:pPr>
              <w:spacing w:after="0"/>
              <w:rPr>
                <w:sz w:val="20"/>
                <w:szCs w:val="20"/>
                <w:color w:val="auto"/>
              </w:rPr>
            </w:pPr>
          </w:p>
        </w:tc>
        <w:tc>
          <w:tcPr>
            <w:tcW w:w="1480" w:type="dxa"/>
            <w:vAlign w:val="bottom"/>
            <w:tcBorders>
              <w:bottom w:val="single" w:sz="8" w:color="CCFFCC"/>
            </w:tcBorders>
            <w:vMerge w:val="continue"/>
          </w:tcPr>
          <w:p>
            <w:pPr>
              <w:spacing w:after="0"/>
              <w:rPr>
                <w:sz w:val="20"/>
                <w:szCs w:val="20"/>
                <w:color w:val="auto"/>
              </w:rPr>
            </w:pPr>
          </w:p>
        </w:tc>
        <w:tc>
          <w:tcPr>
            <w:tcW w:w="1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(0.35</w:t>
            </w:r>
          </w:p>
        </w:tc>
        <w:tc>
          <w:tcPr>
            <w:tcW w:w="100" w:type="dxa"/>
            <w:vAlign w:val="bottom"/>
            <w:tcBorders>
              <w:bottom w:val="single" w:sz="8" w:color="CCFFCC"/>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3660" w:type="dxa"/>
            <w:vAlign w:val="bottom"/>
            <w:shd w:val="clear" w:color="auto" w:fill="CCFFCC"/>
          </w:tcPr>
          <w:p>
            <w:pPr>
              <w:spacing w:after="0" w:line="156" w:lineRule="exact"/>
              <w:rPr>
                <w:sz w:val="20"/>
                <w:szCs w:val="20"/>
                <w:color w:val="auto"/>
              </w:rPr>
            </w:pPr>
            <w:r>
              <w:rPr>
                <w:rFonts w:ascii="Arial" w:cs="Arial" w:eastAsia="Arial" w:hAnsi="Arial"/>
                <w:sz w:val="18"/>
                <w:szCs w:val="18"/>
                <w:color w:val="auto"/>
              </w:rPr>
              <w:t>Weighted average shares used in computing</w:t>
            </w:r>
          </w:p>
        </w:tc>
        <w:tc>
          <w:tcPr>
            <w:tcW w:w="1320" w:type="dxa"/>
            <w:vAlign w:val="bottom"/>
            <w:shd w:val="clear" w:color="auto" w:fill="CCFFCC"/>
          </w:tcPr>
          <w:p>
            <w:pPr>
              <w:spacing w:after="0"/>
              <w:rPr>
                <w:sz w:val="13"/>
                <w:szCs w:val="13"/>
                <w:color w:val="auto"/>
              </w:rPr>
            </w:pPr>
          </w:p>
        </w:tc>
        <w:tc>
          <w:tcPr>
            <w:tcW w:w="340" w:type="dxa"/>
            <w:vAlign w:val="bottom"/>
            <w:shd w:val="clear" w:color="auto" w:fill="CCFFCC"/>
          </w:tcPr>
          <w:p>
            <w:pPr>
              <w:spacing w:after="0"/>
              <w:rPr>
                <w:sz w:val="13"/>
                <w:szCs w:val="13"/>
                <w:color w:val="auto"/>
              </w:rPr>
            </w:pPr>
          </w:p>
        </w:tc>
        <w:tc>
          <w:tcPr>
            <w:tcW w:w="1280" w:type="dxa"/>
            <w:vAlign w:val="bottom"/>
            <w:shd w:val="clear" w:color="auto" w:fill="CCFFCC"/>
          </w:tcPr>
          <w:p>
            <w:pPr>
              <w:spacing w:after="0"/>
              <w:rPr>
                <w:sz w:val="13"/>
                <w:szCs w:val="13"/>
                <w:color w:val="auto"/>
              </w:rPr>
            </w:pPr>
          </w:p>
        </w:tc>
        <w:tc>
          <w:tcPr>
            <w:tcW w:w="340" w:type="dxa"/>
            <w:vAlign w:val="bottom"/>
            <w:shd w:val="clear" w:color="auto" w:fill="CCFFCC"/>
          </w:tcPr>
          <w:p>
            <w:pPr>
              <w:spacing w:after="0"/>
              <w:rPr>
                <w:sz w:val="13"/>
                <w:szCs w:val="13"/>
                <w:color w:val="auto"/>
              </w:rPr>
            </w:pPr>
          </w:p>
        </w:tc>
        <w:tc>
          <w:tcPr>
            <w:tcW w:w="1240" w:type="dxa"/>
            <w:vAlign w:val="bottom"/>
            <w:shd w:val="clear" w:color="auto" w:fill="CCFFCC"/>
          </w:tcPr>
          <w:p>
            <w:pPr>
              <w:spacing w:after="0"/>
              <w:rPr>
                <w:sz w:val="13"/>
                <w:szCs w:val="13"/>
                <w:color w:val="auto"/>
              </w:rPr>
            </w:pPr>
          </w:p>
        </w:tc>
        <w:tc>
          <w:tcPr>
            <w:tcW w:w="400" w:type="dxa"/>
            <w:vAlign w:val="bottom"/>
            <w:shd w:val="clear" w:color="auto" w:fill="CCFFCC"/>
          </w:tcPr>
          <w:p>
            <w:pPr>
              <w:spacing w:after="0"/>
              <w:rPr>
                <w:sz w:val="13"/>
                <w:szCs w:val="13"/>
                <w:color w:val="auto"/>
              </w:rPr>
            </w:pPr>
          </w:p>
        </w:tc>
        <w:tc>
          <w:tcPr>
            <w:tcW w:w="1480" w:type="dxa"/>
            <w:vAlign w:val="bottom"/>
            <w:shd w:val="clear" w:color="auto" w:fill="CCFFCC"/>
          </w:tcPr>
          <w:p>
            <w:pPr>
              <w:spacing w:after="0"/>
              <w:rPr>
                <w:sz w:val="13"/>
                <w:szCs w:val="13"/>
                <w:color w:val="auto"/>
              </w:rPr>
            </w:pPr>
          </w:p>
        </w:tc>
        <w:tc>
          <w:tcPr>
            <w:tcW w:w="1260" w:type="dxa"/>
            <w:vAlign w:val="bottom"/>
            <w:shd w:val="clear" w:color="auto" w:fill="CCFFCC"/>
          </w:tcPr>
          <w:p>
            <w:pPr>
              <w:spacing w:after="0"/>
              <w:rPr>
                <w:sz w:val="13"/>
                <w:szCs w:val="13"/>
                <w:color w:val="auto"/>
              </w:rPr>
            </w:pPr>
          </w:p>
        </w:tc>
        <w:tc>
          <w:tcPr>
            <w:tcW w:w="100" w:type="dxa"/>
            <w:vAlign w:val="bottom"/>
            <w:shd w:val="clear" w:color="auto" w:fill="CCFFCC"/>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3660" w:type="dxa"/>
            <w:vAlign w:val="bottom"/>
            <w:shd w:val="clear" w:color="auto" w:fill="CCFFCC"/>
          </w:tcPr>
          <w:p>
            <w:pPr>
              <w:ind w:left="180"/>
              <w:spacing w:after="0"/>
              <w:rPr>
                <w:sz w:val="20"/>
                <w:szCs w:val="20"/>
                <w:color w:val="auto"/>
              </w:rPr>
            </w:pPr>
            <w:r>
              <w:rPr>
                <w:rFonts w:ascii="Arial" w:cs="Arial" w:eastAsia="Arial" w:hAnsi="Arial"/>
                <w:sz w:val="18"/>
                <w:szCs w:val="18"/>
                <w:color w:val="auto"/>
                <w:w w:val="96"/>
              </w:rPr>
              <w:t>basic and diluted net loss per common share</w:t>
            </w:r>
          </w:p>
        </w:tc>
        <w:tc>
          <w:tcPr>
            <w:tcW w:w="166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b w:val="1"/>
                <w:bCs w:val="1"/>
                <w:color w:val="auto"/>
              </w:rPr>
              <w:t>2,802,100</w:t>
            </w:r>
          </w:p>
        </w:tc>
        <w:tc>
          <w:tcPr>
            <w:tcW w:w="162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b w:val="1"/>
                <w:bCs w:val="1"/>
                <w:color w:val="auto"/>
              </w:rPr>
              <w:t>6,965,927</w:t>
            </w:r>
          </w:p>
        </w:tc>
        <w:tc>
          <w:tcPr>
            <w:tcW w:w="1240" w:type="dxa"/>
            <w:vAlign w:val="bottom"/>
            <w:shd w:val="clear" w:color="auto" w:fill="CCFFCC"/>
          </w:tcPr>
          <w:p>
            <w:pPr>
              <w:spacing w:after="0"/>
              <w:rPr>
                <w:sz w:val="22"/>
                <w:szCs w:val="22"/>
                <w:color w:val="auto"/>
              </w:rPr>
            </w:pPr>
          </w:p>
        </w:tc>
        <w:tc>
          <w:tcPr>
            <w:tcW w:w="400" w:type="dxa"/>
            <w:vAlign w:val="bottom"/>
            <w:shd w:val="clear" w:color="auto" w:fill="CCFFCC"/>
          </w:tcPr>
          <w:p>
            <w:pPr>
              <w:spacing w:after="0"/>
              <w:rPr>
                <w:sz w:val="22"/>
                <w:szCs w:val="22"/>
                <w:color w:val="auto"/>
              </w:rPr>
            </w:pPr>
          </w:p>
        </w:tc>
        <w:tc>
          <w:tcPr>
            <w:tcW w:w="1480" w:type="dxa"/>
            <w:vAlign w:val="bottom"/>
            <w:shd w:val="clear" w:color="auto" w:fill="CCFFCC"/>
          </w:tcPr>
          <w:p>
            <w:pPr>
              <w:jc w:val="right"/>
              <w:ind w:right="750"/>
              <w:spacing w:after="0"/>
              <w:rPr>
                <w:sz w:val="20"/>
                <w:szCs w:val="20"/>
                <w:color w:val="auto"/>
              </w:rPr>
            </w:pPr>
            <w:r>
              <w:rPr>
                <w:rFonts w:ascii="Arial" w:cs="Arial" w:eastAsia="Arial" w:hAnsi="Arial"/>
                <w:sz w:val="18"/>
                <w:szCs w:val="18"/>
                <w:color w:val="auto"/>
              </w:rPr>
              <w:t>3</w:t>
            </w:r>
          </w:p>
        </w:tc>
        <w:tc>
          <w:tcPr>
            <w:tcW w:w="13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25,079,096</w:t>
            </w:r>
          </w:p>
        </w:tc>
        <w:tc>
          <w:tcPr>
            <w:tcW w:w="0" w:type="dxa"/>
            <w:vAlign w:val="bottom"/>
          </w:tcPr>
          <w:p>
            <w:pPr>
              <w:spacing w:after="0"/>
              <w:rPr>
                <w:sz w:val="1"/>
                <w:szCs w:val="1"/>
                <w:color w:val="auto"/>
              </w:rPr>
            </w:pPr>
          </w:p>
        </w:tc>
      </w:tr>
      <w:tr>
        <w:trPr>
          <w:trHeight w:val="20"/>
        </w:trPr>
        <w:tc>
          <w:tcPr>
            <w:tcW w:w="3660" w:type="dxa"/>
            <w:vAlign w:val="bottom"/>
            <w:tcBorders>
              <w:top w:val="single" w:sz="8" w:color="CCFFCC"/>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FFCC"/>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FFCC"/>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CFFCC"/>
            </w:tcBorders>
          </w:tcPr>
          <w:p>
            <w:pPr>
              <w:spacing w:after="0" w:line="20" w:lineRule="exact"/>
              <w:rPr>
                <w:sz w:val="1"/>
                <w:szCs w:val="1"/>
                <w:color w:val="auto"/>
              </w:rPr>
            </w:pPr>
          </w:p>
        </w:tc>
        <w:tc>
          <w:tcPr>
            <w:tcW w:w="1480" w:type="dxa"/>
            <w:vAlign w:val="bottom"/>
            <w:tcBorders>
              <w:top w:val="single" w:sz="8" w:color="CCFFCC"/>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36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rPr>
              <w:t>8</w:t>
            </w:r>
          </w:p>
        </w:tc>
        <w:tc>
          <w:tcPr>
            <w:tcW w:w="3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8" w:right="2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Notes to the Unaudited Pro Forma Consolidated Statements of Operations:</w:t>
      </w:r>
    </w:p>
    <w:p>
      <w:pPr>
        <w:spacing w:after="0" w:line="229" w:lineRule="exact"/>
        <w:rPr>
          <w:sz w:val="20"/>
          <w:szCs w:val="20"/>
          <w:color w:val="auto"/>
        </w:rPr>
      </w:pPr>
    </w:p>
    <w:p>
      <w:pPr>
        <w:ind w:left="660" w:hanging="652"/>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This pro-forma adjustment represents additional amortization expense, recorded in connection with amortizable intangible assets acquired in the Merger, assuming the acquisition of Vringo occurred on June 8, 2011:</w:t>
      </w:r>
    </w:p>
    <w:p>
      <w:pPr>
        <w:spacing w:after="0" w:line="166"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Arial" w:cs="Arial" w:eastAsia="Arial" w:hAnsi="Arial"/>
                <w:sz w:val="18"/>
                <w:szCs w:val="18"/>
                <w:b w:val="1"/>
                <w:bCs w:val="1"/>
                <w:color w:val="auto"/>
                <w:w w:val="93"/>
              </w:rPr>
              <w:t>Period from</w:t>
            </w:r>
          </w:p>
        </w:tc>
      </w:tr>
      <w:tr>
        <w:trPr>
          <w:trHeight w:val="216"/>
        </w:trPr>
        <w:tc>
          <w:tcPr>
            <w:tcW w:w="47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Arial" w:cs="Arial" w:eastAsia="Arial" w:hAnsi="Arial"/>
                <w:sz w:val="18"/>
                <w:szCs w:val="18"/>
                <w:b w:val="1"/>
                <w:bCs w:val="1"/>
                <w:color w:val="auto"/>
                <w:w w:val="89"/>
              </w:rPr>
              <w:t>June 8, 2011 through</w:t>
            </w:r>
          </w:p>
        </w:tc>
      </w:tr>
      <w:tr>
        <w:trPr>
          <w:trHeight w:val="234"/>
        </w:trPr>
        <w:tc>
          <w:tcPr>
            <w:tcW w:w="4740" w:type="dxa"/>
            <w:vAlign w:val="bottom"/>
          </w:tcPr>
          <w:p>
            <w:pPr>
              <w:spacing w:after="0"/>
              <w:rPr>
                <w:sz w:val="20"/>
                <w:szCs w:val="20"/>
                <w:color w:val="auto"/>
              </w:rPr>
            </w:pPr>
          </w:p>
        </w:tc>
        <w:tc>
          <w:tcPr>
            <w:tcW w:w="20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Gross carrying amount</w:t>
            </w: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Life</w:t>
            </w:r>
          </w:p>
        </w:tc>
        <w:tc>
          <w:tcPr>
            <w:tcW w:w="2260" w:type="dxa"/>
            <w:vAlign w:val="bottom"/>
          </w:tcPr>
          <w:p>
            <w:pPr>
              <w:jc w:val="center"/>
              <w:spacing w:after="0"/>
              <w:rPr>
                <w:sz w:val="20"/>
                <w:szCs w:val="20"/>
                <w:color w:val="auto"/>
              </w:rPr>
            </w:pPr>
            <w:r>
              <w:rPr>
                <w:rFonts w:ascii="Arial" w:cs="Arial" w:eastAsia="Arial" w:hAnsi="Arial"/>
                <w:sz w:val="18"/>
                <w:szCs w:val="18"/>
                <w:b w:val="1"/>
                <w:bCs w:val="1"/>
                <w:color w:val="auto"/>
                <w:w w:val="88"/>
              </w:rPr>
              <w:t>December 31, 2011</w:t>
            </w:r>
          </w:p>
        </w:tc>
      </w:tr>
      <w:tr>
        <w:trPr>
          <w:trHeight w:val="210"/>
        </w:trPr>
        <w:tc>
          <w:tcPr>
            <w:tcW w:w="4740" w:type="dxa"/>
            <w:vAlign w:val="bottom"/>
          </w:tcPr>
          <w:p>
            <w:pPr>
              <w:spacing w:after="0"/>
              <w:rPr>
                <w:sz w:val="18"/>
                <w:szCs w:val="18"/>
                <w:color w:val="auto"/>
              </w:rPr>
            </w:pPr>
          </w:p>
        </w:tc>
        <w:tc>
          <w:tcPr>
            <w:tcW w:w="18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 — in thousands)</w:t>
            </w:r>
          </w:p>
        </w:tc>
        <w:tc>
          <w:tcPr>
            <w:tcW w:w="200" w:type="dxa"/>
            <w:vAlign w:val="bottom"/>
          </w:tcPr>
          <w:p>
            <w:pPr>
              <w:spacing w:after="0"/>
              <w:rPr>
                <w:sz w:val="18"/>
                <w:szCs w:val="18"/>
                <w:color w:val="auto"/>
              </w:rPr>
            </w:pPr>
          </w:p>
        </w:tc>
        <w:tc>
          <w:tcPr>
            <w:tcW w:w="10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(years)</w:t>
            </w:r>
          </w:p>
        </w:tc>
        <w:tc>
          <w:tcPr>
            <w:tcW w:w="200" w:type="dxa"/>
            <w:vAlign w:val="bottom"/>
          </w:tcPr>
          <w:p>
            <w:pPr>
              <w:spacing w:after="0"/>
              <w:rPr>
                <w:sz w:val="18"/>
                <w:szCs w:val="18"/>
                <w:color w:val="auto"/>
              </w:rPr>
            </w:pPr>
          </w:p>
        </w:tc>
        <w:tc>
          <w:tcPr>
            <w:tcW w:w="22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 — in thousands)</w:t>
            </w:r>
          </w:p>
        </w:tc>
      </w:tr>
      <w:tr>
        <w:trPr>
          <w:trHeight w:val="216"/>
        </w:trPr>
        <w:tc>
          <w:tcPr>
            <w:tcW w:w="47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Cost of revenue:</w:t>
            </w:r>
          </w:p>
        </w:tc>
        <w:tc>
          <w:tcPr>
            <w:tcW w:w="18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2260" w:type="dxa"/>
            <w:vAlign w:val="bottom"/>
            <w:shd w:val="clear" w:color="auto" w:fill="CCFFCC"/>
          </w:tcPr>
          <w:p>
            <w:pPr>
              <w:spacing w:after="0"/>
              <w:rPr>
                <w:sz w:val="18"/>
                <w:szCs w:val="18"/>
                <w:color w:val="auto"/>
              </w:rPr>
            </w:pPr>
          </w:p>
        </w:tc>
      </w:tr>
      <w:tr>
        <w:trPr>
          <w:trHeight w:val="216"/>
        </w:trPr>
        <w:tc>
          <w:tcPr>
            <w:tcW w:w="4740" w:type="dxa"/>
            <w:vAlign w:val="bottom"/>
            <w:tcBorders>
              <w:bottom w:val="single" w:sz="8" w:color="CCFFCC"/>
            </w:tcBorders>
          </w:tcPr>
          <w:p>
            <w:pPr>
              <w:spacing w:after="0"/>
              <w:rPr>
                <w:sz w:val="20"/>
                <w:szCs w:val="20"/>
                <w:color w:val="auto"/>
              </w:rPr>
            </w:pPr>
            <w:r>
              <w:rPr>
                <w:rFonts w:ascii="Arial" w:cs="Arial" w:eastAsia="Arial" w:hAnsi="Arial"/>
                <w:sz w:val="18"/>
                <w:szCs w:val="18"/>
                <w:color w:val="auto"/>
              </w:rPr>
              <w:t>Technology</w:t>
            </w:r>
          </w:p>
        </w:tc>
        <w:tc>
          <w:tcPr>
            <w:tcW w:w="1840" w:type="dxa"/>
            <w:vAlign w:val="bottom"/>
            <w:tcBorders>
              <w:bottom w:val="single" w:sz="8" w:color="CCFFCC"/>
            </w:tcBorders>
          </w:tcPr>
          <w:p>
            <w:pPr>
              <w:jc w:val="right"/>
              <w:spacing w:after="0"/>
              <w:rPr>
                <w:sz w:val="20"/>
                <w:szCs w:val="20"/>
                <w:color w:val="auto"/>
              </w:rPr>
            </w:pPr>
            <w:r>
              <w:rPr>
                <w:rFonts w:ascii="Arial" w:cs="Arial" w:eastAsia="Arial" w:hAnsi="Arial"/>
                <w:sz w:val="18"/>
                <w:szCs w:val="18"/>
                <w:color w:val="auto"/>
              </w:rPr>
              <w:t>10,906</w:t>
            </w:r>
          </w:p>
        </w:tc>
        <w:tc>
          <w:tcPr>
            <w:tcW w:w="200" w:type="dxa"/>
            <w:vAlign w:val="bottom"/>
            <w:tcBorders>
              <w:bottom w:val="single" w:sz="8" w:color="CCFFCC"/>
            </w:tcBorders>
          </w:tcPr>
          <w:p>
            <w:pPr>
              <w:spacing w:after="0"/>
              <w:rPr>
                <w:sz w:val="18"/>
                <w:szCs w:val="18"/>
                <w:color w:val="auto"/>
              </w:rPr>
            </w:pPr>
          </w:p>
        </w:tc>
        <w:tc>
          <w:tcPr>
            <w:tcW w:w="1020" w:type="dxa"/>
            <w:vAlign w:val="bottom"/>
            <w:tcBorders>
              <w:bottom w:val="single" w:sz="8" w:color="CCFFCC"/>
            </w:tcBorders>
          </w:tcPr>
          <w:p>
            <w:pPr>
              <w:jc w:val="right"/>
              <w:spacing w:after="0"/>
              <w:rPr>
                <w:sz w:val="20"/>
                <w:szCs w:val="20"/>
                <w:color w:val="auto"/>
              </w:rPr>
            </w:pPr>
            <w:r>
              <w:rPr>
                <w:rFonts w:ascii="Arial" w:cs="Arial" w:eastAsia="Arial" w:hAnsi="Arial"/>
                <w:sz w:val="18"/>
                <w:szCs w:val="18"/>
                <w:color w:val="auto"/>
              </w:rPr>
              <w:t>6</w:t>
            </w:r>
          </w:p>
        </w:tc>
        <w:tc>
          <w:tcPr>
            <w:tcW w:w="200" w:type="dxa"/>
            <w:vAlign w:val="bottom"/>
            <w:tcBorders>
              <w:bottom w:val="single" w:sz="8" w:color="CCFFCC"/>
            </w:tcBorders>
          </w:tcPr>
          <w:p>
            <w:pPr>
              <w:spacing w:after="0"/>
              <w:rPr>
                <w:sz w:val="18"/>
                <w:szCs w:val="18"/>
                <w:color w:val="auto"/>
              </w:rPr>
            </w:pPr>
          </w:p>
        </w:tc>
        <w:tc>
          <w:tcPr>
            <w:tcW w:w="2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1,026</w:t>
            </w:r>
          </w:p>
        </w:tc>
      </w:tr>
      <w:tr>
        <w:trPr>
          <w:trHeight w:val="210"/>
        </w:trPr>
        <w:tc>
          <w:tcPr>
            <w:tcW w:w="4740" w:type="dxa"/>
            <w:vAlign w:val="bottom"/>
            <w:shd w:val="clear" w:color="auto" w:fill="CCFFCC"/>
          </w:tcPr>
          <w:p>
            <w:pPr>
              <w:spacing w:after="0"/>
              <w:rPr>
                <w:sz w:val="18"/>
                <w:szCs w:val="18"/>
                <w:color w:val="auto"/>
              </w:rPr>
            </w:pPr>
          </w:p>
        </w:tc>
        <w:tc>
          <w:tcPr>
            <w:tcW w:w="18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22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1,026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-290830</wp:posOffset>
            </wp:positionV>
            <wp:extent cx="5085715" cy="146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085715" cy="146050"/>
                    </a:xfrm>
                    <a:prstGeom prst="rect">
                      <a:avLst/>
                    </a:prstGeom>
                    <a:noFill/>
                  </pic:spPr>
                </pic:pic>
              </a:graphicData>
            </a:graphic>
          </wp:anchor>
        </w:drawing>
      </w:r>
    </w:p>
    <w:p>
      <w:pPr>
        <w:spacing w:after="0" w:line="18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For these pro forma consolidated statements of operations, we assume that there was no sign of impairment of goodwill, throughout the period presented. In addition, we assume that the purchase price allocated to the fair value of outstanding warrants granted by Vringo prior to the Merger did not change over the presented period.</w:t>
      </w:r>
    </w:p>
    <w:p>
      <w:pPr>
        <w:spacing w:after="0" w:line="181" w:lineRule="exact"/>
        <w:rPr>
          <w:sz w:val="20"/>
          <w:szCs w:val="20"/>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Amortization and depreciation, startup and capital acquisition costs, were reclassified into general and administrative:</w:t>
      </w:r>
    </w:p>
    <w:p>
      <w:pPr>
        <w:spacing w:after="0" w:line="221"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380" w:type="dxa"/>
            <w:vAlign w:val="bottom"/>
          </w:tcPr>
          <w:p>
            <w:pPr>
              <w:spacing w:after="0"/>
              <w:rPr>
                <w:sz w:val="18"/>
                <w:szCs w:val="18"/>
                <w:color w:val="auto"/>
              </w:rPr>
            </w:pPr>
          </w:p>
        </w:tc>
        <w:tc>
          <w:tcPr>
            <w:tcW w:w="186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0"/>
              </w:rPr>
              <w:t>Period from June 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18"/>
                <w:szCs w:val="18"/>
                <w:color w:val="auto"/>
              </w:rPr>
            </w:pPr>
          </w:p>
        </w:tc>
        <w:tc>
          <w:tcPr>
            <w:tcW w:w="186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8"/>
              </w:rPr>
              <w:t>2011 through</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380" w:type="dxa"/>
            <w:vAlign w:val="bottom"/>
          </w:tcPr>
          <w:p>
            <w:pPr>
              <w:spacing w:after="0"/>
              <w:rPr>
                <w:sz w:val="20"/>
                <w:szCs w:val="20"/>
                <w:color w:val="auto"/>
              </w:rPr>
            </w:pPr>
          </w:p>
        </w:tc>
        <w:tc>
          <w:tcPr>
            <w:tcW w:w="186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8"/>
                <w:szCs w:val="18"/>
                <w:b w:val="1"/>
                <w:bCs w:val="1"/>
                <w:color w:val="auto"/>
                <w:w w:val="88"/>
              </w:rPr>
              <w:t>December 31, 2011</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380" w:type="dxa"/>
            <w:vAlign w:val="bottom"/>
          </w:tcPr>
          <w:p>
            <w:pPr>
              <w:spacing w:after="0"/>
              <w:rPr>
                <w:sz w:val="16"/>
                <w:szCs w:val="16"/>
                <w:color w:val="auto"/>
              </w:rPr>
            </w:pPr>
          </w:p>
        </w:tc>
        <w:tc>
          <w:tcPr>
            <w:tcW w:w="1860" w:type="dxa"/>
            <w:vAlign w:val="bottom"/>
            <w:gridSpan w:val="2"/>
          </w:tcPr>
          <w:p>
            <w:pPr>
              <w:jc w:val="center"/>
              <w:ind w:right="40"/>
              <w:spacing w:after="0" w:line="195" w:lineRule="exact"/>
              <w:rPr>
                <w:sz w:val="20"/>
                <w:szCs w:val="20"/>
                <w:color w:val="auto"/>
              </w:rPr>
            </w:pPr>
            <w:r>
              <w:rPr>
                <w:rFonts w:ascii="Arial" w:cs="Arial" w:eastAsia="Arial" w:hAnsi="Arial"/>
                <w:sz w:val="18"/>
                <w:szCs w:val="18"/>
                <w:b w:val="1"/>
                <w:bCs w:val="1"/>
                <w:color w:val="auto"/>
                <w:w w:val="90"/>
              </w:rPr>
              <w:t>($ — in thousands)</w:t>
            </w:r>
          </w:p>
        </w:tc>
        <w:tc>
          <w:tcPr>
            <w:tcW w:w="0" w:type="dxa"/>
            <w:vAlign w:val="bottom"/>
          </w:tcPr>
          <w:p>
            <w:pPr>
              <w:spacing w:after="0"/>
              <w:rPr>
                <w:sz w:val="1"/>
                <w:szCs w:val="1"/>
                <w:color w:val="auto"/>
              </w:rPr>
            </w:pPr>
          </w:p>
        </w:tc>
      </w:tr>
      <w:tr>
        <w:trPr>
          <w:trHeight w:val="230"/>
        </w:trPr>
        <w:tc>
          <w:tcPr>
            <w:tcW w:w="8400" w:type="dxa"/>
            <w:vAlign w:val="bottom"/>
            <w:gridSpan w:val="2"/>
          </w:tcPr>
          <w:p>
            <w:pPr>
              <w:spacing w:after="0"/>
              <w:rPr>
                <w:sz w:val="20"/>
                <w:szCs w:val="20"/>
                <w:color w:val="auto"/>
              </w:rPr>
            </w:pPr>
            <w:r>
              <w:rPr>
                <w:rFonts w:ascii="Arial" w:cs="Arial" w:eastAsia="Arial" w:hAnsi="Arial"/>
                <w:sz w:val="18"/>
                <w:szCs w:val="18"/>
                <w:color w:val="auto"/>
              </w:rPr>
              <w:t>General and administrative</w:t>
            </w:r>
          </w:p>
        </w:tc>
        <w:tc>
          <w:tcPr>
            <w:tcW w:w="1740" w:type="dxa"/>
            <w:vAlign w:val="bottom"/>
          </w:tcPr>
          <w:p>
            <w:pPr>
              <w:jc w:val="right"/>
              <w:spacing w:after="0"/>
              <w:rPr>
                <w:sz w:val="20"/>
                <w:szCs w:val="20"/>
                <w:color w:val="auto"/>
              </w:rPr>
            </w:pPr>
            <w:r>
              <w:rPr>
                <w:rFonts w:ascii="Arial" w:cs="Arial" w:eastAsia="Arial" w:hAnsi="Arial"/>
                <w:sz w:val="18"/>
                <w:szCs w:val="18"/>
                <w:color w:val="auto"/>
              </w:rPr>
              <w:t>1,431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FFCC"/>
          </w:tcPr>
          <w:p>
            <w:pPr>
              <w:spacing w:after="0"/>
              <w:rPr>
                <w:sz w:val="20"/>
                <w:szCs w:val="20"/>
                <w:color w:val="auto"/>
              </w:rPr>
            </w:pPr>
            <w:r>
              <w:rPr>
                <w:rFonts w:ascii="Arial" w:cs="Arial" w:eastAsia="Arial" w:hAnsi="Arial"/>
                <w:sz w:val="18"/>
                <w:szCs w:val="18"/>
                <w:color w:val="auto"/>
              </w:rPr>
              <w:t>Compensation</w:t>
            </w:r>
          </w:p>
        </w:tc>
        <w:tc>
          <w:tcPr>
            <w:tcW w:w="18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(997)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Amortization and depreciation</w:t>
            </w:r>
          </w:p>
        </w:tc>
        <w:tc>
          <w:tcPr>
            <w:tcW w:w="1860" w:type="dxa"/>
            <w:vAlign w:val="bottom"/>
            <w:gridSpan w:val="2"/>
          </w:tcPr>
          <w:p>
            <w:pPr>
              <w:jc w:val="right"/>
              <w:ind w:right="60"/>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83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8380" w:type="dxa"/>
            <w:vAlign w:val="bottom"/>
            <w:shd w:val="clear" w:color="auto" w:fill="CCFFCC"/>
          </w:tcPr>
          <w:p>
            <w:pPr>
              <w:spacing w:after="0"/>
              <w:rPr>
                <w:sz w:val="20"/>
                <w:szCs w:val="20"/>
                <w:color w:val="auto"/>
              </w:rPr>
            </w:pPr>
            <w:r>
              <w:rPr>
                <w:rFonts w:ascii="Arial" w:cs="Arial" w:eastAsia="Arial" w:hAnsi="Arial"/>
                <w:sz w:val="18"/>
                <w:szCs w:val="18"/>
                <w:color w:val="auto"/>
              </w:rPr>
              <w:t>Startup and capital acquisition costs</w:t>
            </w:r>
          </w:p>
        </w:tc>
        <w:tc>
          <w:tcPr>
            <w:tcW w:w="18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380" w:type="dxa"/>
            <w:vAlign w:val="bottom"/>
            <w:shd w:val="clear" w:color="auto" w:fill="CCFFCC"/>
          </w:tcPr>
          <w:p>
            <w:pPr>
              <w:spacing w:after="0"/>
              <w:rPr>
                <w:sz w:val="17"/>
                <w:szCs w:val="17"/>
                <w:color w:val="auto"/>
              </w:rPr>
            </w:pPr>
          </w:p>
        </w:tc>
        <w:tc>
          <w:tcPr>
            <w:tcW w:w="1740" w:type="dxa"/>
            <w:vAlign w:val="bottom"/>
            <w:tcBorders>
              <w:bottom w:val="single" w:sz="8" w:color="auto"/>
            </w:tcBorders>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80" w:type="dxa"/>
            <w:vAlign w:val="bottom"/>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660" w:hanging="652"/>
        <w:spacing w:after="0" w:line="297"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According to GAAP, the consolidated pro forma equity will reflect Vringo’s common stock and preferred stock, at par value, as Vringo is the legal acquirer. Shares used to calculate unaudited pro forma basic and diluted loss per share were computed by adding the shares assumed to be issued, to the weighted average number of shares outstanding for the period from June 8, 2011 through December 31, 2011. However, as the combined company generated only losses in the period presented, potentially dilutive securities, comprised mainly of the abovementioned preferred shares, warrants and stock options, were not reflected in pro forma diluted net loss per share, because the effect of conversion of such shares is anti-dilutive.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8400" w:type="dxa"/>
            <w:vAlign w:val="bottom"/>
          </w:tcPr>
          <w:p>
            <w:pPr>
              <w:spacing w:after="0"/>
              <w:rPr>
                <w:sz w:val="18"/>
                <w:szCs w:val="18"/>
                <w:color w:val="auto"/>
              </w:rPr>
            </w:pPr>
          </w:p>
        </w:tc>
        <w:tc>
          <w:tcPr>
            <w:tcW w:w="186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0"/>
              </w:rPr>
              <w:t>Period from June 8,</w:t>
            </w:r>
          </w:p>
        </w:tc>
        <w:tc>
          <w:tcPr>
            <w:tcW w:w="50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8400" w:type="dxa"/>
            <w:vAlign w:val="bottom"/>
          </w:tcPr>
          <w:p>
            <w:pPr>
              <w:spacing w:after="0"/>
              <w:rPr>
                <w:sz w:val="18"/>
                <w:szCs w:val="18"/>
                <w:color w:val="auto"/>
              </w:rPr>
            </w:pPr>
          </w:p>
        </w:tc>
        <w:tc>
          <w:tcPr>
            <w:tcW w:w="186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8"/>
              </w:rPr>
              <w:t>2011 through</w:t>
            </w:r>
          </w:p>
        </w:tc>
        <w:tc>
          <w:tcPr>
            <w:tcW w:w="500" w:type="dxa"/>
            <w:vAlign w:val="bottom"/>
          </w:tcPr>
          <w:p>
            <w:pPr>
              <w:spacing w:after="0"/>
              <w:rPr>
                <w:sz w:val="18"/>
                <w:szCs w:val="18"/>
                <w:color w:val="auto"/>
              </w:rPr>
            </w:pPr>
          </w:p>
        </w:tc>
      </w:tr>
      <w:tr>
        <w:trPr>
          <w:trHeight w:val="234"/>
        </w:trPr>
        <w:tc>
          <w:tcPr>
            <w:tcW w:w="660" w:type="dxa"/>
            <w:vAlign w:val="bottom"/>
          </w:tcPr>
          <w:p>
            <w:pPr>
              <w:spacing w:after="0"/>
              <w:rPr>
                <w:sz w:val="20"/>
                <w:szCs w:val="20"/>
                <w:color w:val="auto"/>
              </w:rPr>
            </w:pPr>
          </w:p>
        </w:tc>
        <w:tc>
          <w:tcPr>
            <w:tcW w:w="8400" w:type="dxa"/>
            <w:vAlign w:val="bottom"/>
          </w:tcPr>
          <w:p>
            <w:pPr>
              <w:spacing w:after="0"/>
              <w:rPr>
                <w:sz w:val="20"/>
                <w:szCs w:val="20"/>
                <w:color w:val="auto"/>
              </w:rPr>
            </w:pPr>
          </w:p>
        </w:tc>
        <w:tc>
          <w:tcPr>
            <w:tcW w:w="186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8"/>
                <w:szCs w:val="18"/>
                <w:b w:val="1"/>
                <w:bCs w:val="1"/>
                <w:color w:val="auto"/>
                <w:w w:val="88"/>
              </w:rPr>
              <w:t>December 31, 2011</w:t>
            </w:r>
          </w:p>
        </w:tc>
        <w:tc>
          <w:tcPr>
            <w:tcW w:w="500" w:type="dxa"/>
            <w:vAlign w:val="bottom"/>
          </w:tcPr>
          <w:p>
            <w:pPr>
              <w:spacing w:after="0"/>
              <w:rPr>
                <w:sz w:val="20"/>
                <w:szCs w:val="20"/>
                <w:color w:val="auto"/>
              </w:rPr>
            </w:pPr>
          </w:p>
        </w:tc>
      </w:tr>
      <w:tr>
        <w:trPr>
          <w:trHeight w:val="191"/>
        </w:trPr>
        <w:tc>
          <w:tcPr>
            <w:tcW w:w="660" w:type="dxa"/>
            <w:vAlign w:val="bottom"/>
          </w:tcPr>
          <w:p>
            <w:pPr>
              <w:spacing w:after="0"/>
              <w:rPr>
                <w:sz w:val="16"/>
                <w:szCs w:val="16"/>
                <w:color w:val="auto"/>
              </w:rPr>
            </w:pPr>
          </w:p>
        </w:tc>
        <w:tc>
          <w:tcPr>
            <w:tcW w:w="8400" w:type="dxa"/>
            <w:vAlign w:val="bottom"/>
          </w:tcPr>
          <w:p>
            <w:pPr>
              <w:spacing w:after="0"/>
              <w:rPr>
                <w:sz w:val="16"/>
                <w:szCs w:val="16"/>
                <w:color w:val="auto"/>
              </w:rPr>
            </w:pPr>
          </w:p>
        </w:tc>
        <w:tc>
          <w:tcPr>
            <w:tcW w:w="1860" w:type="dxa"/>
            <w:vAlign w:val="bottom"/>
            <w:gridSpan w:val="2"/>
          </w:tcPr>
          <w:p>
            <w:pPr>
              <w:jc w:val="center"/>
              <w:ind w:right="60"/>
              <w:spacing w:after="0" w:line="191" w:lineRule="exact"/>
              <w:rPr>
                <w:sz w:val="20"/>
                <w:szCs w:val="20"/>
                <w:color w:val="auto"/>
              </w:rPr>
            </w:pPr>
            <w:r>
              <w:rPr>
                <w:rFonts w:ascii="Arial" w:cs="Arial" w:eastAsia="Arial" w:hAnsi="Arial"/>
                <w:sz w:val="18"/>
                <w:szCs w:val="18"/>
                <w:b w:val="1"/>
                <w:bCs w:val="1"/>
                <w:color w:val="auto"/>
                <w:w w:val="89"/>
              </w:rPr>
              <w:t>($ — in thousands,</w:t>
            </w:r>
          </w:p>
        </w:tc>
        <w:tc>
          <w:tcPr>
            <w:tcW w:w="500" w:type="dxa"/>
            <w:vAlign w:val="bottom"/>
          </w:tcPr>
          <w:p>
            <w:pPr>
              <w:spacing w:after="0"/>
              <w:rPr>
                <w:sz w:val="16"/>
                <w:szCs w:val="16"/>
                <w:color w:val="auto"/>
              </w:rPr>
            </w:pPr>
          </w:p>
        </w:tc>
      </w:tr>
      <w:tr>
        <w:trPr>
          <w:trHeight w:val="216"/>
        </w:trPr>
        <w:tc>
          <w:tcPr>
            <w:tcW w:w="660" w:type="dxa"/>
            <w:vAlign w:val="bottom"/>
          </w:tcPr>
          <w:p>
            <w:pPr>
              <w:spacing w:after="0"/>
              <w:rPr>
                <w:sz w:val="18"/>
                <w:szCs w:val="18"/>
                <w:color w:val="auto"/>
              </w:rPr>
            </w:pPr>
          </w:p>
        </w:tc>
        <w:tc>
          <w:tcPr>
            <w:tcW w:w="8400" w:type="dxa"/>
            <w:vAlign w:val="bottom"/>
          </w:tcPr>
          <w:p>
            <w:pPr>
              <w:spacing w:after="0"/>
              <w:rPr>
                <w:sz w:val="18"/>
                <w:szCs w:val="18"/>
                <w:color w:val="auto"/>
              </w:rPr>
            </w:pPr>
          </w:p>
        </w:tc>
        <w:tc>
          <w:tcPr>
            <w:tcW w:w="186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8"/>
              </w:rPr>
              <w:t>except share and per</w:t>
            </w:r>
          </w:p>
        </w:tc>
        <w:tc>
          <w:tcPr>
            <w:tcW w:w="500" w:type="dxa"/>
            <w:vAlign w:val="bottom"/>
          </w:tcPr>
          <w:p>
            <w:pPr>
              <w:spacing w:after="0"/>
              <w:rPr>
                <w:sz w:val="18"/>
                <w:szCs w:val="18"/>
                <w:color w:val="auto"/>
              </w:rPr>
            </w:pPr>
          </w:p>
        </w:tc>
      </w:tr>
      <w:tr>
        <w:trPr>
          <w:trHeight w:val="234"/>
        </w:trPr>
        <w:tc>
          <w:tcPr>
            <w:tcW w:w="660" w:type="dxa"/>
            <w:vAlign w:val="bottom"/>
          </w:tcPr>
          <w:p>
            <w:pPr>
              <w:spacing w:after="0"/>
              <w:rPr>
                <w:sz w:val="20"/>
                <w:szCs w:val="20"/>
                <w:color w:val="auto"/>
              </w:rPr>
            </w:pPr>
          </w:p>
        </w:tc>
        <w:tc>
          <w:tcPr>
            <w:tcW w:w="8400" w:type="dxa"/>
            <w:vAlign w:val="bottom"/>
          </w:tcPr>
          <w:p>
            <w:pPr>
              <w:spacing w:after="0"/>
              <w:rPr>
                <w:sz w:val="20"/>
                <w:szCs w:val="20"/>
                <w:color w:val="auto"/>
              </w:rPr>
            </w:pPr>
          </w:p>
        </w:tc>
        <w:tc>
          <w:tcPr>
            <w:tcW w:w="186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9"/>
              </w:rPr>
              <w:t>share data)</w:t>
            </w:r>
          </w:p>
        </w:tc>
        <w:tc>
          <w:tcPr>
            <w:tcW w:w="500" w:type="dxa"/>
            <w:vAlign w:val="bottom"/>
          </w:tcPr>
          <w:p>
            <w:pPr>
              <w:spacing w:after="0"/>
              <w:rPr>
                <w:sz w:val="20"/>
                <w:szCs w:val="20"/>
                <w:color w:val="auto"/>
              </w:rPr>
            </w:pPr>
          </w:p>
        </w:tc>
      </w:tr>
      <w:tr>
        <w:trPr>
          <w:trHeight w:val="216"/>
        </w:trPr>
        <w:tc>
          <w:tcPr>
            <w:tcW w:w="660" w:type="dxa"/>
            <w:vAlign w:val="bottom"/>
          </w:tcPr>
          <w:p>
            <w:pPr>
              <w:spacing w:after="0"/>
              <w:rPr>
                <w:sz w:val="18"/>
                <w:szCs w:val="18"/>
                <w:color w:val="auto"/>
              </w:rPr>
            </w:pPr>
          </w:p>
        </w:tc>
        <w:tc>
          <w:tcPr>
            <w:tcW w:w="84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Numerator:</w:t>
            </w:r>
          </w:p>
        </w:tc>
        <w:tc>
          <w:tcPr>
            <w:tcW w:w="17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50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8"/>
                <w:szCs w:val="18"/>
                <w:color w:val="auto"/>
              </w:rPr>
              <w:t>Net loss attributable to common stock shares (basic and diluted):</w:t>
            </w:r>
          </w:p>
        </w:tc>
        <w:tc>
          <w:tcPr>
            <w:tcW w:w="1860" w:type="dxa"/>
            <w:vAlign w:val="bottom"/>
            <w:gridSpan w:val="2"/>
          </w:tcPr>
          <w:p>
            <w:pPr>
              <w:jc w:val="right"/>
              <w:ind w:right="60"/>
              <w:spacing w:after="0"/>
              <w:rPr>
                <w:sz w:val="20"/>
                <w:szCs w:val="20"/>
                <w:color w:val="auto"/>
              </w:rPr>
            </w:pPr>
            <w:r>
              <w:rPr>
                <w:rFonts w:ascii="Arial" w:cs="Arial" w:eastAsia="Arial" w:hAnsi="Arial"/>
                <w:sz w:val="18"/>
                <w:szCs w:val="18"/>
                <w:color w:val="auto"/>
              </w:rPr>
              <w:t>(8,679)</w:t>
            </w:r>
          </w:p>
        </w:tc>
        <w:tc>
          <w:tcPr>
            <w:tcW w:w="50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84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Denominator:</w:t>
            </w:r>
          </w:p>
        </w:tc>
        <w:tc>
          <w:tcPr>
            <w:tcW w:w="17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50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8"/>
                <w:szCs w:val="18"/>
                <w:color w:val="auto"/>
              </w:rPr>
              <w:t>Weighted average of Vringo common stock shares, outstanding for the period:</w:t>
            </w:r>
          </w:p>
        </w:tc>
        <w:tc>
          <w:tcPr>
            <w:tcW w:w="1740" w:type="dxa"/>
            <w:vAlign w:val="bottom"/>
          </w:tcPr>
          <w:p>
            <w:pPr>
              <w:jc w:val="right"/>
              <w:spacing w:after="0"/>
              <w:rPr>
                <w:sz w:val="20"/>
                <w:szCs w:val="20"/>
                <w:color w:val="auto"/>
              </w:rPr>
            </w:pPr>
            <w:r>
              <w:rPr>
                <w:rFonts w:ascii="Arial" w:cs="Arial" w:eastAsia="Arial" w:hAnsi="Arial"/>
                <w:sz w:val="18"/>
                <w:szCs w:val="18"/>
                <w:color w:val="auto"/>
              </w:rPr>
              <w:t>6,965,927</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02"/>
        </w:trPr>
        <w:tc>
          <w:tcPr>
            <w:tcW w:w="660" w:type="dxa"/>
            <w:vAlign w:val="bottom"/>
          </w:tcPr>
          <w:p>
            <w:pPr>
              <w:spacing w:after="0"/>
              <w:rPr>
                <w:sz w:val="17"/>
                <w:szCs w:val="17"/>
                <w:color w:val="auto"/>
              </w:rPr>
            </w:pPr>
          </w:p>
        </w:tc>
        <w:tc>
          <w:tcPr>
            <w:tcW w:w="840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w w:val="94"/>
              </w:rPr>
              <w:t>Weighted average of Vringo common stock shares issued to former Innovate/Protect stockholders, outstanding</w:t>
            </w:r>
          </w:p>
        </w:tc>
        <w:tc>
          <w:tcPr>
            <w:tcW w:w="174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500" w:type="dxa"/>
            <w:vAlign w:val="bottom"/>
          </w:tcPr>
          <w:p>
            <w:pPr>
              <w:spacing w:after="0"/>
              <w:rPr>
                <w:sz w:val="17"/>
                <w:szCs w:val="17"/>
                <w:color w:val="auto"/>
              </w:rPr>
            </w:pPr>
          </w:p>
        </w:tc>
      </w:tr>
      <w:tr>
        <w:trPr>
          <w:trHeight w:val="230"/>
        </w:trPr>
        <w:tc>
          <w:tcPr>
            <w:tcW w:w="660" w:type="dxa"/>
            <w:vAlign w:val="bottom"/>
          </w:tcPr>
          <w:p>
            <w:pPr>
              <w:spacing w:after="0"/>
              <w:rPr>
                <w:sz w:val="20"/>
                <w:szCs w:val="20"/>
                <w:color w:val="auto"/>
              </w:rPr>
            </w:pPr>
          </w:p>
        </w:tc>
        <w:tc>
          <w:tcPr>
            <w:tcW w:w="8400" w:type="dxa"/>
            <w:vAlign w:val="bottom"/>
            <w:shd w:val="clear" w:color="auto" w:fill="CCFFCC"/>
          </w:tcPr>
          <w:p>
            <w:pPr>
              <w:ind w:left="180"/>
              <w:spacing w:after="0"/>
              <w:rPr>
                <w:sz w:val="20"/>
                <w:szCs w:val="20"/>
                <w:color w:val="auto"/>
              </w:rPr>
            </w:pPr>
            <w:r>
              <w:rPr>
                <w:rFonts w:ascii="Arial" w:cs="Arial" w:eastAsia="Arial" w:hAnsi="Arial"/>
                <w:sz w:val="18"/>
                <w:szCs w:val="18"/>
                <w:color w:val="auto"/>
              </w:rPr>
              <w:t>for the period:</w:t>
            </w:r>
          </w:p>
        </w:tc>
        <w:tc>
          <w:tcPr>
            <w:tcW w:w="17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18,113,169</w:t>
            </w:r>
          </w:p>
        </w:tc>
        <w:tc>
          <w:tcPr>
            <w:tcW w:w="120" w:type="dxa"/>
            <w:vAlign w:val="bottom"/>
            <w:shd w:val="clear" w:color="auto" w:fill="CCFFCC"/>
          </w:tcPr>
          <w:p>
            <w:pPr>
              <w:spacing w:after="0"/>
              <w:rPr>
                <w:sz w:val="20"/>
                <w:szCs w:val="20"/>
                <w:color w:val="auto"/>
              </w:rPr>
            </w:pPr>
          </w:p>
        </w:tc>
        <w:tc>
          <w:tcPr>
            <w:tcW w:w="500" w:type="dxa"/>
            <w:vAlign w:val="bottom"/>
          </w:tcPr>
          <w:p>
            <w:pPr>
              <w:spacing w:after="0"/>
              <w:rPr>
                <w:sz w:val="20"/>
                <w:szCs w:val="20"/>
                <w:color w:val="auto"/>
              </w:rPr>
            </w:pPr>
          </w:p>
        </w:tc>
      </w:tr>
      <w:tr>
        <w:trPr>
          <w:trHeight w:val="210"/>
        </w:trPr>
        <w:tc>
          <w:tcPr>
            <w:tcW w:w="660" w:type="dxa"/>
            <w:vAlign w:val="bottom"/>
          </w:tcPr>
          <w:p>
            <w:pPr>
              <w:spacing w:after="0"/>
              <w:rPr>
                <w:sz w:val="18"/>
                <w:szCs w:val="18"/>
                <w:color w:val="auto"/>
              </w:rPr>
            </w:pPr>
          </w:p>
        </w:tc>
        <w:tc>
          <w:tcPr>
            <w:tcW w:w="8400" w:type="dxa"/>
            <w:vAlign w:val="bottom"/>
            <w:tcBorders>
              <w:bottom w:val="single" w:sz="8" w:color="CCFFCC"/>
            </w:tcBorders>
          </w:tcPr>
          <w:p>
            <w:pPr>
              <w:spacing w:after="0"/>
              <w:rPr>
                <w:sz w:val="20"/>
                <w:szCs w:val="20"/>
                <w:color w:val="auto"/>
              </w:rPr>
            </w:pPr>
            <w:r>
              <w:rPr>
                <w:rFonts w:ascii="Arial" w:cs="Arial" w:eastAsia="Arial" w:hAnsi="Arial"/>
                <w:sz w:val="18"/>
                <w:szCs w:val="18"/>
                <w:color w:val="auto"/>
              </w:rPr>
              <w:t>Total common stock shares outstanding, after the Merger:</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25,079,096</w:t>
            </w:r>
          </w:p>
        </w:tc>
        <w:tc>
          <w:tcPr>
            <w:tcW w:w="120" w:type="dxa"/>
            <w:vAlign w:val="bottom"/>
            <w:tcBorders>
              <w:bottom w:val="single" w:sz="8" w:color="CCFFCC"/>
            </w:tcBorders>
          </w:tcPr>
          <w:p>
            <w:pPr>
              <w:spacing w:after="0"/>
              <w:rPr>
                <w:sz w:val="18"/>
                <w:szCs w:val="18"/>
                <w:color w:val="auto"/>
              </w:rPr>
            </w:pPr>
          </w:p>
        </w:tc>
        <w:tc>
          <w:tcPr>
            <w:tcW w:w="500" w:type="dxa"/>
            <w:vAlign w:val="bottom"/>
          </w:tcPr>
          <w:p>
            <w:pPr>
              <w:spacing w:after="0"/>
              <w:rPr>
                <w:sz w:val="18"/>
                <w:szCs w:val="18"/>
                <w:color w:val="auto"/>
              </w:rPr>
            </w:pPr>
          </w:p>
        </w:tc>
      </w:tr>
      <w:tr>
        <w:trPr>
          <w:trHeight w:val="210"/>
        </w:trPr>
        <w:tc>
          <w:tcPr>
            <w:tcW w:w="660" w:type="dxa"/>
            <w:vAlign w:val="bottom"/>
          </w:tcPr>
          <w:p>
            <w:pPr>
              <w:spacing w:after="0"/>
              <w:rPr>
                <w:sz w:val="18"/>
                <w:szCs w:val="18"/>
                <w:color w:val="auto"/>
              </w:rPr>
            </w:pPr>
          </w:p>
        </w:tc>
        <w:tc>
          <w:tcPr>
            <w:tcW w:w="8400" w:type="dxa"/>
            <w:vAlign w:val="bottom"/>
            <w:shd w:val="clear" w:color="auto" w:fill="CCFFCC"/>
          </w:tcPr>
          <w:p>
            <w:pPr>
              <w:spacing w:after="0"/>
              <w:rPr>
                <w:sz w:val="20"/>
                <w:szCs w:val="20"/>
                <w:color w:val="auto"/>
              </w:rPr>
            </w:pPr>
            <w:r>
              <w:rPr>
                <w:rFonts w:ascii="Arial" w:cs="Arial" w:eastAsia="Arial" w:hAnsi="Arial"/>
                <w:sz w:val="18"/>
                <w:szCs w:val="18"/>
                <w:color w:val="auto"/>
              </w:rPr>
              <w:t>Basic and diluted net losses per share of common stock:</w:t>
            </w:r>
          </w:p>
        </w:tc>
        <w:tc>
          <w:tcPr>
            <w:tcW w:w="17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(0.35)</w:t>
            </w:r>
          </w:p>
        </w:tc>
        <w:tc>
          <w:tcPr>
            <w:tcW w:w="120" w:type="dxa"/>
            <w:vAlign w:val="bottom"/>
            <w:shd w:val="clear" w:color="auto" w:fill="CCFFCC"/>
          </w:tcPr>
          <w:p>
            <w:pPr>
              <w:spacing w:after="0"/>
              <w:rPr>
                <w:sz w:val="18"/>
                <w:szCs w:val="18"/>
                <w:color w:val="auto"/>
              </w:rPr>
            </w:pPr>
          </w:p>
        </w:tc>
        <w:tc>
          <w:tcPr>
            <w:tcW w:w="500" w:type="dxa"/>
            <w:vAlign w:val="bottom"/>
          </w:tcPr>
          <w:p>
            <w:pPr>
              <w:spacing w:after="0"/>
              <w:rPr>
                <w:sz w:val="18"/>
                <w:szCs w:val="18"/>
                <w:color w:val="auto"/>
              </w:rPr>
            </w:pPr>
          </w:p>
        </w:tc>
      </w:tr>
      <w:tr>
        <w:trPr>
          <w:trHeight w:val="642"/>
        </w:trPr>
        <w:tc>
          <w:tcPr>
            <w:tcW w:w="9060" w:type="dxa"/>
            <w:vAlign w:val="bottom"/>
            <w:tcBorders>
              <w:bottom w:val="single" w:sz="8" w:color="auto"/>
            </w:tcBorders>
            <w:gridSpan w:val="2"/>
          </w:tcPr>
          <w:p>
            <w:pPr>
              <w:jc w:val="right"/>
              <w:ind w:right="3210"/>
              <w:spacing w:after="0"/>
              <w:rPr>
                <w:sz w:val="20"/>
                <w:szCs w:val="20"/>
                <w:color w:val="auto"/>
              </w:rPr>
            </w:pPr>
            <w:r>
              <w:rPr>
                <w:rFonts w:ascii="Arial" w:cs="Arial" w:eastAsia="Arial" w:hAnsi="Arial"/>
                <w:sz w:val="18"/>
                <w:szCs w:val="18"/>
                <w:color w:val="auto"/>
              </w:rPr>
              <w:t>9</w:t>
            </w:r>
          </w:p>
        </w:tc>
        <w:tc>
          <w:tcPr>
            <w:tcW w:w="1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-719455</wp:posOffset>
            </wp:positionV>
            <wp:extent cx="6517640" cy="1543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517640" cy="154305"/>
                    </a:xfrm>
                    <a:prstGeom prst="rect">
                      <a:avLst/>
                    </a:prstGeom>
                    <a:noFill/>
                  </pic:spPr>
                </pic:pic>
              </a:graphicData>
            </a:graphic>
          </wp:anchor>
        </w:drawing>
      </w:r>
    </w:p>
    <w:sectPr>
      <w:pgSz w:w="11900" w:h="16838" w:orient="portrait"/>
      <w:cols w:equalWidth="0" w:num="1">
        <w:col w:w="11420"/>
      </w:cols>
      <w:pgMar w:left="240" w:top="90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1)"/>
      <w:numFmt w:val="lowerLetter"/>
      <w:start w:val="2"/>
    </w:lvl>
  </w:abstractNum>
  <w:abstractNum w:abstractNumId="2">
    <w:nsid w:val="5BD062C2"/>
    <w:multiLevelType w:val="hybridMultilevel"/>
    <w:lvl w:ilvl="0">
      <w:lvlJc w:val="left"/>
      <w:lvlText w:val="(%1)"/>
      <w:numFmt w:val="lowerLetter"/>
      <w:start w:val="4"/>
    </w:lvl>
  </w:abstractNum>
  <w:abstractNum w:abstractNumId="3">
    <w:nsid w:val="12200854"/>
    <w:multiLevelType w:val="hybridMultilevel"/>
    <w:lvl w:ilvl="0">
      <w:lvlJc w:val="left"/>
      <w:lvlText w:val="(%1)"/>
      <w:numFmt w:val="lowerRoman"/>
      <w:start w:val="3"/>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1."/>
      <w:numFmt w:val="decimal"/>
      <w:start w:val="1"/>
    </w:lvl>
  </w:abstractNum>
  <w:abstractNum w:abstractNumId="7">
    <w:nsid w:val="1190CDE7"/>
    <w:multiLevelType w:val="hybridMultilevel"/>
    <w:lvl w:ilvl="0">
      <w:lvlJc w:val="left"/>
      <w:lvlText w:val="%1."/>
      <w:numFmt w:val="decimal"/>
      <w:start w:val="2"/>
    </w:lvl>
  </w:abstractNum>
  <w:abstractNum w:abstractNumId="8">
    <w:nsid w:val="66EF438D"/>
    <w:multiLevelType w:val="hybridMultilevel"/>
    <w:lvl w:ilvl="0">
      <w:lvlJc w:val="left"/>
      <w:lvlText w:val="%1."/>
      <w:numFmt w:val="decimal"/>
      <w:start w:val="3"/>
    </w:lvl>
  </w:abstractNum>
  <w:abstractNum w:abstractNumId="9">
    <w:nsid w:val="140E0F76"/>
    <w:multiLevelType w:val="hybridMultilevel"/>
    <w:lvl w:ilvl="0">
      <w:lvlJc w:val="left"/>
      <w:lvlText w:val="%1."/>
      <w:numFmt w:val="decimal"/>
      <w:start w:val="4"/>
    </w:lvl>
  </w:abstractNum>
  <w:abstractNum w:abstractNumId="10">
    <w:nsid w:val="3352255A"/>
    <w:multiLevelType w:val="hybridMultilevel"/>
    <w:lvl w:ilvl="0">
      <w:lvlJc w:val="left"/>
      <w:lvlText w:val="%1."/>
      <w:numFmt w:val="decimal"/>
      <w:start w:val="7"/>
    </w:lvl>
  </w:abstractNum>
  <w:abstractNum w:abstractNumId="11">
    <w:nsid w:val="109CF92E"/>
    <w:multiLevelType w:val="hybridMultilevel"/>
    <w:lvl w:ilvl="0">
      <w:lvlJc w:val="left"/>
      <w:lvlText w:val="%1."/>
      <w:numFmt w:val="decimal"/>
      <w:start w:val="8"/>
    </w:lvl>
  </w:abstractNum>
  <w:abstractNum w:abstractNumId="12">
    <w:nsid w:val="DED7263"/>
    <w:multiLevelType w:val="hybridMultilevel"/>
    <w:lvl w:ilvl="0">
      <w:lvlJc w:val="left"/>
      <w:lvlText w:val="%1."/>
      <w:numFmt w:val="decimal"/>
      <w:start w:val="1"/>
    </w:lvl>
  </w:abstractNum>
  <w:abstractNum w:abstractNumId="13">
    <w:nsid w:val="7FDCC233"/>
    <w:multiLevelType w:val="hybridMultilevel"/>
    <w:lvl w:ilvl="0">
      <w:lvlJc w:val="left"/>
      <w:lvlText w:val="%1."/>
      <w:numFmt w:val="decimal"/>
      <w:start w:val="2"/>
    </w:lvl>
  </w:abstractNum>
  <w:abstractNum w:abstractNumId="14">
    <w:nsid w:val="1BEFD79F"/>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2019-12-09T18:31:59Z</dcterms:created>
  <dcterms:modified xsi:type="dcterms:W3CDTF">2019-12-09T18:31:59Z</dcterms:modified>
</cp:coreProperties>
</file>