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January 22, 2015</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VRINGO, INC.</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780 Third Avenue, 12</w:t>
            </w:r>
            <w:r>
              <w:rPr>
                <w:rFonts w:ascii="Arial" w:cs="Arial" w:eastAsia="Arial" w:hAnsi="Arial"/>
                <w:sz w:val="30"/>
                <w:szCs w:val="30"/>
                <w:b w:val="1"/>
                <w:bCs w:val="1"/>
                <w:color w:val="auto"/>
                <w:w w:val="90"/>
                <w:vertAlign w:val="superscript"/>
              </w:rPr>
              <w:t>th</w:t>
            </w:r>
            <w:r>
              <w:rPr>
                <w:rFonts w:ascii="Arial" w:cs="Arial" w:eastAsia="Arial" w:hAnsi="Arial"/>
                <w:sz w:val="18"/>
                <w:szCs w:val="18"/>
                <w:b w:val="1"/>
                <w:bCs w:val="1"/>
                <w:color w:val="auto"/>
                <w:w w:val="90"/>
              </w:rPr>
              <w:t xml:space="preserve"> Floor, New York, New York 10017</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68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80" w:hanging="318"/>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18"/>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18"/>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80" w:hanging="318"/>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January 22, 2015, the District Court of Düsseldorf (the “Court”) issued its decision, relating to two patents, in the patent infringement lawsuits brought by Vringo's wholly-owned subsidiary, Vringo Germany GmbH (collectively, “Vringo”), against ZTE Corporation, its German subsidiary, ZTE Deutschland GmbH (collectively, “ZTE”), ASUSTek, Inc. and its German subsidiary, ASUS GmbH (collectively, “ASUS”).</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Court found that ZTE and ASUS do not infringe the German part of Vringo’s European Patent 0,748,136 (the “‘136 Patent”), which is directed to devices, including those with hotspot functionality, that provide data services between two different wireless/cellular networks and that ZTE and ASUS do not infringe the German part of Vringo’s European Patent 0,710,941 (the “‘941 Patent”), which is directed to navigation systems that provide traffic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Vringo will explore all possible remedies including appeal.</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German law, the question of validity of patents is dealt with in separate proceedings and before different courts. Accordingly, the District Court did not rule on the validity of the ‘136 and ‘941 Patents. Corresponding nullity actions filed by ZTE and ASUS against the ‘136 and ‘941 Patents are currently pending with the German Federal Patents Court. Hearing dates for those actions have not yet been set.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These rulings do not affect any litigation on other patent families owned by Vringo.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left="54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7400" w:type="dxa"/>
            <w:vAlign w:val="bottom"/>
            <w:gridSpan w:val="2"/>
          </w:tcPr>
          <w:p>
            <w:pPr>
              <w:ind w:left="226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4020" w:type="dxa"/>
            <w:vAlign w:val="bottom"/>
          </w:tcPr>
          <w:p>
            <w:pPr>
              <w:spacing w:after="0"/>
              <w:rPr>
                <w:sz w:val="20"/>
                <w:szCs w:val="20"/>
                <w:color w:val="auto"/>
              </w:rPr>
            </w:pPr>
            <w:r>
              <w:rPr>
                <w:rFonts w:ascii="Arial" w:cs="Arial" w:eastAsia="Arial" w:hAnsi="Arial"/>
                <w:sz w:val="18"/>
                <w:szCs w:val="18"/>
                <w:color w:val="auto"/>
              </w:rPr>
              <w:t>Dated: January 23, 2015</w:t>
            </w:r>
          </w:p>
        </w:tc>
        <w:tc>
          <w:tcPr>
            <w:tcW w:w="7400" w:type="dxa"/>
            <w:vAlign w:val="bottom"/>
            <w:gridSpan w:val="2"/>
          </w:tcPr>
          <w:p>
            <w:pPr>
              <w:ind w:left="2260"/>
              <w:spacing w:after="0"/>
              <w:rPr>
                <w:sz w:val="20"/>
                <w:szCs w:val="20"/>
                <w:color w:val="auto"/>
              </w:rPr>
            </w:pPr>
            <w:r>
              <w:rPr>
                <w:rFonts w:ascii="Arial" w:cs="Arial" w:eastAsia="Arial" w:hAnsi="Arial"/>
                <w:sz w:val="18"/>
                <w:szCs w:val="18"/>
                <w:color w:val="auto"/>
              </w:rPr>
              <w:t>By:  /s/ Andrew D. Perlman</w:t>
            </w:r>
          </w:p>
        </w:tc>
      </w:tr>
      <w:tr>
        <w:trPr>
          <w:trHeight w:val="195"/>
        </w:trPr>
        <w:tc>
          <w:tcPr>
            <w:tcW w:w="40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40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48"/>
        </w:trPr>
        <w:tc>
          <w:tcPr>
            <w:tcW w:w="40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2019-12-08T19:36:01Z</dcterms:created>
  <dcterms:modified xsi:type="dcterms:W3CDTF">2019-12-08T19:36:01Z</dcterms:modified>
</cp:coreProperties>
</file>