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right="1700" w:firstLine="8"/>
        <w:spacing w:after="0" w:line="250" w:lineRule="auto"/>
        <w:tabs>
          <w:tab w:leader="none" w:pos="91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right="1340" w:firstLine="8"/>
        <w:spacing w:after="0" w:line="250" w:lineRule="auto"/>
        <w:tabs>
          <w:tab w:leader="none" w:pos="91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 .</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VRINGO,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6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2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44 W. 28th Street New York, New York</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10001</w:t>
            </w:r>
          </w:p>
        </w:tc>
      </w:tr>
      <w:tr>
        <w:trPr>
          <w:trHeight w:val="228"/>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0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b w:val="1"/>
                <w:bCs w:val="1"/>
                <w:color w:val="auto"/>
                <w:w w:val="86"/>
              </w:rPr>
              <w:t>Title of each class</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20" w:type="dxa"/>
            <w:vAlign w:val="bottom"/>
          </w:tcPr>
          <w:p>
            <w:pPr>
              <w:spacing w:after="0"/>
              <w:rPr>
                <w:sz w:val="16"/>
                <w:szCs w:val="16"/>
                <w:color w:val="auto"/>
              </w:rPr>
            </w:pPr>
          </w:p>
        </w:tc>
        <w:tc>
          <w:tcPr>
            <w:tcW w:w="4900" w:type="dxa"/>
            <w:vAlign w:val="bottom"/>
          </w:tcPr>
          <w:p>
            <w:pPr>
              <w:jc w:val="center"/>
              <w:ind w:left="590"/>
              <w:spacing w:after="0" w:line="195" w:lineRule="exact"/>
              <w:rPr>
                <w:sz w:val="20"/>
                <w:szCs w:val="20"/>
                <w:color w:val="auto"/>
              </w:rPr>
            </w:pPr>
            <w:r>
              <w:rPr>
                <w:rFonts w:ascii="Arial" w:cs="Arial" w:eastAsia="Arial" w:hAnsi="Arial"/>
                <w:sz w:val="18"/>
                <w:szCs w:val="18"/>
                <w:color w:val="auto"/>
                <w:w w:val="89"/>
              </w:rPr>
              <w:t>Common Stock, par value $0.01 per share</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2"/>
          </w:tcPr>
          <w:p>
            <w:pPr>
              <w:jc w:val="center"/>
              <w:ind w:left="2010"/>
              <w:spacing w:after="0" w:line="195" w:lineRule="exact"/>
              <w:rPr>
                <w:sz w:val="20"/>
                <w:szCs w:val="20"/>
                <w:color w:val="auto"/>
              </w:rPr>
            </w:pPr>
            <w:r>
              <w:rPr>
                <w:rFonts w:ascii="Arial" w:cs="Arial" w:eastAsia="Arial" w:hAnsi="Arial"/>
                <w:sz w:val="18"/>
                <w:szCs w:val="18"/>
                <w:color w:val="auto"/>
                <w:w w:val="95"/>
              </w:rPr>
              <w:t>NYSE Amex</w:t>
            </w:r>
          </w:p>
        </w:tc>
        <w:tc>
          <w:tcPr>
            <w:tcW w:w="21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900" w:type="dxa"/>
            <w:vAlign w:val="bottom"/>
          </w:tcPr>
          <w:p>
            <w:pPr>
              <w:jc w:val="center"/>
              <w:ind w:left="590"/>
              <w:spacing w:after="0"/>
              <w:rPr>
                <w:sz w:val="20"/>
                <w:szCs w:val="20"/>
                <w:color w:val="auto"/>
              </w:rPr>
            </w:pPr>
            <w:r>
              <w:rPr>
                <w:rFonts w:ascii="Arial" w:cs="Arial" w:eastAsia="Arial" w:hAnsi="Arial"/>
                <w:sz w:val="18"/>
                <w:szCs w:val="18"/>
                <w:color w:val="auto"/>
                <w:w w:val="89"/>
              </w:rPr>
              <w:t>Warrants to purchase Common Stock</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2"/>
          </w:tcPr>
          <w:p>
            <w:pPr>
              <w:jc w:val="center"/>
              <w:ind w:left="2010"/>
              <w:spacing w:after="0"/>
              <w:rPr>
                <w:sz w:val="20"/>
                <w:szCs w:val="20"/>
                <w:color w:val="auto"/>
              </w:rPr>
            </w:pPr>
            <w:r>
              <w:rPr>
                <w:rFonts w:ascii="Arial" w:cs="Arial" w:eastAsia="Arial" w:hAnsi="Arial"/>
                <w:sz w:val="18"/>
                <w:szCs w:val="18"/>
                <w:color w:val="auto"/>
                <w:w w:val="95"/>
              </w:rPr>
              <w:t>NYSE Amex</w:t>
            </w:r>
          </w:p>
        </w:tc>
        <w:tc>
          <w:tcPr>
            <w:tcW w:w="2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8600" w:type="dxa"/>
            <w:vAlign w:val="bottom"/>
            <w:gridSpan w:val="4"/>
          </w:tcPr>
          <w:p>
            <w:pPr>
              <w:jc w:val="center"/>
              <w:ind w:left="271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700" w:type="dxa"/>
            <w:vAlign w:val="bottom"/>
            <w:gridSpan w:val="3"/>
          </w:tcPr>
          <w:p>
            <w:pPr>
              <w:jc w:val="center"/>
              <w:ind w:right="2010"/>
              <w:spacing w:after="0"/>
              <w:rPr>
                <w:sz w:val="20"/>
                <w:szCs w:val="20"/>
                <w:color w:val="auto"/>
              </w:rPr>
            </w:pPr>
            <w:r>
              <w:rPr>
                <w:rFonts w:ascii="Arial" w:cs="Arial" w:eastAsia="Arial" w:hAnsi="Arial"/>
                <w:sz w:val="18"/>
                <w:szCs w:val="18"/>
                <w:b w:val="1"/>
                <w:bCs w:val="1"/>
                <w:color w:val="auto"/>
                <w:w w:val="88"/>
              </w:rPr>
              <w:t>None</w:t>
            </w:r>
          </w:p>
        </w:tc>
        <w:tc>
          <w:tcPr>
            <w:tcW w:w="7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16"/>
        </w:trPr>
        <w:tc>
          <w:tcPr>
            <w:tcW w:w="8620" w:type="dxa"/>
            <w:vAlign w:val="bottom"/>
            <w:gridSpan w:val="5"/>
          </w:tcPr>
          <w:p>
            <w:pPr>
              <w:spacing w:after="0"/>
              <w:rPr>
                <w:sz w:val="18"/>
                <w:szCs w:val="18"/>
                <w:color w:val="auto"/>
              </w:rPr>
            </w:pPr>
          </w:p>
        </w:tc>
        <w:tc>
          <w:tcPr>
            <w:tcW w:w="7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77"/>
        </w:trPr>
        <w:tc>
          <w:tcPr>
            <w:tcW w:w="20" w:type="dxa"/>
            <w:vAlign w:val="bottom"/>
          </w:tcPr>
          <w:p>
            <w:pPr>
              <w:spacing w:after="0"/>
              <w:rPr>
                <w:sz w:val="24"/>
                <w:szCs w:val="24"/>
                <w:color w:val="auto"/>
              </w:rPr>
            </w:pPr>
          </w:p>
        </w:tc>
        <w:tc>
          <w:tcPr>
            <w:tcW w:w="86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Borders>
              <w:top w:val="single" w:sz="8" w:color="auto"/>
            </w:tcBorders>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100" w:type="dxa"/>
            <w:vAlign w:val="bottom"/>
            <w:tcBorders>
              <w:top w:val="single" w:sz="8" w:color="auto"/>
            </w:tcBorders>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99"/>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1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w:t>
      </w:r>
      <w:r>
        <w:rPr>
          <w:rFonts w:ascii="Arial" w:cs="Arial" w:eastAsia="Arial" w:hAnsi="Arial"/>
          <w:sz w:val="18"/>
          <w:szCs w:val="18"/>
          <w:i w:val="1"/>
          <w:iCs w:val="1"/>
          <w:color w:val="auto"/>
        </w:rPr>
        <w:t>large accelerated filer</w:t>
      </w:r>
      <w:r>
        <w:rPr>
          <w:rFonts w:ascii="Arial" w:cs="Arial" w:eastAsia="Arial" w:hAnsi="Arial"/>
          <w:sz w:val="18"/>
          <w:szCs w:val="18"/>
          <w:color w:val="auto"/>
        </w:rPr>
        <w:t>", "</w:t>
      </w:r>
      <w:r>
        <w:rPr>
          <w:rFonts w:ascii="Arial" w:cs="Arial" w:eastAsia="Arial" w:hAnsi="Arial"/>
          <w:sz w:val="18"/>
          <w:szCs w:val="18"/>
          <w:i w:val="1"/>
          <w:iCs w:val="1"/>
          <w:color w:val="auto"/>
        </w:rPr>
        <w:t>accelerated filer</w:t>
      </w:r>
      <w:r>
        <w:rPr>
          <w:rFonts w:ascii="Arial" w:cs="Arial" w:eastAsia="Arial" w:hAnsi="Arial"/>
          <w:sz w:val="18"/>
          <w:szCs w:val="18"/>
          <w:color w:val="auto"/>
        </w:rPr>
        <w:t>" and "</w:t>
      </w:r>
      <w:r>
        <w:rPr>
          <w:rFonts w:ascii="Arial" w:cs="Arial" w:eastAsia="Arial" w:hAnsi="Arial"/>
          <w:sz w:val="18"/>
          <w:szCs w:val="18"/>
          <w:i w:val="1"/>
          <w:iCs w:val="1"/>
          <w:color w:val="auto"/>
        </w:rPr>
        <w:t>smaller reporting company</w:t>
      </w:r>
      <w:r>
        <w:rPr>
          <w:rFonts w:ascii="Arial" w:cs="Arial" w:eastAsia="Arial" w:hAnsi="Arial"/>
          <w:sz w:val="18"/>
          <w:szCs w:val="18"/>
          <w:color w:val="auto"/>
        </w:rPr>
        <w:t>" in Rule 12b-2 of the Exchange Act:</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300" w:type="dxa"/>
            <w:vAlign w:val="bottom"/>
          </w:tcPr>
          <w:p>
            <w:pPr>
              <w:ind w:left="560"/>
              <w:spacing w:after="0"/>
              <w:rPr>
                <w:sz w:val="20"/>
                <w:szCs w:val="20"/>
                <w:color w:val="auto"/>
              </w:rPr>
            </w:pPr>
            <w:r>
              <w:rPr>
                <w:rFonts w:ascii="Arial" w:cs="Arial" w:eastAsia="Arial" w:hAnsi="Arial"/>
                <w:sz w:val="18"/>
                <w:szCs w:val="18"/>
                <w:color w:val="auto"/>
              </w:rPr>
              <w:t>£</w:t>
            </w:r>
          </w:p>
        </w:tc>
        <w:tc>
          <w:tcPr>
            <w:tcW w:w="26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r>
      <w:tr>
        <w:trPr>
          <w:trHeight w:val="452"/>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5300" w:type="dxa"/>
            <w:vAlign w:val="bottom"/>
          </w:tcPr>
          <w:p>
            <w:pPr>
              <w:ind w:left="5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640" w:type="dxa"/>
            <w:vAlign w:val="bottom"/>
          </w:tcPr>
          <w:p>
            <w:pPr>
              <w:ind w:left="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600"/>
              <w:spacing w:after="0"/>
              <w:rPr>
                <w:sz w:val="20"/>
                <w:szCs w:val="20"/>
                <w:color w:val="auto"/>
              </w:rPr>
            </w:pPr>
            <w:r>
              <w:rPr>
                <w:rFonts w:ascii="Arial" w:cs="Arial" w:eastAsia="Arial" w:hAnsi="Arial"/>
                <w:sz w:val="17"/>
                <w:szCs w:val="17"/>
                <w:color w:val="auto"/>
                <w:w w:val="70"/>
              </w:rPr>
              <w:t>S</w:t>
            </w:r>
          </w:p>
        </w:tc>
      </w:tr>
      <w:tr>
        <w:trPr>
          <w:trHeight w:val="432"/>
        </w:trPr>
        <w:tc>
          <w:tcPr>
            <w:tcW w:w="750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Act).</w:t>
            </w:r>
          </w:p>
        </w:tc>
        <w:tc>
          <w:tcPr>
            <w:tcW w:w="26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700" w:type="dxa"/>
            <w:vAlign w:val="bottom"/>
          </w:tcPr>
          <w:p>
            <w:pPr>
              <w:spacing w:after="0"/>
              <w:rPr>
                <w:sz w:val="24"/>
                <w:szCs w:val="24"/>
                <w:color w:val="auto"/>
              </w:rPr>
            </w:pPr>
          </w:p>
        </w:tc>
      </w:tr>
    </w:tbl>
    <w:p>
      <w:pPr>
        <w:spacing w:after="0" w:line="182" w:lineRule="exact"/>
        <w:rPr>
          <w:sz w:val="24"/>
          <w:szCs w:val="24"/>
          <w:color w:val="auto"/>
        </w:rPr>
      </w:pPr>
    </w:p>
    <w:p>
      <w:pPr>
        <w:jc w:val="both"/>
        <w:spacing w:after="0" w:line="302"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computed by reference to the closing sale price of such shares on NYSE Amex on June 30, 2011, was $5,489,391. For purposes of this computation, the registrant has excluded the market value of all shares of its common stock reported as being beneficially owned by executive officers and directors and holders of more than 10% of the common stock on a fully diluted basis of the registrant; such exclusion shall not, however, be deemed to constitute an admission that any such person is an “affiliate” of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As of March 30, 2012, 13,861,423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81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20" w:type="dxa"/>
            <w:vAlign w:val="bottom"/>
          </w:tcPr>
          <w:p>
            <w:pPr>
              <w:ind w:left="4060"/>
              <w:spacing w:after="0"/>
              <w:rPr>
                <w:sz w:val="20"/>
                <w:szCs w:val="20"/>
                <w:color w:val="auto"/>
              </w:rPr>
            </w:pPr>
            <w:r>
              <w:rPr>
                <w:rFonts w:ascii="Arial" w:cs="Arial" w:eastAsia="Arial" w:hAnsi="Arial"/>
                <w:sz w:val="18"/>
                <w:szCs w:val="18"/>
                <w:b w:val="1"/>
                <w:bCs w:val="1"/>
                <w:color w:val="auto"/>
              </w:rPr>
              <w:t>Table of Contents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Borders>
              <w:bottom w:val="single" w:sz="8" w:color="CCFFCC"/>
            </w:tcBorders>
          </w:tcPr>
          <w:p>
            <w:pPr>
              <w:spacing w:after="0"/>
              <w:rPr>
                <w:sz w:val="24"/>
                <w:szCs w:val="24"/>
                <w:color w:val="auto"/>
              </w:rPr>
            </w:pPr>
          </w:p>
        </w:tc>
        <w:tc>
          <w:tcPr>
            <w:tcW w:w="8820" w:type="dxa"/>
            <w:vAlign w:val="bottom"/>
            <w:tcBorders>
              <w:bottom w:val="single" w:sz="8" w:color="CCFFCC"/>
            </w:tcBorders>
          </w:tcPr>
          <w:p>
            <w:pPr>
              <w:spacing w:after="0"/>
              <w:rPr>
                <w:sz w:val="24"/>
                <w:szCs w:val="24"/>
                <w:color w:val="auto"/>
              </w:rPr>
            </w:pPr>
          </w:p>
        </w:tc>
        <w:tc>
          <w:tcPr>
            <w:tcW w:w="16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8820" w:type="dxa"/>
            <w:vAlign w:val="bottom"/>
            <w:shd w:val="clear" w:color="auto" w:fill="CCFFCC"/>
          </w:tcPr>
          <w:p>
            <w:pPr>
              <w:spacing w:after="0"/>
              <w:rPr>
                <w:sz w:val="18"/>
                <w:szCs w:val="18"/>
                <w:color w:val="auto"/>
              </w:rPr>
            </w:pP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Business</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1A:</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Risk Factors</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1B:</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Unresolved Staff Comments</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2:</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Properties</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3:</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Legal Proceedings</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4:</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Mine Safety Disclosures</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color w:val="auto"/>
              </w:rPr>
              <w:t>Part II</w:t>
            </w:r>
          </w:p>
        </w:tc>
        <w:tc>
          <w:tcPr>
            <w:tcW w:w="8820" w:type="dxa"/>
            <w:vAlign w:val="bottom"/>
            <w:shd w:val="clear" w:color="auto" w:fill="CCFFCC"/>
          </w:tcPr>
          <w:p>
            <w:pPr>
              <w:spacing w:after="0"/>
              <w:rPr>
                <w:sz w:val="18"/>
                <w:szCs w:val="18"/>
                <w:color w:val="auto"/>
              </w:rPr>
            </w:pP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5:</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w w:val="92"/>
              </w:rPr>
              <w:t>Market for the Registrant's Common Equity, Related Stockholder Matters and Issuer Purchases of Equity Securities</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6:</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Selected Financial Data</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7:</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7A</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8:</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Financial Statements and Supplementary Data</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9:</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9A:</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Controls and Procedures</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9B:</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Other Information</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color w:val="auto"/>
              </w:rPr>
              <w:t>Part III</w:t>
            </w:r>
          </w:p>
        </w:tc>
        <w:tc>
          <w:tcPr>
            <w:tcW w:w="8820" w:type="dxa"/>
            <w:vAlign w:val="bottom"/>
            <w:shd w:val="clear" w:color="auto" w:fill="CCFFCC"/>
          </w:tcPr>
          <w:p>
            <w:pPr>
              <w:spacing w:after="0"/>
              <w:rPr>
                <w:sz w:val="18"/>
                <w:szCs w:val="18"/>
                <w:color w:val="auto"/>
              </w:rPr>
            </w:pP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10:</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Directors, Executive Officers and Corporate Governance</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11:</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Executive Compensation</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12:</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13:</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14:</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Principal Accounting Fees and Services</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color w:val="auto"/>
              </w:rPr>
              <w:t>Part IV</w:t>
            </w:r>
          </w:p>
        </w:tc>
        <w:tc>
          <w:tcPr>
            <w:tcW w:w="8820" w:type="dxa"/>
            <w:vAlign w:val="bottom"/>
            <w:shd w:val="clear" w:color="auto" w:fill="CCFFCC"/>
          </w:tcPr>
          <w:p>
            <w:pPr>
              <w:spacing w:after="0"/>
              <w:rPr>
                <w:sz w:val="18"/>
                <w:szCs w:val="18"/>
                <w:color w:val="auto"/>
              </w:rPr>
            </w:pP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15:</w:t>
            </w:r>
          </w:p>
        </w:tc>
        <w:tc>
          <w:tcPr>
            <w:tcW w:w="8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Exhibits and Financial Statement Schedules</w:t>
            </w:r>
          </w:p>
        </w:tc>
        <w:tc>
          <w:tcPr>
            <w:tcW w:w="1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This Annual Report on Form 10-K includes certain "forward-looking statements" relating to such matters as anticipated financial performance, future revenues or earnings, business prospects, projected ventures, new products and services, anticipated market performance and similar matters. The words "may", "will", “expect", “anticipate", "continue", "estimate", "project", "intend", and similar expressions are intended to identify forward-looking statements regarding events, conditions, and financial trends that may affect future plans of operations, business strategy, operating results, and financial position.</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caution readers that a variety of factors could cause actual results to differ materially from anticipated results or other matters expressed in forward-looking statements. These risks and uncertainties, many of which are beyond our control, include:</w:t>
      </w:r>
    </w:p>
    <w:p>
      <w:pPr>
        <w:spacing w:after="0" w:line="170" w:lineRule="exact"/>
        <w:rPr>
          <w:sz w:val="20"/>
          <w:szCs w:val="20"/>
          <w:color w:val="auto"/>
        </w:rPr>
      </w:pPr>
    </w:p>
    <w:p>
      <w:pPr>
        <w:ind w:left="2920" w:hanging="643"/>
        <w:spacing w:after="0"/>
        <w:tabs>
          <w:tab w:leader="none" w:pos="2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produce, market and generate sales of our products;</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introduce new products;</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projected future sales, profitability and other financial metrics;</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members of our management team;</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financing plans;</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needs for working capital;</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in our industry;</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marketing and other operational capabilities;</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existing today or that will likely arise in the future;</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the proposed merger with Innovate/Protect, Inc.; and</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NYSE Amex.</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management believes the expectations reflected in these forward-looking statements are reasonable, such expectations cannot guarantee future results, levels of activity, performance or achievements. Neither the information on the Company's current or future website is, and such information shall not be deemed to be, a part of this Annual Report on Form 10-K or incorporated in filings the Company makes with the Securities and Exchange Commission.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Unless the context requires otherwise, references to "we," "us," "our," "the Company," and "Vringo," refers to Vringo, Inc. and its subsidiary.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We believe that our services represent the next stage in the evolution of the mobile content and mobile social applications market. We anticipate that the mobile content and service market will begin to migrate from standard audio ringtones and content to high-quality video services, with social networking capability and integration with web systems. We also believe that social network information and updates will be shared regularly when friends regularly communicate by voice and by text messages. Our video ringtone solutions and other mobile social and video applications, which encompass a suite of mobile and PC-based tools, enable users to create, download and share video and other social content with ease as part of the normal communication process, and provide our business partners with a consumer-friendly and easy-to-integrate monetization platform.</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21" w:lineRule="exact"/>
        <w:rPr>
          <w:sz w:val="20"/>
          <w:szCs w:val="20"/>
          <w:color w:val="auto"/>
        </w:rPr>
      </w:pPr>
    </w:p>
    <w:p>
      <w:pPr>
        <w:ind w:left="1300" w:hanging="320"/>
        <w:spacing w:after="0" w:line="282" w:lineRule="auto"/>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Ringtones - </w:t>
      </w:r>
      <w:r>
        <w:rPr>
          <w:rFonts w:ascii="Arial" w:cs="Arial" w:eastAsia="Arial" w:hAnsi="Arial"/>
          <w:sz w:val="18"/>
          <w:szCs w:val="18"/>
          <w:color w:val="auto"/>
        </w:rPr>
        <w:t>our original product platform that allows users to create, download and share mobile entertainment content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video ringtones for mobile phones;</w:t>
      </w:r>
    </w:p>
    <w:p>
      <w:pPr>
        <w:spacing w:after="0" w:line="161" w:lineRule="exact"/>
        <w:rPr>
          <w:rFonts w:ascii="Arial" w:cs="Arial" w:eastAsia="Arial" w:hAnsi="Arial"/>
          <w:sz w:val="18"/>
          <w:szCs w:val="18"/>
          <w:b w:val="1"/>
          <w:bCs w:val="1"/>
          <w:color w:val="auto"/>
        </w:rPr>
      </w:pPr>
    </w:p>
    <w:p>
      <w:pPr>
        <w:ind w:left="1300" w:hanging="320"/>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225" w:lineRule="exact"/>
        <w:rPr>
          <w:rFonts w:ascii="Arial" w:cs="Arial" w:eastAsia="Arial" w:hAnsi="Arial"/>
          <w:sz w:val="18"/>
          <w:szCs w:val="18"/>
          <w:b w:val="1"/>
          <w:bCs w:val="1"/>
          <w:color w:val="auto"/>
        </w:rPr>
      </w:pPr>
    </w:p>
    <w:p>
      <w:pPr>
        <w:ind w:left="1300" w:right="20" w:hanging="320"/>
        <w:spacing w:after="0" w:line="282" w:lineRule="auto"/>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with music artists and brands; and</w:t>
      </w:r>
    </w:p>
    <w:p>
      <w:pPr>
        <w:spacing w:after="0" w:line="161" w:lineRule="exact"/>
        <w:rPr>
          <w:rFonts w:ascii="Arial" w:cs="Arial" w:eastAsia="Arial" w:hAnsi="Arial"/>
          <w:sz w:val="18"/>
          <w:szCs w:val="18"/>
          <w:b w:val="1"/>
          <w:bCs w:val="1"/>
          <w:color w:val="auto"/>
        </w:rPr>
      </w:pPr>
    </w:p>
    <w:p>
      <w:pPr>
        <w:ind w:left="1300" w:right="20" w:hanging="320"/>
        <w:spacing w:after="0" w:line="282" w:lineRule="auto"/>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certain reality television series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stars and vote for contestants.</w:t>
      </w:r>
    </w:p>
    <w:p>
      <w:pPr>
        <w:spacing w:after="0" w:line="166"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To develop these platforms, we have leveraged our existing technology, intellectual property and our extensive experience with mobile video, personalization and social applications. We believe that these platforms will represent a significant component of our business going forward.</w:t>
      </w:r>
    </w:p>
    <w:p>
      <w:pPr>
        <w:sectPr>
          <w:pgSz w:w="11900" w:h="16838" w:orient="portrait"/>
          <w:cols w:equalWidth="0" w:num="1">
            <w:col w:w="11420"/>
          </w:cols>
          <w:pgMar w:left="240" w:top="877" w:right="239" w:bottom="0" w:gutter="0" w:footer="0" w:header="0"/>
        </w:sectPr>
      </w:pPr>
    </w:p>
    <w:bookmarkStart w:id="3" w:name="page4"/>
    <w:bookmarkEnd w:id="3"/>
    <w:p>
      <w:pPr>
        <w:jc w:val="both"/>
        <w:ind w:firstLine="486"/>
        <w:spacing w:after="0" w:line="286" w:lineRule="auto"/>
        <w:rPr>
          <w:sz w:val="20"/>
          <w:szCs w:val="20"/>
          <w:color w:val="auto"/>
        </w:rPr>
      </w:pPr>
      <w:r>
        <w:rPr>
          <w:rFonts w:ascii="Arial" w:cs="Arial" w:eastAsia="Arial" w:hAnsi="Arial"/>
          <w:sz w:val="17"/>
          <w:szCs w:val="17"/>
          <w:color w:val="auto"/>
        </w:rPr>
        <w:t>Our ability to compete successfully depends on our ability to ensure a continuing and timely introduction of innovative new products and technologies to the marketplace. As a result, we must make significant investments in research and development. To date, we filed over 24 patents, 3 of the patents that have been filed have been granted by the USPTO and we have received a notice of allowance for 1 patent in Europe.</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were incorporated in January 2006 and are still a development stage company. Our principal executive offices are located in New York, NY, and in addition, we have a wholly owned subsidiary, Vringo (Israel) Ltd., located in Bet-Shemesh, Israel.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Subsequent to year end, on March 12, 2012, we entered into an Agreement and Plan of Merger (the “Merger Agreement”) with VIP Merger Sub, Inc., a Delaware corporation and our wholly-owned subsidiary (“Merger Sub”), and Innovate/Protect, Inc., a Delaware corporation and an intellectual property firm founded in 2011, whose wholly-owned subsidiary, I/P Engine, holds eight patents that were acquired from Lycos Inc. (“Innovate/Protect”), pursuant to which Innovate/Protect will merge with and into Merger Sub, with Merger Sub being the surviving corporation (the “Surviving Corporation”) through an exchange of capital stock of Innovate/Protect for capital stock of Vringo (the “Merger”).</w:t>
      </w:r>
    </w:p>
    <w:p>
      <w:pPr>
        <w:spacing w:after="0" w:line="1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Under the terms of the Merger Agreement, upon completion of the Merger, (i) each share of then-outstanding common stock of Innovate/Protect, par value $0.0001 per share (“Innovate/Protect Common Stock”) (other than shares held by us, Innovate/Protect or any of our and their subsidiaries, which will be cancelled at the completion of the Merger) will be automatically converted into the right to receive the number of shares of our common stock, par value $0.01 per share (“Vringo Common Stock”) equal to the Common Stock Exchange Ratio (as defined below) and (ii) each share of then-outstanding Series A Convertible Preferred Stock of Innovate/Protect, par value $0.0001 per share (total 6,968 shares outstanding) (“Innovate/Protect Series A Stock” and together with the Innovate/Protect Common Stock, “Innovate/Protect Capital Stock”) (other than shares held by us, Innovate/Protect or any of our and their subsidiaries, which will be cancelled at the completion of the Merger) will be automatically converted into the right to receive the same number of shares of Vringo Series A Convertible Preferred Stock (“Vringo Preferred Stock”), which 6,968 shares shall be convertible into an aggregate of 21,026,637 shares of Vringo Common Stock. The Vringo Preferred Stock will have the powers, designations, preferences and other rights as will be set forth in a Certificate of Designations, Preferences and Rights of Series A Convertible Preferred Stock to be filed by us prior to closing. The Common Stock Exchange Ratio initially is 3.0176, subject to adjustment as set forth in the Merger Agreement. In addition, at the effective time of the Merger, Vringo will issue to the holders of Innovate/Protect Capital Stock and the holder of Innovate/Protect’s issued and outstanding warrant (on a pro rata as-converted basis) an aggregate of 15,959,838 warrants to purchase an aggregate of 15,959,838 shares of Vringo Common Stock with an exercise price of $1.76 per share. The issued and outstanding warrants to purchase Innovate/Protect Common Stock shall be exchanged for 250,000 shares of Vringo common stock and 850,000 warrants to purchase 850,000 shares of Vringo Common Stock with an exercise price of $1.76 per share.</w:t>
      </w:r>
    </w:p>
    <w:p>
      <w:pPr>
        <w:spacing w:after="0" w:line="16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at the effective time of the Merger, each outstanding and unexercised option to purchase Innovate/Protect Common Stock (each a “Innovate/Protect Stock Option”), whether vested or unvested will be converted into and become an option to purchase Vringo Common Stock and we will assume such Innovate/Protect Stock Option in accordance with the terms of the Innovate/Protect 2011 Equity Incentive Plan. After the effective time of the Merger, (a) each Innovate/Protect Stock Option assumed by us may be exercised solely for shares of Vringo Common Stock and (b) the number of shares of Vringo Common Stock and the exercise price subject to each Innovate/Protect Stock Option assumed by us shall be determined by the Common Stock Exchange Ratio.</w:t>
      </w:r>
    </w:p>
    <w:p>
      <w:pPr>
        <w:spacing w:after="0" w:line="19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Immediately following the completion of the Merger, the former stockholders of Innovate/Protect are expected to own approximately 55.41% of the outstanding common stock of the combined company, and our current stockholders are expected to own approximately 44.59% of the outstanding common stock of the combined company. On a fully diluted basis, the former stockholders of Innovate/Protect are expected to own approximately 67.55% of the outstanding common stock of the combined company, and our current stockholders are expected to own approximately 32.45% of the outstanding common stock of the combined company.</w:t>
      </w:r>
    </w:p>
    <w:p>
      <w:pPr>
        <w:spacing w:after="0" w:line="18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Innovate/Protect is the owner of patent assets acquired from Lycos, one of the largest search engine websites of its kind in the mid-late 1990s, with technologies that remain critical to current search platforms.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 Through the strategic combination with Innovate/Protect, we expect to substantially increase our intellectual property portfolio, add significant talent in technological innovation, and be positioned to potentially enhance our opportunities for revenue generation through the monetization of the combined company’s assets.</w:t>
      </w:r>
    </w:p>
    <w:p>
      <w:pPr>
        <w:spacing w:after="0" w:line="17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have expended significant effort and management attention on the proposed transaction. There is no assurance that the transaction contemplated by the Merger Agreement will be consummated. If the transaction is not consummated for any reason, our business and operations, as well as the market price of our stock and warrants may be adversely affected. For accounting purposes, based on our preliminary assessment, I/P was identified as the “Acquirer”, as it is defined in FASB Topic ASC 805. As a result, in the post-combination consolidated financial statements, Innovate/Protect’s assets and liabilities will be presented at its pre-combination amounts, and our assets and liabilities will be recognized and measured in accordance with the guidance for business combinations in ASC 805. We are currently evaluating the effect of this on our financial statements. We believe such effect will be 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Departure of Chief Executive Officer</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Effective March 8, 2012, Jonathan Medved resigned from his position as our Chief Executive Officer and a member of our Board of Directors. In connection with his resignation, Mr. Medved and Vringo (Israel) Ltd. entered into a Separation Letter Agreement (the “Separation Agreement”) effective March 8, 2012. Under the terms of the Separation Agreement, and consistent with Mr. Medved’s employment agreement and amendment thereto, Mr. Medved will be entitled to receive salary and benefits until February 6, 2013, and continue to vest stock options after his termination. In addition, options granted to Mr. Medved at $0.01 will fully vest as of June 21, 2012 and the expiration date for exercising all options vested on or before June 21, 2013 is extended to September 21, 2013. Furthermore, Vringo’s Board of Directors granted Mr. Medved an additional 100,000 options at an exercise price of $1.65 per share. These options shall vest over a three year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Chief Executive Officer</w:t>
      </w:r>
    </w:p>
    <w:p>
      <w:pPr>
        <w:spacing w:after="0" w:line="225"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On March 11, 2012, the Board of Directors promoted Andrew D. Perlman to the position of our Chief Executive Officer, effective March 11, 2012, to fill the vacancy created by the resignation of Jonathan Medved. Mr. Perlman will continue to serve as our President and a member of our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Facebook, Inc.</w:t>
      </w:r>
    </w:p>
    <w:p>
      <w:pPr>
        <w:sectPr>
          <w:pgSz w:w="11900" w:h="16838" w:orient="portrait"/>
          <w:cols w:equalWidth="0" w:num="1">
            <w:col w:w="11420"/>
          </w:cols>
          <w:pgMar w:left="240" w:top="881" w:right="239" w:bottom="59" w:gutter="0" w:footer="0" w:header="0"/>
        </w:sectPr>
      </w:pPr>
    </w:p>
    <w:bookmarkStart w:id="5" w:name="page6"/>
    <w:bookmarkEnd w:id="5"/>
    <w:p>
      <w:pPr>
        <w:jc w:val="both"/>
        <w:ind w:firstLine="486"/>
        <w:spacing w:after="0" w:line="302" w:lineRule="auto"/>
        <w:rPr>
          <w:sz w:val="20"/>
          <w:szCs w:val="20"/>
          <w:color w:val="auto"/>
        </w:rPr>
      </w:pPr>
      <w:r>
        <w:rPr>
          <w:rFonts w:ascii="Arial" w:cs="Arial" w:eastAsia="Arial" w:hAnsi="Arial"/>
          <w:sz w:val="16"/>
          <w:szCs w:val="16"/>
          <w:color w:val="auto"/>
        </w:rPr>
        <w:t>On February 9, 2012, we entered into an agreement with Facebook, Inc. relating to the use of our Facetones mark and domain name (the “Facetones Mark”). Prior to the agreement, the parties had a potential dispute regarding the Facetones Mark. By entering into the agreement, the potential dispute has been favorably resolved to the satisfaction of both parties. The agreement clarifies our permitted use of the Facetones Mark including making certain changes to its U.S. trademark application to clarify the description of the Facetones service and agreeing to certain limitations on its use of the Facetones Mark.</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Between February 6 and February 14, 2012, we entered into agreements with holders of certain of our outstanding warrants (the “Holders”), pursuant to which the Holders exercised warrants to purchase 3,828,993 shares of our common stock for aggregate proceeds to us of $3.6 million. We issued new five-year warrants to purchase an aggregate of 2,660,922 shares of common stock at an exercise price of $1.76 per share in consideration for the immediate exercise of the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NYSE Amex</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previously disclosed, on July 21, 2011, the NYSE Amex accepted our plan for regaining compliance with the NYSE Amex's listing standards (the "Plan"). The Plan was submitted in response to a notice received on May 24, 2011 from the NYSE Amex regarding our non-compliance with certain continued listing standards. Our listing is now continued under an extension with a target completion date of April 12, 2012. As noted above, during February 2012, approximately 90% of then outstanding Special Bridge and Conversion Warrants, previously classified as a long-term liability, were exercised for aggregate proceeds of $3.6 million. In addition, as part of the transaction, certain holders of the exercised warrants were granted additional warrants to purchase approximately 2.66 million of our shares. According to a preliminary estimation, the total effect, including the offsetting impact of classification of some of above-mentioned warrants as a long-term liability (see Note 17 to the accompanying consolidated financial statements), is an increase of approximately $4.1 million in our total stockholder’s equity.</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believe that, as a result of the warrant exercise, we will regain compliance with the Exchange’s listing standards. While the NYSE Amex has not initiated delisting proceedings, there is no assurance that it will not do so in the future.</w:t>
      </w:r>
    </w:p>
    <w:p>
      <w:pPr>
        <w:spacing w:after="0" w:line="170"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believe that current cash levels will be sufficient to support our activity into the fourth quarter of 2012. The continuation of our business is dependent upon the successful consummation of the Merger with Innovate/Protect and/or similar merger or acquisition, financing and/or further development of our products. There can be no assurance that the Merger will be consummated, or that business development opportunities will materialize. Should we need to raise funds, the issuance of additional equity securities by us could result in a substantial dilution to our current stockholders. Obtaining commercial loans, assuming those loans would be available, will increase our liabilities and future cash commitments.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video ringtone platform was our initial product focus since inception. We believe that our comprehensive video ringtone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Our solution, furthermore, provides our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12,000 video ringtones that we provide for our users in various territories. Certain portions of this library are geographically restricted. We also have developed substantial tools for users to create their own video ringtones and for mobile carriers and other partners to include their own content and deliver it exclusively to their customers. Our VringForward™ video ringtone technology allows users to enjoy a rich social experience by sharing video ringtones from our library or which they created.</w:t>
      </w:r>
    </w:p>
    <w:p>
      <w:pPr>
        <w:spacing w:after="0" w:line="16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Until the end of 2009, our video ringtone service was offered to consumers for free. At that point, we moved to a paid service model together with mobile carriers and other partners around the world. The revenue model for our video ringtone service offered through the carriers is generally a subscription-based model where users pay a monthly fee for access to our service and additional fees for premium content. Our free version is still available in markets where we have not entered into commercial arrangements with carriers or other partners. We have built our video ringtone platform with a flexible back-end and front-end that is easy to integrate with the back-end systems of mobile carriers and easy to co-brand with mobile carriers. To date, we have filed 24 patent applications for our platform, three of which have been issued to date, and we continue to create new intellectual property.</w:t>
      </w:r>
    </w:p>
    <w:p>
      <w:pPr>
        <w:spacing w:after="0" w:line="16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March 27, 2012, we have commercial video ringtone services with the following eight partners (also refer to Note 12 to the accompanying financial statements):</w:t>
      </w:r>
    </w:p>
    <w:p>
      <w:pPr>
        <w:spacing w:after="0" w:line="170" w:lineRule="exact"/>
        <w:rPr>
          <w:sz w:val="20"/>
          <w:szCs w:val="20"/>
          <w:color w:val="auto"/>
        </w:rPr>
      </w:pPr>
    </w:p>
    <w:p>
      <w:pPr>
        <w:jc w:val="both"/>
        <w:ind w:left="700" w:hanging="341"/>
        <w:spacing w:after="0" w:line="259"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Celcom AxiataBerhad, or Celcom, a mobile carrier in Malaysia, with 11.0 million subscribers. Celcom is one of the largest mobile telecommunications operators in Malaysia with the widest national 2G and 3G coverage in the country, with 23 thousand subscribers to our paid service. Celcom is a Vodafone partner and is part of the Axiata Group of Companies, one of the world’s largest telecommunications companies with more than 160 million customers across 10 Asian markets (launched in October 2011);</w:t>
      </w:r>
    </w:p>
    <w:p>
      <w:pPr>
        <w:spacing w:after="0" w:line="186" w:lineRule="exact"/>
        <w:rPr>
          <w:rFonts w:ascii="Arial" w:cs="Arial" w:eastAsia="Arial" w:hAnsi="Arial"/>
          <w:sz w:val="18"/>
          <w:szCs w:val="18"/>
          <w:color w:val="auto"/>
        </w:rPr>
      </w:pPr>
    </w:p>
    <w:p>
      <w:pPr>
        <w:ind w:left="700" w:hanging="341"/>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133 thousand subscribers to our paid service and an additional 7 thousand subscribers on a free trial basis (launched in September 2009);</w:t>
      </w:r>
    </w:p>
    <w:p>
      <w:pPr>
        <w:spacing w:after="0" w:line="170" w:lineRule="exact"/>
        <w:rPr>
          <w:rFonts w:ascii="Arial" w:cs="Arial" w:eastAsia="Arial" w:hAnsi="Arial"/>
          <w:sz w:val="18"/>
          <w:szCs w:val="18"/>
          <w:color w:val="auto"/>
        </w:rPr>
      </w:pPr>
    </w:p>
    <w:p>
      <w:pPr>
        <w:jc w:val="both"/>
        <w:ind w:left="700" w:hanging="341"/>
        <w:spacing w:after="0" w:line="264"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and which has more than 94.0 million subscribers worldwide, where we have launched our products and services and have 23 thousand subscribers to our paid service, (launched in January 2010);</w:t>
      </w:r>
    </w:p>
    <w:p>
      <w:pPr>
        <w:spacing w:after="0" w:line="181" w:lineRule="exact"/>
        <w:rPr>
          <w:rFonts w:ascii="Arial" w:cs="Arial" w:eastAsia="Arial" w:hAnsi="Arial"/>
          <w:sz w:val="18"/>
          <w:szCs w:val="18"/>
          <w:color w:val="auto"/>
        </w:rPr>
      </w:pPr>
    </w:p>
    <w:p>
      <w:pPr>
        <w:jc w:val="both"/>
        <w:ind w:left="700" w:hanging="341"/>
        <w:spacing w:after="0" w:line="264"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Everything Everywhere Limited (EEL), a mobile carrier with almost 30.0 million subscribers in the United Kingdom. Our video ringtone platform launched was with Orange UK, a large mobile communications company and subsidiary of EEL, with 16.0 million subscribers and we have 30 thousand subscribers to our paid service (launched in February 2011);</w:t>
      </w:r>
    </w:p>
    <w:p>
      <w:pPr>
        <w:spacing w:after="0" w:line="181" w:lineRule="exact"/>
        <w:rPr>
          <w:rFonts w:ascii="Arial" w:cs="Arial" w:eastAsia="Arial" w:hAnsi="Arial"/>
          <w:sz w:val="18"/>
          <w:szCs w:val="18"/>
          <w:color w:val="auto"/>
        </w:rPr>
      </w:pPr>
    </w:p>
    <w:p>
      <w:pPr>
        <w:ind w:left="700" w:hanging="341"/>
        <w:spacing w:after="0"/>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Starhub, a mobile carrier with 2.0 million subscribers in Singapore (initially launched in February 2011 and re-launched in the first quarter 2012);</w:t>
      </w:r>
    </w:p>
    <w:p>
      <w:pPr>
        <w:spacing w:after="0" w:line="248" w:lineRule="exact"/>
        <w:rPr>
          <w:rFonts w:ascii="Arial" w:cs="Arial" w:eastAsia="Arial" w:hAnsi="Arial"/>
          <w:sz w:val="16"/>
          <w:szCs w:val="16"/>
          <w:color w:val="auto"/>
        </w:rPr>
      </w:pPr>
    </w:p>
    <w:p>
      <w:pPr>
        <w:jc w:val="both"/>
        <w:ind w:left="700" w:hanging="341"/>
        <w:spacing w:after="0" w:line="264"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RTL in Belgium, part of the Bertelsman RTL Television network, has offered together with us, a subscription service on all three Belgian mobile operators (with a combined subscriber base of 1 million) that includes RTL content (launched in June 2010 with limited subscribers due to regulatory limitations introduced on mobile services);</w:t>
      </w:r>
    </w:p>
    <w:p>
      <w:pPr>
        <w:sectPr>
          <w:pgSz w:w="11900" w:h="16838" w:orient="portrait"/>
          <w:cols w:equalWidth="0" w:num="1">
            <w:col w:w="11420"/>
          </w:cols>
          <w:pgMar w:left="240" w:top="881" w:right="239" w:bottom="15" w:gutter="0" w:footer="0" w:header="0"/>
        </w:sectPr>
      </w:pPr>
    </w:p>
    <w:bookmarkStart w:id="7" w:name="page8"/>
    <w:bookmarkEnd w:id="7"/>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spacing w:after="0" w:line="9" w:lineRule="exact"/>
        <w:rPr>
          <w:sz w:val="20"/>
          <w:szCs w:val="20"/>
          <w:color w:val="auto"/>
        </w:rPr>
      </w:pPr>
    </w:p>
    <w:p>
      <w:pPr>
        <w:jc w:val="both"/>
        <w:ind w:left="700" w:hanging="341"/>
        <w:spacing w:after="0" w:line="264"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Hungama, a content and mobile services aggregator in India. The service with Hungama is being offered to customers of 15 different mobile carriers in India. Our paid service was on temporary hold as a result of regional legalities in India, however we re-launched the service in March 2012 in partnership with Hungama and Tata DOCOMO; and</w:t>
      </w:r>
    </w:p>
    <w:p>
      <w:pPr>
        <w:spacing w:after="0" w:line="181" w:lineRule="exact"/>
        <w:rPr>
          <w:rFonts w:ascii="Arial" w:cs="Arial" w:eastAsia="Arial" w:hAnsi="Arial"/>
          <w:sz w:val="18"/>
          <w:szCs w:val="18"/>
          <w:color w:val="auto"/>
        </w:rPr>
      </w:pPr>
    </w:p>
    <w:p>
      <w:pPr>
        <w:ind w:left="700" w:right="40" w:hanging="341"/>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Emirates Integrated Telecommunications Company (du Networks), a mobile carrier with 5.0 million subscribers in the United Arab Emirates, where we have launched our products and services in February 2012.</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170"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According to a recent study by the United Nations, there were 5 billion global mobile subscribers in 2010. As of March 27, 2012, our partners have an aggregate of approximately 700 million subscribers, of which 211 thousand are paid subscribers to our service, and another 16 thousand subscribers have enrolled on a free-trial basis. This compares to 150 thousand paid subscribers across all of our launches as of December 31, 2010, an increase of over 41%.</w:t>
      </w:r>
    </w:p>
    <w:p>
      <w:pPr>
        <w:spacing w:after="0" w:line="14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new Facetones™ social ringtone platform generates social visual ringtone content automatically by aggregating and displaying a user’s friends’ pictures from social networks and then displaying as a video ringtone, as well as a video ringback tone. These ringtones do not replace, but rather enhance, standard ringtone and ringback tones with relevant, current social content that is visually displayed. The Facetones™ product is available for devices running Android, iOS, and Nokia’s Symbian S3. We are planning to release Facetones™ for other operating systems such as Windows Phone and feature phones such as the S40 Nokia platform.</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Facetones™ is experiencing fast growth both in consumer downloads and in the number of commercial deals with major partners already announced. The product is being made available to consumers in several different configurations and with a variety of distribution and monetization methods. As of March 27, 2012, the Facetones™ free ad-supported version had more than a million downloads and is generating more than 3.7 million requests in mobile ad inventory on a weekly basis.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Facetones™ is offered directly to consumers via leading mobile application stores and download sites where both for purchase versions (at prices ranging from $1 to $5), as well as ad-supported free versions are available. Facetones is available in application stores integrated into popular handsets such as the Google Android Market and Apple App Store. We have announced placement deals for the app with GetJar, the world’s largest independent app store, Mobango and AppBrain. In July 2011, we launched Facetones™ with BlueVia, the new global software developer platform of Telefonica, the largest mobile operator in the Spanish speaking world and fourth largest globally. Facetones™ has been initially launched on Telefonica's application store (Mstore) in several global markets and is planned to be launched on additional markets. In August 2011, we launched Facetones™ in Japan for Android users through the DOCOMO market, a mobile internet portal operated by NTT DOCOMO, INC., the largest mobile phone operator in Japan, with more than 50 million users. In October 2011, Verizon, the largest mobile operator in the US, announced the launch of Facetones™ as a subscription service for Verizon subscribers for $0.99 a month. We continue to pursue business for Facetones™ together with handset manufacturers. In December 2011, we launched Facetones™ for Symbian in cooperation with Nokia. In January 2012, we launched Facetones™ for iPhone which generates, as of the end of February 2012, close to a thousand daily downloads without any promotion. In March 2012, we shifted from providing an ad-based free-of-charge for iPhone to a one-time fee ads-free app.</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our direct to consumer and carrier marketed versions of the Facetones™ application, we believe that licensing our software to handset makers will provide a growing and significant revenue stream during 2012 and beyond. In November 2011, we announced an agreement with ZTE Corporation, the largest handset maker in China and fourth-largest globally, to preload the Facetones™ application on Android handsets manufactured by ZTE. ZTE will give us a royalty for each device that our software is pre-loaded on. These ZTE handsets will be sold via mobile phone operators and through various OEM contracts to brand name handset manufacturers. In addition, we have entered into a development contract with Nokia, the world’s largest handset maker, to supply Facetones for Nokia’s S3 devices, subsequent to delivering this version of our application it was recently launched on the Nokia Ovi Store.</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Early in 2011 we launched our new Video ReMix platform that allows users to download an application for iOS (iPhone, iPad, iPod) or Android phones and create their own music video by tapping on a variety of music beats and video files. Essentially, the user is able to “Remix” this music video content and add his own user generated video to the mix and then view this content or share it with friends via Facebook® or other social networks. This application turns the smartphone or tablet into a virtual video ReMix sound/video board where this “mixing” is accomplished by simple tapping on the touch screen interface. The Video ReMix applications are branded with an artist or sponsor and then monetized via advertising, sponsorship, a-la carte sales or in app store purchases.</w:t>
      </w:r>
    </w:p>
    <w:p>
      <w:pPr>
        <w:spacing w:after="0" w:line="193" w:lineRule="exact"/>
        <w:rPr>
          <w:sz w:val="20"/>
          <w:szCs w:val="20"/>
          <w:color w:val="auto"/>
        </w:rPr>
      </w:pPr>
    </w:p>
    <w:p>
      <w:pPr>
        <w:jc w:val="both"/>
        <w:ind w:firstLine="693"/>
        <w:spacing w:after="0" w:line="276" w:lineRule="auto"/>
        <w:rPr>
          <w:sz w:val="20"/>
          <w:szCs w:val="20"/>
          <w:color w:val="auto"/>
        </w:rPr>
      </w:pPr>
      <w:r>
        <w:rPr>
          <w:rFonts w:ascii="Arial" w:cs="Arial" w:eastAsia="Arial" w:hAnsi="Arial"/>
          <w:sz w:val="17"/>
          <w:szCs w:val="17"/>
          <w:color w:val="auto"/>
        </w:rPr>
        <w:t>The initial Video ReMix application “Booty Symphony” was developed with Nappy Boy Enterprises, the music production company of the artist T-Pain. Booty Symphony was released in an ad-supported free Android version as well as paid versions for iOS and Android. Our newest application on our Video ReMix platform was delivered in the second quarter of 2011 to partner Corso Communications and its client Heineken. This sponsored version highlighted music and video of the group Dirty Vegas, and was used by Heineken “brand ambassadors” at the Coachella Music festival. We continue to seek new business for this platform with other recording artists and sponsored by additional major brands.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Fan Loyalty platform was launched in mid-2011 by co-branding our Fan-Loyalty application with Star Academy 8, the largest music competition in the Middle East and Nokia, the world’s largest handset maker. This platform enables users to obtain video content from the show as well as from behind the scenes, retrieve information regarding the show and vote for their favorite contestants. The free app was launched in partnership with Rotana, a diversified media company and the world's largest producer of music and music television in the Middle East, and sponsored by Nokia. The application featured exclusive content and fully integrated live voting capabilities for the blockbuster "Star Academy" reality music show, which reached over 300 million viewers and was available in over 10 countries in the region.</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Fan Loyalty application for Star Academy was made available exclusively for download on the Ovi Store, and had more than 200 thousand downloads during the season. We are in discussions with several other entertainment groups regarding potential deals for this Fan Loyalty platform.</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2011, we had 24 full time employees and 4 part-time employees.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47" w:orient="portrait"/>
          <w:cols w:equalWidth="0" w:num="1">
            <w:col w:w="11420"/>
          </w:cols>
          <w:pgMar w:left="240" w:top="881"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goal is to become a leading global provider and licensor of mobile video and mobile social applications, services and software, including mobile personalization, and interactive services via our different software platforms. To achieve this goal, we plan to:</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Grow our business</w:t>
      </w:r>
      <w:r>
        <w:rPr>
          <w:rFonts w:ascii="Arial" w:cs="Arial" w:eastAsia="Arial" w:hAnsi="Arial"/>
          <w:sz w:val="17"/>
          <w:szCs w:val="17"/>
          <w:color w:val="auto"/>
        </w:rPr>
        <w:t>. On March 12, 2012, we announced the entry into a Merger Agreement pursuant to which Innovate/Protect will merge with and</w:t>
      </w:r>
      <w:r>
        <w:rPr>
          <w:rFonts w:ascii="Arial" w:cs="Arial" w:eastAsia="Arial" w:hAnsi="Arial"/>
          <w:sz w:val="17"/>
          <w:szCs w:val="17"/>
          <w:i w:val="1"/>
          <w:iCs w:val="1"/>
          <w:color w:val="auto"/>
        </w:rPr>
        <w:t xml:space="preserve"> </w:t>
      </w:r>
      <w:r>
        <w:rPr>
          <w:rFonts w:ascii="Arial" w:cs="Arial" w:eastAsia="Arial" w:hAnsi="Arial"/>
          <w:sz w:val="17"/>
          <w:szCs w:val="17"/>
          <w:color w:val="auto"/>
        </w:rPr>
        <w:t>into Merger Sub, our wholly owned subsidiary, with Merger Sub being the surviving corporation through an exchange of capital stock of Innovate/Protect for our capital stock. The objectives of the Merger are to maximize the economic benefits of our intellectual property assets, add significant talent in technological innovation, and be positioned to enhance its opportunities for revenue generation through the monetization of the combined company’s assets. Innovate/Protect is the owner of certain patent assets acquired from Lycos, one of the largest search engine websites of its kind in the mid-late 1990s, including technologies that remain critical to current search platforms. We believe that the Merger, if consummated, will potentially enhance our technology leadership, our portfolio of intellectual property, and as a result open new business opportunities.</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Grow our user base through mobile carrier partnerships</w:t>
      </w:r>
      <w:r>
        <w:rPr>
          <w:rFonts w:ascii="Arial" w:cs="Arial" w:eastAsia="Arial" w:hAnsi="Arial"/>
          <w:sz w:val="16"/>
          <w:szCs w:val="16"/>
          <w:color w:val="auto"/>
        </w:rPr>
        <w:t>. We have built our products so as to be easily integrated with mobile carriers. 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the mobile carrier channel is one of the most efficient and cost effective channels to grow our user base and to monetize our products. We have launched our video ringtone service with seven mobile carriers in UK, Singapore, Belgium, Malaysia, Turkey, United Arab Emirates and Armenia. We are in discussions with additional mobile carriers regarding our software platforms and we plan to aggressively pursue additional mobile carriers globally.</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Generate revenue via software licensing partnerships. </w:t>
      </w:r>
      <w:r>
        <w:rPr>
          <w:rFonts w:ascii="Arial" w:cs="Arial" w:eastAsia="Arial" w:hAnsi="Arial"/>
          <w:sz w:val="18"/>
          <w:szCs w:val="18"/>
          <w:color w:val="auto"/>
        </w:rPr>
        <w:t>We have licensed our software to 2 of the 4 largest handset makers in the world, ZTE and</w:t>
      </w:r>
      <w:r>
        <w:rPr>
          <w:rFonts w:ascii="Arial" w:cs="Arial" w:eastAsia="Arial" w:hAnsi="Arial"/>
          <w:sz w:val="18"/>
          <w:szCs w:val="18"/>
          <w:i w:val="1"/>
          <w:iCs w:val="1"/>
          <w:color w:val="auto"/>
        </w:rPr>
        <w:t xml:space="preserve"> </w:t>
      </w:r>
      <w:r>
        <w:rPr>
          <w:rFonts w:ascii="Arial" w:cs="Arial" w:eastAsia="Arial" w:hAnsi="Arial"/>
          <w:sz w:val="18"/>
          <w:szCs w:val="18"/>
          <w:color w:val="auto"/>
        </w:rPr>
        <w:t>Nokia. We believe that the market for pre-loaded software for mobile devices is a fast growing market that provides broad reach and sustainable recurring revenue.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Continue to build a base of strategically important intellectual property. </w:t>
      </w:r>
      <w:r>
        <w:rPr>
          <w:rFonts w:ascii="Arial" w:cs="Arial" w:eastAsia="Arial" w:hAnsi="Arial"/>
          <w:sz w:val="17"/>
          <w:szCs w:val="17"/>
          <w:color w:val="auto"/>
        </w:rPr>
        <w:t>To date we have filed 24 patents and had 3 issued in the United States and 1</w:t>
      </w:r>
      <w:r>
        <w:rPr>
          <w:rFonts w:ascii="Arial" w:cs="Arial" w:eastAsia="Arial" w:hAnsi="Arial"/>
          <w:sz w:val="17"/>
          <w:szCs w:val="17"/>
          <w:i w:val="1"/>
          <w:iCs w:val="1"/>
          <w:color w:val="auto"/>
        </w:rPr>
        <w:t xml:space="preserve"> </w:t>
      </w:r>
      <w:r>
        <w:rPr>
          <w:rFonts w:ascii="Arial" w:cs="Arial" w:eastAsia="Arial" w:hAnsi="Arial"/>
          <w:sz w:val="17"/>
          <w:szCs w:val="17"/>
          <w:color w:val="auto"/>
        </w:rPr>
        <w:t>notice of allowance in Europe. We believe that these patents and related filings create a high barrier to entry into our existing businesses. In addition, we believe that our patent will be of interest to other application developers and hardware manufacturers. In addition, we believe that the Merger, if consummated, will substantially increase our intellectual property portfolio, add significant talent in technological innovation, and position the combined company for potential enhanced opportunities for revenue generation through the monetization of the combined company’s assets.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Continue to ensure we have broad handset reach. </w:t>
      </w:r>
      <w:r>
        <w:rPr>
          <w:rFonts w:ascii="Arial" w:cs="Arial" w:eastAsia="Arial" w:hAnsi="Arial"/>
          <w:sz w:val="18"/>
          <w:szCs w:val="18"/>
          <w:color w:val="auto"/>
        </w:rPr>
        <w:t>The breadth of our mobile handset coverage will be critical for us to grow our business. Our video</w:t>
      </w:r>
      <w:r>
        <w:rPr>
          <w:rFonts w:ascii="Arial" w:cs="Arial" w:eastAsia="Arial" w:hAnsi="Arial"/>
          <w:sz w:val="18"/>
          <w:szCs w:val="18"/>
          <w:i w:val="1"/>
          <w:iCs w:val="1"/>
          <w:color w:val="auto"/>
        </w:rPr>
        <w:t xml:space="preserve"> </w:t>
      </w:r>
      <w:r>
        <w:rPr>
          <w:rFonts w:ascii="Arial" w:cs="Arial" w:eastAsia="Arial" w:hAnsi="Arial"/>
          <w:sz w:val="18"/>
          <w:szCs w:val="18"/>
          <w:color w:val="auto"/>
        </w:rPr>
        <w:t>ringtone application already supports over 400 handsets and we diligently certify new mobile handset devices as quickly as possible. Additionally, the WAP version of our service is compatible with almost any device that supports video. We will continue to expand the features available as part of our video ringtone WAP service. Our Video ReMix application runs on iOS (iPhone, iPod, and iPad) and Android devices. Our Facetones™ application platform runs on Android and iPhone devices.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products,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critical for our growth. We will continue to add features to the product platforms to enhance their viral and social aspects and which enable users to connect with their existing social networks on platforms such as Facebook™ and Twitter™.</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Maintain and grow our product and technology leadership</w:t>
      </w:r>
      <w:r>
        <w:rPr>
          <w:rFonts w:ascii="Arial" w:cs="Arial" w:eastAsia="Arial" w:hAnsi="Arial"/>
          <w:sz w:val="17"/>
          <w:szCs w:val="17"/>
          <w:color w:val="auto"/>
        </w:rPr>
        <w:t>. Our technical team is made up of highly regarded industry professionals that continually</w:t>
      </w:r>
      <w:r>
        <w:rPr>
          <w:rFonts w:ascii="Arial" w:cs="Arial" w:eastAsia="Arial" w:hAnsi="Arial"/>
          <w:sz w:val="17"/>
          <w:szCs w:val="17"/>
          <w:i w:val="1"/>
          <w:iCs w:val="1"/>
          <w:color w:val="auto"/>
        </w:rPr>
        <w:t xml:space="preserve"> </w:t>
      </w:r>
      <w:r>
        <w:rPr>
          <w:rFonts w:ascii="Arial" w:cs="Arial" w:eastAsia="Arial" w:hAnsi="Arial"/>
          <w:sz w:val="17"/>
          <w:szCs w:val="17"/>
          <w:color w:val="auto"/>
        </w:rPr>
        <w:t>ensure that our product is on the cutting-edge in terms of ease of use, functionality and look and feel. We have filed 24 patent applications for our platform (three of which have been issued to date) and we continue to create new intellectual property. We also have enabled our video ringtone application to work on the Blackberry, Android and Windows Mobile operating systems, even though, those platforms do not natively support video ringtones. Nevertheless, there is no assurance that our application will continue to work on these operating systems in the future. We plan to continue to allocate technical resources to remain ahead of our competition and provide users with a product that is easy-to-use and cutting-edge.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 We believe this model is appropriate for our products and are initially launching the commercial versions of our product as a monthly subscription service with mobile carriers. We are focused on ensuring that our product drives value and limits churn. As the mobile video services market matures, our business model may evolve to capitalize on changes in the market.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Find new forms of distribution. </w:t>
      </w:r>
      <w:r>
        <w:rPr>
          <w:rFonts w:ascii="Arial" w:cs="Arial" w:eastAsia="Arial" w:hAnsi="Arial"/>
          <w:sz w:val="18"/>
          <w:szCs w:val="18"/>
          <w:color w:val="auto"/>
        </w:rPr>
        <w:t>While we are currently focused on the mobile carrier distribution channel, we believe there are other avenues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be 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i w:val="1"/>
          <w:iCs w:val="1"/>
          <w:color w:val="auto"/>
        </w:rPr>
        <w:t xml:space="preserve">Explore monetization through advertising and brand sponsorship. </w:t>
      </w:r>
      <w:r>
        <w:rPr>
          <w:rFonts w:ascii="Arial" w:cs="Arial" w:eastAsia="Arial" w:hAnsi="Arial"/>
          <w:sz w:val="16"/>
          <w:szCs w:val="16"/>
          <w:color w:val="auto"/>
        </w:rPr>
        <w:t>The visual nature of our service opens up the possibility of incorporating ads and</w:t>
      </w:r>
      <w:r>
        <w:rPr>
          <w:rFonts w:ascii="Arial" w:cs="Arial" w:eastAsia="Arial" w:hAnsi="Arial"/>
          <w:sz w:val="16"/>
          <w:szCs w:val="16"/>
          <w:i w:val="1"/>
          <w:iCs w:val="1"/>
          <w:color w:val="auto"/>
        </w:rPr>
        <w:t xml:space="preserve"> </w:t>
      </w:r>
      <w:r>
        <w:rPr>
          <w:rFonts w:ascii="Arial" w:cs="Arial" w:eastAsia="Arial" w:hAnsi="Arial"/>
          <w:sz w:val="16"/>
          <w:szCs w:val="16"/>
          <w:color w:val="auto"/>
        </w:rPr>
        <w:t>sponsorships in our software application platforms. We have initially launched advertising supported versions of our Video ReMix platform, and we have also entered into 2 sponsor relationships in 2011 to further monetize this platform. We believe that this will make up a growing portion of our business.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Content licensing leadership. </w:t>
      </w:r>
      <w:r>
        <w:rPr>
          <w:rFonts w:ascii="Arial" w:cs="Arial" w:eastAsia="Arial" w:hAnsi="Arial"/>
          <w:sz w:val="18"/>
          <w:szCs w:val="18"/>
          <w:color w:val="auto"/>
        </w:rPr>
        <w:t>We have signed over 35 different content licensing agreements for primarily content material to be used for video</w:t>
      </w:r>
      <w:r>
        <w:rPr>
          <w:rFonts w:ascii="Arial" w:cs="Arial" w:eastAsia="Arial" w:hAnsi="Arial"/>
          <w:sz w:val="18"/>
          <w:szCs w:val="18"/>
          <w:i w:val="1"/>
          <w:iCs w:val="1"/>
          <w:color w:val="auto"/>
        </w:rPr>
        <w:t xml:space="preserve"> </w:t>
      </w:r>
      <w:r>
        <w:rPr>
          <w:rFonts w:ascii="Arial" w:cs="Arial" w:eastAsia="Arial" w:hAnsi="Arial"/>
          <w:sz w:val="18"/>
          <w:szCs w:val="18"/>
          <w:color w:val="auto"/>
        </w:rPr>
        <w:t>ringtones as well as artist content for our Video ReMix platform. We have conducted substantive research of other commercial video ringtone sites and we have not discovered a commercial library with more than 100 video ringtones available for download. Accordingly, we believe our library of more than 12 thousand video ringtones, certain portions of which are geographically restricted, is one of the largest commercial video ringtone libraries in the world. We intend to continue to grow our library to enhance our future revenues although in many markets we will rely on our partners to supplement our library with additional locally licensed content.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923"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Our business, financial condition and results of operations and the trading price of our common stock could be materially adversely affected by any of the following risks as well as the other risks highlighted elsewhere in this Annual Report on Form 10-K, particularly the discussions about regulation, competition and intellectual property. Additional risks and uncertainties not presently known to us or that we currently deem immaterial also may impair our business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consummate our Merger with Innovate/Protect.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12, 2012, we entered into a Merger Agreement, pursuant to which Innovate/Protect will merge with and into our wholly owned subsidiary, Merger Sub, with Merger Sub being the surviving corporation through an exchange of capital stock of Innovate/Protect for our capital stock of Vringo. The consummation of the transaction with Innovate/Protect is subject to stockholders approval and other closing conditions. We have expended significant effort and management attention on the proposed transaction. There is no assurance that the transaction will be approved. For example, our stockholders may not approve the transaction. If the transaction is not consummated for any reason, our business and operations, as well as the market price of our stock and warrants may be adversely affected.</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issuance of our shares of common stock to Innovate/Protect stockholders in connection with the Merger will substantially dilute the voting power of our current stockholders.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terms of the Merger Agreement, it is anticipated that we will issue equity instruments to Innovate/Protect stockholders representing approximately 67.55% of the outstanding equity instruments of the combined company calculated on a fully diluted basis as of immediately following the completion of the Merger. After such issuance, our equity instruments outstanding immediately prior to the completion of the Merger will represent approximately 32.45% of the outstanding equity instruments of the combined company, calculated on a fully diluted basis as of immediately following the completion of the Merger. Accordingly, the issuance of our equity instruments Innovate/Protect stockholders in connection with the Merger will significantly reduce the relative voting power of each share of our common stock held by our current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2011, we had a cash balance of $1.2 million and $1 million of net working capital. For the years ended December 31, 2011 and 2010 and for the cumulative period from inception until December 31, 2011, we incurred net losses of $7.5 million, $9.9 million and $37.5 million, respectively. As of December 31, 2011, our deficit in stockholders' equity was $1.2 million.</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expect our net losses to continue in the foreseeable future, as we continue to grow our user base through carrier partnerships, continue to ensure we have broad handset reach, enhance our viral and social tools, maintain and grow our product and technology portfolio, build a strong revenue base of recurring monthly subscription revenue, find new forms of distribution, and explore monetization through advertising and revenue through content sales.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 development stage company with no significant source of income and our there is a significant doubt about our ability to continue our activities as a going concern.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management that raises substantial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current cash levels will be sufficient to support our activity into the fourth quarter of 2012. The continuation of our business is dependent upon the successful consummation of our Merger with Innovate/Protect, or similar merger or acquisition, financing and upon the further development of our products.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Should our currently outstanding warrants be exercised, there will be an additional 7,885,042 shares of common stock eligible for trading in the public market. In addition, we currently have options outstanding to purchase 4,718,450 shares of common stock, granted as of the reporting date, to our management, employees, directors and consultants. In March 2012, our Board approved participation of all outstanding options in future dividends, as well as, acceleration of vesting of all outstanding options, if certain market conditions are met. In addition, all outstanding options granted to members of the Board shall fully vest if a Board member ceases to be a director at any time during the six-month period immediately following a change of control. Certain options which are outstanding have exercise prices that are below, and in some cases significantly below, recent market price.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 The average weighted exercise price of all currently outstanding warrants and options, as of March 30, 2012, is $3.17 per share.</w:t>
      </w:r>
    </w:p>
    <w:p>
      <w:pPr>
        <w:spacing w:after="0" w:line="16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Under the terms of the Merger Agreement, we will issue Innovate/Protect shareholders warrants to purchase 15,959,838 shares of our common stock at an exercise price of $1.76 per share. In addition, all outstanding warrants to purchase Innovate/Protect’s common stock that are outstanding and unexercised immediately prior to the Merger agreement, shall be exchanged for 250,000 shares of our common stock and 850,000 warrants to purchase 850,000 shares of Vringo Common Stock with an exercise price of $1.76 per share. Finally, additional 41,178 options at an exercise price of $0.994 will be issued. As a result of an approval of our merger with Innovate/Protect, the total number of warrants and options held by our security holders will be increased by 16,851,016.</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0" w:gutter="0" w:footer="0" w:header="0"/>
        </w:sectPr>
      </w:pPr>
    </w:p>
    <w:bookmarkStart w:id="11" w:name="page12"/>
    <w:bookmarkEnd w:id="11"/>
    <w:p>
      <w:pPr>
        <w:spacing w:after="0" w:line="6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166" w:lineRule="exact"/>
        <w:rPr>
          <w:sz w:val="20"/>
          <w:szCs w:val="20"/>
          <w:color w:val="auto"/>
        </w:rPr>
      </w:pPr>
    </w:p>
    <w:p>
      <w:pPr>
        <w:jc w:val="both"/>
        <w:ind w:firstLine="721"/>
        <w:spacing w:after="0" w:line="255" w:lineRule="auto"/>
        <w:rPr>
          <w:sz w:val="20"/>
          <w:szCs w:val="20"/>
          <w:color w:val="auto"/>
        </w:rPr>
      </w:pPr>
      <w:r>
        <w:rPr>
          <w:rFonts w:ascii="Arial" w:cs="Arial" w:eastAsia="Arial" w:hAnsi="Arial"/>
          <w:sz w:val="18"/>
          <w:szCs w:val="18"/>
          <w:color w:val="auto"/>
        </w:rPr>
        <w:t>We currently have 13,861,423 shares of common stock issued and outstanding, excluding shares of common stock issuable upon exercise of warrants or options. As shares saleable under Rule 144 are sold or as restrictions on resale need, the market price of our stock could drop significantly, if the holders of restricted shares sell them, or are perceived by the market as intending to sell them. This decline in our stock price could occur even if our business is otherwise performing well. We anticipate filing Registration Statements in the near term for the common stock shares underlying (a) the 2,672,756 new warrants issued in February 2012 (including 11,834 warrants issued to our placement agent) and (b) 4,718,450 options currently outstanding under our 2006 Stock Option Plan.</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terms of the Merger Agreement, we will issue Innovate/Protect shareholders 16,972,977 of our common stock shares and Series A Convertible Preferred stock, convertible into 21,026,637 of our common stock shares. In addition, all outstanding warrants to purchase Innovate/Protect’s common stock that are outstanding and unexercised immediately prior to the Merger agreement, shall be exchanged for 250,000 shares of Vringo Common Stock and 850,000 warrants to purchase 850,000 shares of Vringo Common Stock with an exercise price of $1.76 per share. Upon the consummation of the Merger, if consummated, the number of outstanding shares of common stock (calculated on a fully diluted basis) held by our security holders will significantly increase.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able to adequately protect our intellectual property, we may not be able to compete effectively.</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 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possibility of extensive delays in the patent issuance process could effectively reduce the term during which a marketed product is protected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patents.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 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w:t>
      </w:r>
    </w:p>
    <w:p>
      <w:pPr>
        <w:sectPr>
          <w:pgSz w:w="11900" w:h="16899" w:orient="portrait"/>
          <w:cols w:equalWidth="0" w:num="1">
            <w:col w:w="11420"/>
          </w:cols>
          <w:pgMar w:left="240" w:top="877" w:right="239" w:bottom="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are unable to enter into or maintain distribution arrangements with major mobile carriers and/or other partners and develop and maintain strategic relationships with such mobile carriers and/or other partners, we will be unable to distribute our products effectively or generate significant revenue.</w:t>
      </w:r>
    </w:p>
    <w:p>
      <w:pPr>
        <w:spacing w:after="0" w:line="1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strategy for pursuing a significant share of the video ringtone market is dependent upon establishing distribution arrangements with major mobile carriers and other partners. We need to develop and maintain strategic relationships with these entities in order for them to market our service to their end users. While we have entered into agreements with certain partners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35 content license agreements with various content providers.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applications are compatible with various mobile operating systems including the Symbian, Sony Ericsson, Java, Windows Mobile, Android and Blackberry operating systems. While Windows Mobile, Blackberry and Android do not support video ringtones natively, our development team has enabled our application to work on many devices which utilize these operating systems. Since these operating systems do not support our applications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w:t>
      </w:r>
    </w:p>
    <w:p>
      <w:pPr>
        <w:sectPr>
          <w:pgSz w:w="11900" w:h="16948" w:orient="portrait"/>
          <w:cols w:equalWidth="0" w:num="1">
            <w:col w:w="11420"/>
          </w:cols>
          <w:pgMar w:left="240" w:top="877" w:right="239" w:bottom="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Facetones™ application depends upon our continued access to Facebook® photos.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Facetones™ application creates automated video slideshow using friends' photos from social media web sites, primarily from Facebook®, the world's leading social media site. In the event Facebook® prohibits or restricts the ability of our application to access photos on its site, our business, financial condition, operating results and projected growth could be harmed. In February 2012, we entered into an agreement with Facebook®, which clarifies our permitted use of the Facetones™ mark and domain name.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Facetones™ trademark is challenged by another party, our revenue from this application may be adversely affected.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9, 2012, Vringo entered into an agreement with Facebook, Inc. an online social network, relating to the use of our Facetones™ mark and domain name (collectively, the "Facetones Mark"). The Agreement resolved a potential dispute between the parties regarding the Facetones Mark. Nonetheless, Facebook reserves the right to challenge the Facetones Mark in the future if Vringo violates certain limitations on its use of the Facetones Mark and/or certain conditions are not met. If Facebook or any other party successfully challenges our Facetones Mark, we will need to rebrand our application, which may have a negative impact on our revenue from this application.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order for us to raise capital through equity or equity-linked transactions, stockholder approval is required to enable us to issue more than 19.99% of our outstanding shares of common stock pursuant to the rules and regulations of the NYSE Amex. Should stockholders not approve such issuances, our sole means to raise capital would be through debt, which could have a material adverse effect on our balance sheet and overall financial condition.</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are unable to make progress with respect to our plan to regain compliance with the minimum stockholders’ equity requirements imposed by the NYSE Amex within the required timeframes, our common stock could be delisted, which could limit stockholders’ ability to make transactions in our common stock and subject us to additional trading restrictions.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common stock and warrants are listed on the NYSE Amex, a national securities exchange, which imposes continued listing requirements with respect to listed shares. In May 2011, we received a letter from the NYSE Amex, stating that we are not in compliance with Section 1003(a)(iv) of the NYSE Amex Company Guide because we have sustained losses which are so substantial in relation to our overall operations or our existing financial resources, or our financial condition has become so impaired that it appears questionable, in the opinion of the NYSE Amex, as to whether we will be able to continue operations and/or meet our obligations as they mature.</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June 23, 2011, we submitted a plan to the NYSE Amex addressing how we intend to regain compliance with the continued listing standards by September 30, 2011. Based on the information in our compliance plan and related discussions with the NYSE Amex staff, the NYSE Amex determined that we had made a reasonable demonstration of our ability to regain compliance with Section 1003(a)(iv) of the NYSE Amex Company Guide by September 30, 2011 (subsequently extended to April 15, 2012) and that it would continue the listing of our common stock subject to conditions. The conditions include providing updates to the NYSE Amex staff as appropriate or upon request, but no later than at each quarter completion concurrent with our filing with the Securities and Exchange Commission. If we do not show progress consistent with our compliance plan, or we do not meet the continued listing standards by April 15, 2012, the NYSE Amex could initiate delisting proceedings. While the NYSE Amex has not initiated delisting proceedings, there is no assurance that it will not do so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If the NYSE Amex delists our securities from trading, we could face significant consequences, including:</w:t>
      </w:r>
    </w:p>
    <w:p>
      <w:pPr>
        <w:spacing w:after="0" w:line="225"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we would no longer be subject to the NYSE Amex rules, including rules requiring us to have a certain number of independent directors and to meet other corporate governance standards.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47" w:orient="portrait"/>
          <w:cols w:equalWidth="0" w:num="1">
            <w:col w:w="11420"/>
          </w:cols>
          <w:pgMar w:left="240" w:top="877" w:right="239" w:bottom="0" w:gutter="0" w:footer="0" w:header="0"/>
        </w:sectPr>
      </w:pPr>
    </w:p>
    <w:bookmarkStart w:id="16" w:name="page17"/>
    <w:bookmarkEnd w:id="16"/>
    <w:p>
      <w:pPr>
        <w:jc w:val="both"/>
        <w:ind w:right="20" w:firstLine="45"/>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research and development facility is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enforce covenants not-to-compete under current Israeli law, which may result in added competition.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a substantial portion of our revenues is generated in dollars and euros, while a significant portion of our expenses is incurred in Israeli currency, our revenue may be reduced due to inflation in Israel and currency exchange rate fluctuations.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substantial portion of our revenues is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New York office, which serves as our corporate U.S. executive office, is located at 44 W. 28th Street New York, New York. The per annum rent for this office is approximately $35 thousand. The research and development facility of our subsidiary is located on the 2nd floor of the BIG Center Building, in 1 Yigal-Allon St, Beit-Shemesh, Israel. The facility is subject to a 2-year lease and the annual rent is approximately $65 thousand. Both of these leases will expire in May 2012. We believe that our existing facilities are adequate to accommodate our business needs.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not party to any litigation in any court, and management is not aware of any contemplated proceeding by any government authority against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has been listed on the NYSE Amex under the symbol "VRNG" since July 27, 2010. The following table sets forth the high and low sales prices for our common stock:</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High</w:t>
            </w:r>
          </w:p>
        </w:tc>
        <w:tc>
          <w:tcPr>
            <w:tcW w:w="360" w:type="dxa"/>
            <w:vAlign w:val="bottom"/>
          </w:tcPr>
          <w:p>
            <w:pPr>
              <w:spacing w:after="0"/>
              <w:rPr>
                <w:sz w:val="20"/>
                <w:szCs w:val="20"/>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Low</w:t>
            </w:r>
          </w:p>
        </w:tc>
      </w:tr>
      <w:tr>
        <w:trPr>
          <w:trHeight w:val="190"/>
        </w:trPr>
        <w:tc>
          <w:tcPr>
            <w:tcW w:w="2420" w:type="dxa"/>
            <w:vAlign w:val="bottom"/>
            <w:tcBorders>
              <w:bottom w:val="single" w:sz="8" w:color="auto"/>
            </w:tcBorders>
            <w:shd w:val="clear" w:color="auto" w:fill="CCFFCC"/>
          </w:tcPr>
          <w:p>
            <w:pPr>
              <w:spacing w:after="0" w:line="170" w:lineRule="exact"/>
              <w:rPr>
                <w:sz w:val="20"/>
                <w:szCs w:val="20"/>
                <w:color w:val="auto"/>
              </w:rPr>
            </w:pPr>
            <w:r>
              <w:rPr>
                <w:rFonts w:ascii="Arial" w:cs="Arial" w:eastAsia="Arial" w:hAnsi="Arial"/>
                <w:sz w:val="18"/>
                <w:szCs w:val="18"/>
                <w:b w:val="1"/>
                <w:bCs w:val="1"/>
                <w:color w:val="auto"/>
                <w:w w:val="88"/>
              </w:rPr>
              <w:t>Year ending December 31, 2011</w:t>
            </w:r>
          </w:p>
        </w:tc>
        <w:tc>
          <w:tcPr>
            <w:tcW w:w="4260" w:type="dxa"/>
            <w:vAlign w:val="bottom"/>
            <w:tcBorders>
              <w:bottom w:val="single" w:sz="8" w:color="CCFFCC"/>
            </w:tcBorders>
            <w:shd w:val="clear" w:color="auto" w:fill="CCFFCC"/>
          </w:tcPr>
          <w:p>
            <w:pPr>
              <w:spacing w:after="0"/>
              <w:rPr>
                <w:sz w:val="16"/>
                <w:szCs w:val="16"/>
                <w:color w:val="auto"/>
              </w:rPr>
            </w:pPr>
          </w:p>
        </w:tc>
        <w:tc>
          <w:tcPr>
            <w:tcW w:w="360" w:type="dxa"/>
            <w:vAlign w:val="bottom"/>
            <w:tcBorders>
              <w:top w:val="single" w:sz="8" w:color="auto"/>
              <w:bottom w:val="single" w:sz="8" w:color="CCFFCC"/>
            </w:tcBorders>
            <w:shd w:val="clear" w:color="auto" w:fill="CCFFCC"/>
          </w:tcPr>
          <w:p>
            <w:pPr>
              <w:spacing w:after="0"/>
              <w:rPr>
                <w:sz w:val="16"/>
                <w:szCs w:val="16"/>
                <w:color w:val="auto"/>
              </w:rPr>
            </w:pPr>
          </w:p>
        </w:tc>
        <w:tc>
          <w:tcPr>
            <w:tcW w:w="1300" w:type="dxa"/>
            <w:vAlign w:val="bottom"/>
            <w:tcBorders>
              <w:top w:val="single" w:sz="8" w:color="auto"/>
              <w:bottom w:val="single" w:sz="8" w:color="CCFFCC"/>
            </w:tcBorders>
            <w:shd w:val="clear" w:color="auto" w:fill="CCFFCC"/>
          </w:tcPr>
          <w:p>
            <w:pPr>
              <w:spacing w:after="0"/>
              <w:rPr>
                <w:sz w:val="16"/>
                <w:szCs w:val="16"/>
                <w:color w:val="auto"/>
              </w:rPr>
            </w:pPr>
          </w:p>
        </w:tc>
        <w:tc>
          <w:tcPr>
            <w:tcW w:w="200" w:type="dxa"/>
            <w:vAlign w:val="bottom"/>
            <w:tcBorders>
              <w:bottom w:val="single" w:sz="8" w:color="CCFFCC"/>
            </w:tcBorders>
            <w:shd w:val="clear" w:color="auto" w:fill="CCFFCC"/>
          </w:tcPr>
          <w:p>
            <w:pPr>
              <w:spacing w:after="0"/>
              <w:rPr>
                <w:sz w:val="16"/>
                <w:szCs w:val="16"/>
                <w:color w:val="auto"/>
              </w:rPr>
            </w:pPr>
          </w:p>
        </w:tc>
        <w:tc>
          <w:tcPr>
            <w:tcW w:w="360" w:type="dxa"/>
            <w:vAlign w:val="bottom"/>
            <w:tcBorders>
              <w:top w:val="single" w:sz="8" w:color="auto"/>
              <w:bottom w:val="single" w:sz="8" w:color="CCFFCC"/>
            </w:tcBorders>
            <w:shd w:val="clear" w:color="auto" w:fill="CCFFCC"/>
          </w:tcPr>
          <w:p>
            <w:pPr>
              <w:spacing w:after="0"/>
              <w:rPr>
                <w:sz w:val="16"/>
                <w:szCs w:val="16"/>
                <w:color w:val="auto"/>
              </w:rPr>
            </w:pPr>
          </w:p>
        </w:tc>
        <w:tc>
          <w:tcPr>
            <w:tcW w:w="1260" w:type="dxa"/>
            <w:vAlign w:val="bottom"/>
            <w:tcBorders>
              <w:top w:val="single" w:sz="8" w:color="auto"/>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r>
      <w:tr>
        <w:trPr>
          <w:trHeight w:val="216"/>
        </w:trPr>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2.45</w:t>
            </w:r>
          </w:p>
        </w:tc>
        <w:tc>
          <w:tcPr>
            <w:tcW w:w="360" w:type="dxa"/>
            <w:vAlign w:val="bottom"/>
            <w:shd w:val="clear" w:color="auto" w:fill="CCFFCC"/>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1.01</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r>
      <w:tr>
        <w:trPr>
          <w:trHeight w:val="216"/>
        </w:trPr>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1.64</w:t>
            </w:r>
          </w:p>
        </w:tc>
        <w:tc>
          <w:tcPr>
            <w:tcW w:w="360" w:type="dxa"/>
            <w:vAlign w:val="bottom"/>
            <w:shd w:val="clear" w:color="auto" w:fill="CCFFCC"/>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0.99</w:t>
            </w:r>
          </w:p>
        </w:tc>
      </w:tr>
    </w:tbl>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High</w:t>
            </w:r>
          </w:p>
        </w:tc>
        <w:tc>
          <w:tcPr>
            <w:tcW w:w="38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Low</w:t>
            </w:r>
          </w:p>
        </w:tc>
      </w:tr>
      <w:tr>
        <w:trPr>
          <w:trHeight w:val="190"/>
        </w:trPr>
        <w:tc>
          <w:tcPr>
            <w:tcW w:w="6680" w:type="dxa"/>
            <w:vAlign w:val="bottom"/>
            <w:gridSpan w:val="2"/>
            <w:shd w:val="clear" w:color="auto" w:fill="CCFFCC"/>
          </w:tcPr>
          <w:p>
            <w:pPr>
              <w:spacing w:after="0" w:line="170" w:lineRule="exact"/>
              <w:rPr>
                <w:sz w:val="20"/>
                <w:szCs w:val="20"/>
                <w:color w:val="auto"/>
              </w:rPr>
            </w:pPr>
            <w:r>
              <w:rPr>
                <w:rFonts w:ascii="Arial" w:cs="Arial" w:eastAsia="Arial" w:hAnsi="Arial"/>
                <w:sz w:val="18"/>
                <w:szCs w:val="18"/>
                <w:b w:val="1"/>
                <w:bCs w:val="1"/>
                <w:color w:val="auto"/>
              </w:rPr>
              <w:t>Year ending December 31, 2010</w:t>
            </w:r>
          </w:p>
        </w:tc>
        <w:tc>
          <w:tcPr>
            <w:tcW w:w="40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380" w:type="dxa"/>
            <w:vAlign w:val="bottom"/>
            <w:tcBorders>
              <w:top w:val="single" w:sz="8" w:color="auto"/>
            </w:tcBorders>
            <w:shd w:val="clear" w:color="auto" w:fill="CCFFCC"/>
          </w:tcPr>
          <w:p>
            <w:pPr>
              <w:spacing w:after="0"/>
              <w:rPr>
                <w:sz w:val="16"/>
                <w:szCs w:val="16"/>
                <w:color w:val="auto"/>
              </w:rPr>
            </w:pPr>
          </w:p>
        </w:tc>
        <w:tc>
          <w:tcPr>
            <w:tcW w:w="12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216"/>
        </w:trPr>
        <w:tc>
          <w:tcPr>
            <w:tcW w:w="2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Third quarter</w:t>
            </w:r>
          </w:p>
        </w:tc>
        <w:tc>
          <w:tcPr>
            <w:tcW w:w="426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CCFFCC"/>
            </w:tcBorders>
            <w:gridSpan w:val="2"/>
          </w:tcPr>
          <w:p>
            <w:pPr>
              <w:jc w:val="right"/>
              <w:ind w:right="200"/>
              <w:spacing w:after="0"/>
              <w:rPr>
                <w:sz w:val="20"/>
                <w:szCs w:val="20"/>
                <w:color w:val="auto"/>
              </w:rPr>
            </w:pPr>
            <w:r>
              <w:rPr>
                <w:rFonts w:ascii="Arial" w:cs="Arial" w:eastAsia="Arial" w:hAnsi="Arial"/>
                <w:sz w:val="18"/>
                <w:szCs w:val="18"/>
                <w:color w:val="auto"/>
              </w:rPr>
              <w:t>3.35</w:t>
            </w:r>
          </w:p>
        </w:tc>
        <w:tc>
          <w:tcPr>
            <w:tcW w:w="380" w:type="dxa"/>
            <w:vAlign w:val="bottom"/>
            <w:tcBorders>
              <w:top w:val="single" w:sz="8" w:color="CCFFCC"/>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CCFFCC"/>
            </w:tcBorders>
            <w:gridSpan w:val="2"/>
          </w:tcPr>
          <w:p>
            <w:pPr>
              <w:jc w:val="right"/>
              <w:ind w:right="80"/>
              <w:spacing w:after="0"/>
              <w:rPr>
                <w:sz w:val="20"/>
                <w:szCs w:val="20"/>
                <w:color w:val="auto"/>
              </w:rPr>
            </w:pPr>
            <w:r>
              <w:rPr>
                <w:rFonts w:ascii="Arial" w:cs="Arial" w:eastAsia="Arial" w:hAnsi="Arial"/>
                <w:sz w:val="18"/>
                <w:szCs w:val="18"/>
                <w:color w:val="auto"/>
              </w:rPr>
              <w:t>1.25</w:t>
            </w:r>
          </w:p>
        </w:tc>
      </w:tr>
      <w:tr>
        <w:trPr>
          <w:trHeight w:val="216"/>
        </w:trPr>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3.10</w:t>
            </w:r>
          </w:p>
        </w:tc>
        <w:tc>
          <w:tcPr>
            <w:tcW w:w="380" w:type="dxa"/>
            <w:vAlign w:val="bottom"/>
            <w:shd w:val="clear" w:color="auto" w:fill="CCFFCC"/>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2.04</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public warrants have been listed on the NYSE Amex under the symbol "VRNGW" since July 27, 2010. The following table sets forth the high and low sales prices for our public warrants:</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High</w:t>
            </w:r>
          </w:p>
        </w:tc>
        <w:tc>
          <w:tcPr>
            <w:tcW w:w="360" w:type="dxa"/>
            <w:vAlign w:val="bottom"/>
          </w:tcPr>
          <w:p>
            <w:pPr>
              <w:spacing w:after="0"/>
              <w:rPr>
                <w:sz w:val="20"/>
                <w:szCs w:val="20"/>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Low</w:t>
            </w:r>
          </w:p>
        </w:tc>
      </w:tr>
      <w:tr>
        <w:trPr>
          <w:trHeight w:val="190"/>
        </w:trPr>
        <w:tc>
          <w:tcPr>
            <w:tcW w:w="2420" w:type="dxa"/>
            <w:vAlign w:val="bottom"/>
            <w:tcBorders>
              <w:bottom w:val="single" w:sz="8" w:color="auto"/>
            </w:tcBorders>
            <w:shd w:val="clear" w:color="auto" w:fill="CCFFCC"/>
          </w:tcPr>
          <w:p>
            <w:pPr>
              <w:spacing w:after="0" w:line="170" w:lineRule="exact"/>
              <w:rPr>
                <w:sz w:val="20"/>
                <w:szCs w:val="20"/>
                <w:color w:val="auto"/>
              </w:rPr>
            </w:pPr>
            <w:r>
              <w:rPr>
                <w:rFonts w:ascii="Arial" w:cs="Arial" w:eastAsia="Arial" w:hAnsi="Arial"/>
                <w:sz w:val="18"/>
                <w:szCs w:val="18"/>
                <w:b w:val="1"/>
                <w:bCs w:val="1"/>
                <w:color w:val="auto"/>
                <w:w w:val="88"/>
              </w:rPr>
              <w:t>Year ending December 31, 2011</w:t>
            </w:r>
          </w:p>
        </w:tc>
        <w:tc>
          <w:tcPr>
            <w:tcW w:w="4260" w:type="dxa"/>
            <w:vAlign w:val="bottom"/>
            <w:tcBorders>
              <w:bottom w:val="single" w:sz="8" w:color="CCFFCC"/>
            </w:tcBorders>
            <w:shd w:val="clear" w:color="auto" w:fill="CCFFCC"/>
          </w:tcPr>
          <w:p>
            <w:pPr>
              <w:spacing w:after="0"/>
              <w:rPr>
                <w:sz w:val="16"/>
                <w:szCs w:val="16"/>
                <w:color w:val="auto"/>
              </w:rPr>
            </w:pPr>
          </w:p>
        </w:tc>
        <w:tc>
          <w:tcPr>
            <w:tcW w:w="380" w:type="dxa"/>
            <w:vAlign w:val="bottom"/>
            <w:tcBorders>
              <w:top w:val="single" w:sz="8" w:color="auto"/>
              <w:bottom w:val="single" w:sz="8" w:color="CCFFCC"/>
            </w:tcBorders>
            <w:shd w:val="clear" w:color="auto" w:fill="CCFFCC"/>
          </w:tcPr>
          <w:p>
            <w:pPr>
              <w:spacing w:after="0"/>
              <w:rPr>
                <w:sz w:val="16"/>
                <w:szCs w:val="16"/>
                <w:color w:val="auto"/>
              </w:rPr>
            </w:pPr>
          </w:p>
        </w:tc>
        <w:tc>
          <w:tcPr>
            <w:tcW w:w="1280" w:type="dxa"/>
            <w:vAlign w:val="bottom"/>
            <w:tcBorders>
              <w:top w:val="single" w:sz="8" w:color="auto"/>
              <w:bottom w:val="single" w:sz="8" w:color="CCFFCC"/>
            </w:tcBorders>
            <w:shd w:val="clear" w:color="auto" w:fill="CCFFCC"/>
          </w:tcPr>
          <w:p>
            <w:pPr>
              <w:spacing w:after="0"/>
              <w:rPr>
                <w:sz w:val="16"/>
                <w:szCs w:val="16"/>
                <w:color w:val="auto"/>
              </w:rPr>
            </w:pPr>
          </w:p>
        </w:tc>
        <w:tc>
          <w:tcPr>
            <w:tcW w:w="200" w:type="dxa"/>
            <w:vAlign w:val="bottom"/>
            <w:tcBorders>
              <w:bottom w:val="single" w:sz="8" w:color="CCFFCC"/>
            </w:tcBorders>
            <w:shd w:val="clear" w:color="auto" w:fill="CCFFCC"/>
          </w:tcPr>
          <w:p>
            <w:pPr>
              <w:spacing w:after="0"/>
              <w:rPr>
                <w:sz w:val="16"/>
                <w:szCs w:val="16"/>
                <w:color w:val="auto"/>
              </w:rPr>
            </w:pPr>
          </w:p>
        </w:tc>
        <w:tc>
          <w:tcPr>
            <w:tcW w:w="360" w:type="dxa"/>
            <w:vAlign w:val="bottom"/>
            <w:tcBorders>
              <w:top w:val="single" w:sz="8" w:color="auto"/>
              <w:bottom w:val="single" w:sz="8" w:color="CCFFCC"/>
            </w:tcBorders>
            <w:shd w:val="clear" w:color="auto" w:fill="CCFFCC"/>
          </w:tcPr>
          <w:p>
            <w:pPr>
              <w:spacing w:after="0"/>
              <w:rPr>
                <w:sz w:val="16"/>
                <w:szCs w:val="16"/>
                <w:color w:val="auto"/>
              </w:rPr>
            </w:pPr>
          </w:p>
        </w:tc>
        <w:tc>
          <w:tcPr>
            <w:tcW w:w="1260" w:type="dxa"/>
            <w:vAlign w:val="bottom"/>
            <w:tcBorders>
              <w:top w:val="single" w:sz="8" w:color="auto"/>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0.26</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r>
      <w:tr>
        <w:trPr>
          <w:trHeight w:val="216"/>
        </w:trPr>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0.25</w:t>
            </w:r>
          </w:p>
        </w:tc>
        <w:tc>
          <w:tcPr>
            <w:tcW w:w="360" w:type="dxa"/>
            <w:vAlign w:val="bottom"/>
            <w:shd w:val="clear" w:color="auto" w:fill="CCFFCC"/>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0.01</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r>
      <w:tr>
        <w:trPr>
          <w:trHeight w:val="216"/>
        </w:trPr>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0.12</w:t>
            </w:r>
          </w:p>
        </w:tc>
        <w:tc>
          <w:tcPr>
            <w:tcW w:w="360" w:type="dxa"/>
            <w:vAlign w:val="bottom"/>
            <w:shd w:val="clear" w:color="auto" w:fill="CCFFCC"/>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0.01</w:t>
            </w:r>
          </w:p>
        </w:tc>
      </w:tr>
    </w:tbl>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High</w:t>
            </w:r>
          </w:p>
        </w:tc>
        <w:tc>
          <w:tcPr>
            <w:tcW w:w="38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Low</w:t>
            </w:r>
          </w:p>
        </w:tc>
      </w:tr>
      <w:tr>
        <w:trPr>
          <w:trHeight w:val="190"/>
        </w:trPr>
        <w:tc>
          <w:tcPr>
            <w:tcW w:w="6680" w:type="dxa"/>
            <w:vAlign w:val="bottom"/>
            <w:gridSpan w:val="2"/>
            <w:shd w:val="clear" w:color="auto" w:fill="CCFFCC"/>
          </w:tcPr>
          <w:p>
            <w:pPr>
              <w:spacing w:after="0" w:line="170" w:lineRule="exact"/>
              <w:rPr>
                <w:sz w:val="20"/>
                <w:szCs w:val="20"/>
                <w:color w:val="auto"/>
              </w:rPr>
            </w:pPr>
            <w:r>
              <w:rPr>
                <w:rFonts w:ascii="Arial" w:cs="Arial" w:eastAsia="Arial" w:hAnsi="Arial"/>
                <w:sz w:val="18"/>
                <w:szCs w:val="18"/>
                <w:b w:val="1"/>
                <w:bCs w:val="1"/>
                <w:color w:val="auto"/>
              </w:rPr>
              <w:t>Year ending December 31, 2010</w:t>
            </w:r>
          </w:p>
        </w:tc>
        <w:tc>
          <w:tcPr>
            <w:tcW w:w="40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380" w:type="dxa"/>
            <w:vAlign w:val="bottom"/>
            <w:tcBorders>
              <w:top w:val="single" w:sz="8" w:color="auto"/>
            </w:tcBorders>
            <w:shd w:val="clear" w:color="auto" w:fill="CCFFCC"/>
          </w:tcPr>
          <w:p>
            <w:pPr>
              <w:spacing w:after="0"/>
              <w:rPr>
                <w:sz w:val="16"/>
                <w:szCs w:val="16"/>
                <w:color w:val="auto"/>
              </w:rPr>
            </w:pPr>
          </w:p>
        </w:tc>
        <w:tc>
          <w:tcPr>
            <w:tcW w:w="12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216"/>
        </w:trPr>
        <w:tc>
          <w:tcPr>
            <w:tcW w:w="2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Third quarter</w:t>
            </w:r>
          </w:p>
        </w:tc>
        <w:tc>
          <w:tcPr>
            <w:tcW w:w="426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CCFFCC"/>
            </w:tcBorders>
            <w:gridSpan w:val="2"/>
          </w:tcPr>
          <w:p>
            <w:pPr>
              <w:jc w:val="right"/>
              <w:ind w:right="200"/>
              <w:spacing w:after="0"/>
              <w:rPr>
                <w:sz w:val="20"/>
                <w:szCs w:val="20"/>
                <w:color w:val="auto"/>
              </w:rPr>
            </w:pPr>
            <w:r>
              <w:rPr>
                <w:rFonts w:ascii="Arial" w:cs="Arial" w:eastAsia="Arial" w:hAnsi="Arial"/>
                <w:sz w:val="18"/>
                <w:szCs w:val="18"/>
                <w:color w:val="auto"/>
              </w:rPr>
              <w:t>0.35</w:t>
            </w:r>
          </w:p>
        </w:tc>
        <w:tc>
          <w:tcPr>
            <w:tcW w:w="380" w:type="dxa"/>
            <w:vAlign w:val="bottom"/>
            <w:tcBorders>
              <w:top w:val="single" w:sz="8" w:color="CCFFCC"/>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CCFFCC"/>
            </w:tcBorders>
            <w:gridSpan w:val="2"/>
          </w:tcPr>
          <w:p>
            <w:pPr>
              <w:jc w:val="right"/>
              <w:ind w:right="80"/>
              <w:spacing w:after="0"/>
              <w:rPr>
                <w:sz w:val="20"/>
                <w:szCs w:val="20"/>
                <w:color w:val="auto"/>
              </w:rPr>
            </w:pPr>
            <w:r>
              <w:rPr>
                <w:rFonts w:ascii="Arial" w:cs="Arial" w:eastAsia="Arial" w:hAnsi="Arial"/>
                <w:sz w:val="18"/>
                <w:szCs w:val="18"/>
                <w:color w:val="auto"/>
              </w:rPr>
              <w:t>0.16</w:t>
            </w:r>
          </w:p>
        </w:tc>
      </w:tr>
      <w:tr>
        <w:trPr>
          <w:trHeight w:val="216"/>
        </w:trPr>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0.39</w:t>
            </w:r>
          </w:p>
        </w:tc>
        <w:tc>
          <w:tcPr>
            <w:tcW w:w="380" w:type="dxa"/>
            <w:vAlign w:val="bottom"/>
            <w:shd w:val="clear" w:color="auto" w:fill="CCFFCC"/>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27, 2012, we had 61 holders of record of the outstanding shares of our common stock. This does not reflect persons or entities that hold their stock in nominee or "street" name through various brokerage firms.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 smaller reporting company and therefore, we are not required to provide information required by this Item of Form 10-K.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and is qualified in its entirety by, our consolidated financial statements (including notes to the consolidated financial statements) and the other consolidated financial information appearing elsewhere in this Annual Report on Form 10-K. In addition to historical financial information, the following discussion contains forward-looking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We believe that our services represent the next stage in the evolution of the mobile content and mobile social applications market. We anticipate that the mobile content and service market will begin to migrate from standard audio ringtones and content to high-quality video services, with social networking capability and integration with web systems. We also believe that social network information and updates will be shared regularly when friends regularly communicate by voice and by text. Our video ringtone solutions and other mobile social and video applications, which encompass a suite of mobile and PC-based tools, enable users to create, download and share video and other social content with ease as part of the normal communication process, and provide our business partners with a consumer-friendly and easy-to-integrate monetization platform.</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development stage company. From inception through December 31, 2011, we have raised approximately $31.8 million. These amounts have been used to finance our operations, as until now, we have not yet generated any significant revenues. From inception through December 31, 2011, we recorded losses of $37.5 million and net cash outflow from operations of $29.3 million. Our average monthly cash burn rate from operations for the year ended December 31, 2011, was approximately $0.45 million.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2011, we raised an aggregate amount of $2.5 million through the issuance of Convertible Notes in a private placement. On December 1, 2011, we raised additional $0.85 million through the issuance of additional 817,303 shares of common stock (“December 2011 financing”). Pursuant to the December 2011 financing, all Convertible Notes (and accrued interest) were converted into 2,671,026 shares of common stock. In February 2012, we entered into agreements with holders (the “Holders”) of certain of our outstanding Special Bridge and Conversion Warrants, pursuant to which the Holders exercised warrants to purchase 3,828,993 shares of our common stock for aggregate proceeds of $3.6 million. Refer also to Note 17 to the accompanying financial statements.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Subsequent to year end, on March 12, 2012, we entered into an Agreement and Plan of Merger (the “Merger Agreement”) with VIP Merger Sub, Inc., a Delaware corporation and our wholly-owned subsidiary (“Merger Sub”), and Innovate/Protect, Inc., a Delaware corporation and an intellectual property firm founded in 2011 whose wholly-owned subsidiary, I/P Engine, holds eight patents that were acquired from Lycos Inc. (“Innovate/Protect”), pursuant to which Innovate/Protect will merge with and into Merger Sub, with Merger Sub being the surviving corporation (the “Surviving Corporation”) through an exchange of capital stock of Innovate/Protect for capital stock of Vringo (the “Merger”).</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Under the terms of the Merger Agreement, upon completion of the Merger, (i) each share of then-outstanding common stock of Innovate/Protect, par value $0.0001 per share (“Innovate/Protect Common Stock”) (other than shares held by us, Innovate/Protect or any of our and their subsidiaries, which will be cancelled at the completion of the Merger) will be automatically converted into the right to receive the number of shares of our common stock, par value $0.01 per share (“Vringo Common Stock”) equal to the Common Stock Exchange Ratio (as defined below) and (ii) each share of then-outstanding Series A Convertible Preferred Stock of Innovate/Protect, par value $0.0001 per share (total 6,968 shares outstanding) (“Innovate/Protect Series A Stock” and together with the Innovate/Protect Common Stock, “Innovate/Protect Capital Stock”) (other than shares held by us, Innovate/Protect or any of our and their subsidiaries, which will be cancelled at the completion of the Merger) will be automatically converted into the right to receive the same number of shares of Vringo Series A Convertible Preferred Stock (“Vringo Preferred Stock”), which 6,968 shares shall be convertible into an aggregate of 21,026,637 shares of Vringo Common Stock. The Vringo Preferred Stock will have the powers, designations, preferences and other rights as will be set forth in a Certificate of Designations, Preferences and Rights of Series A Convertible Preferred Stock to be filed by us prior to closing. The Common Stock Exchange Ratio initially is 3.0176, subject to adjustment as set forth in the Merger Agreement. In addition, at the effective time of the Merger, Vringo will issue to the holders of Innovate/Protect Capital Stock and the holder of Innovate/Protect’s issued and outstanding warrant (on a pro rata as-converted basis) an aggregate of 15,959,838 warrants to purchase an aggregate of 15,959,838 shares of Vringo Common Stock with an exercise price of $1.76 per share. The issued and outstanding warrant to purchase Innovate/Protect Common Stock shall be exchanged for 250,000 shares of Vringo common stock and 850,000 warrants to purchase 850,000 shares of Vringo Common Stock with an exercise price of $1.76 per share.</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at the effective time of the Merger, each outstanding and unexercised option to purchase Innovate/Protect Common Stock (each a “Innovate/Protect Stock Option”), whether vested or unvested will be converted into and become an option to purchase Vringo Common Stock and we will assume such Innovate/Protect Stock Option in accordance with the terms of the Innovate/Protect 2011 Equity Incentive Plan. After the effective time of the Merger, (a) each Innovate/Protect Stock Option assumed by us may be exercised solely for shares of Vringo Common Stock and (b) the number of shares of Vringo Common Stock and the exercise price subject to each Innovate/Protect Stock Option assumed by us shall be determined by the Common Stock Exchange Ratio.</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Immediately following the completion of the Merger, the former stockholders of Innovate/Protect are expected to own approximately 55.41% of the outstanding common stock of the combined company, and our current stockholders are expected to own approximately 44.59% of the outstanding common stock of the combined company. On a fully diluted basis, the former stockholders of Innovate/Protect are expected to own approximately 67.55% of the outstanding common stock of the combined company, and our current stockholders are expected to own approximately 32.45% of the outstanding common stock of the combined company.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expended significant effort and management attention on the proposed transaction. There is no assurance that the transaction contemplated by the Merger Agreement will be consummated. If the transaction is not consummated for any reason, our business and operations, as well as the market price of our stock and warrants may be adversely affected. We are currently evaluating the effect of the proposed Merger on our financial statements. We believe such effect will be material.</w:t>
      </w:r>
    </w:p>
    <w:p>
      <w:pPr>
        <w:sectPr>
          <w:pgSz w:w="11900" w:h="16885" w:orient="portrait"/>
          <w:cols w:equalWidth="0" w:num="1">
            <w:col w:w="11420"/>
          </w:cols>
          <w:pgMar w:left="240" w:top="877" w:right="239" w:bottom="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0" w:name="page21"/>
    <w:bookmarkEnd w:id="20"/>
    <w:p>
      <w:pPr>
        <w:jc w:val="both"/>
        <w:ind w:firstLine="648"/>
        <w:spacing w:after="0" w:line="276" w:lineRule="auto"/>
        <w:rPr>
          <w:sz w:val="20"/>
          <w:szCs w:val="20"/>
          <w:color w:val="auto"/>
        </w:rPr>
      </w:pPr>
      <w:r>
        <w:rPr>
          <w:rFonts w:ascii="Arial" w:cs="Arial" w:eastAsia="Arial" w:hAnsi="Arial"/>
          <w:sz w:val="17"/>
          <w:szCs w:val="17"/>
          <w:color w:val="auto"/>
        </w:rPr>
        <w:t>As of December 31, 2011, we had approximately $1.2 million in cash and cash equivalents. We believe that current cash levels will be sufficient to support our activity into the fourth quarter of 2012. The continuation of our business, as a going concern is dependent upon the successful consummation of our Merger with Innovate/Protect, or similar merger or acquisition, financing, and upon the further development of our products. There can be no assurance, however, that any such opportunities will materialize. All of our audited consolidated financial statements since inception have contained a “going concern” reference by our auditors, expressing substantial doubt about our ability to continue as a going concern.</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financial statements were prepared using principles applicable to a going concern, which contemplate the realizations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if we are not able to continue as a going concern.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recognize revenue from monthly subscription from carriers, development projects and content sales when all the conditions for revenue recognition are met: (i) persuasive evidence of an arrangement exists, (ii) collection of the fee is probable, (iii) the sales price is fixed and determinable and</w:t>
      </w:r>
    </w:p>
    <w:p>
      <w:pPr>
        <w:jc w:val="both"/>
        <w:ind w:firstLine="8"/>
        <w:spacing w:after="0" w:line="290" w:lineRule="auto"/>
        <w:tabs>
          <w:tab w:leader="none" w:pos="307" w:val="left"/>
        </w:tabs>
        <w:numPr>
          <w:ilvl w:val="0"/>
          <w:numId w:val="8"/>
        </w:numPr>
        <w:rPr>
          <w:rFonts w:ascii="Arial" w:cs="Arial" w:eastAsia="Arial" w:hAnsi="Arial"/>
          <w:sz w:val="16"/>
          <w:szCs w:val="16"/>
          <w:color w:val="auto"/>
        </w:rPr>
      </w:pPr>
      <w:r>
        <w:rPr>
          <w:rFonts w:ascii="Arial" w:cs="Arial" w:eastAsia="Arial" w:hAnsi="Arial"/>
          <w:sz w:val="16"/>
          <w:szCs w:val="16"/>
          <w:color w:val="auto"/>
        </w:rPr>
        <w:t>delivery has occurred or services have been rendered. Our subscription service arrangements are evidenced by a written document signed by both parties. Our revenues from monthly subscription fees, content purchases and advertisement revenues are recognized when we have received confirmation that the amount is due to us, which provides proof that the services have been rendered, and making collection probable. We recognize revenue from non-refundable up-front fees relating to set-up and billing integration across the period of the contract for the subscription service as these fees are part of hosting solution that we provide to the carrier. The hosting is provided on our servers for the entire period of the arrangement with this carrier, and the revenues relating to the monthly subscription, set-up fees and billing integration have been recognized over the period in the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primarily of third party expenses directly related to providing our service in launched markets. In addition, these costs include royalty fees for content sales and amortization of prepaid content licenses. Cost of revenue does not include expenses related to product development, integration, and support. These costs are included in research and development and marketing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706"/>
        <w:spacing w:after="0" w:line="264" w:lineRule="auto"/>
        <w:rPr>
          <w:sz w:val="20"/>
          <w:szCs w:val="20"/>
          <w:color w:val="auto"/>
        </w:rPr>
      </w:pPr>
      <w:r>
        <w:rPr>
          <w:rFonts w:ascii="Arial" w:cs="Arial" w:eastAsia="Arial" w:hAnsi="Arial"/>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labor cost incurred in connection with customer integration, server and support functions for our development environment.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Marketing expenses include the salary of all business development and marketing personnel, travel expenses relating to business development activity and trade shows, as well as public relations, advertising, ongoing customer relations and customer acquisition expenses. As we increase our sales, certain commissions to agents will affect marketing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primarily include the salary of our finance and administrative personnel, rental costs, legal and accounting fees, insurance, telephone and other office expenses including depreciation and amortization.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Non-operating income (expenses) includes transaction gains (losses) from foreign exchange rate differences, interest on deposits, bank charges, interest and discount amortization expenses on our venture loan and Convertible Notes. In addition, non-operating income (expenses) includes a gain on restructuring of venture loan in light of the settlement agreement signed June 8, 2011. As well as fair value adjustments of derivative liabilities on account of the Special Bridge Warrants and the Conversion Warrants, which are highly influenced by our stock price at the period end (revaluation date).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foreign income from our wholly owned subsidiary. At December 31, 2011, our deferred tax assets generated from our U.S. activities were entirely offset by a valuation allowance because realization depends on generating future taxable income, which, in our estimation, is not more likely than not to be generated. The deferred tax assets and liabilities generated from our subsidiary's operations are not offset by an allowance, as in our estimation, they are more likely than not to be realized.</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subsidiary generates net taxable income from services it provides to us. The subsidiary charges us for research, development, certain management and other services provided to us, plus a profit margin on such costs, which is currently 8%. On December 5, 2011, the Knesset (Israel’s Parliament) approved the Law to Change the Tax Burden (Legislative Amendments) - 2011. According to the new law, the corporate tax rate will be 25% starting in 2012.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 zero percent tax benefits for the fiscal years of 2007-2008. In January 2011, new legislation amending the Investment Law was enacted. According to the amendment, the uniform tax rate applicable to the zone where the production facilities of the subsidiary are located would be 15% in 2011 and 2012, 12.5% in 2013 and 2014, and 12% in 2015 and thereafter. Under the transitory provisions of the newly legislated amendment, the subsidiary irrevocably implemented the new law while waiving benefits provided under the current law.</w:t>
      </w:r>
    </w:p>
    <w:p>
      <w:pPr>
        <w:sectPr>
          <w:pgSz w:w="11900" w:h="16838" w:orient="portrait"/>
          <w:cols w:equalWidth="0" w:num="1">
            <w:col w:w="11420"/>
          </w:cols>
          <w:pgMar w:left="240" w:top="881" w:right="239" w:bottom="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940"/>
        <w:spacing w:after="0" w:line="501" w:lineRule="auto"/>
        <w:rPr>
          <w:sz w:val="20"/>
          <w:szCs w:val="20"/>
          <w:color w:val="auto"/>
        </w:rPr>
      </w:pPr>
      <w:r>
        <w:rPr>
          <w:rFonts w:ascii="Arial" w:cs="Arial" w:eastAsia="Arial" w:hAnsi="Arial"/>
          <w:sz w:val="18"/>
          <w:szCs w:val="18"/>
          <w:b w:val="1"/>
          <w:bCs w:val="1"/>
          <w:i w:val="1"/>
          <w:iCs w:val="1"/>
          <w:color w:val="auto"/>
        </w:rPr>
        <w:t>Year ended December 31, 2011, 2010 and the development stage period (cumulative from inception through December 31, 2011) Revenue</w:t>
      </w:r>
    </w:p>
    <w:tbl>
      <w:tblPr>
        <w:tblLayout w:type="fixed"/>
        <w:tblInd w:w="66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Cumulative</w:t>
            </w:r>
          </w:p>
        </w:tc>
      </w:tr>
      <w:tr>
        <w:trPr>
          <w:trHeight w:val="216"/>
        </w:trPr>
        <w:tc>
          <w:tcPr>
            <w:tcW w:w="5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from inception to</w:t>
            </w:r>
          </w:p>
        </w:tc>
      </w:tr>
      <w:tr>
        <w:trPr>
          <w:trHeight w:val="230"/>
        </w:trPr>
        <w:tc>
          <w:tcPr>
            <w:tcW w:w="5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80" w:type="dxa"/>
            <w:vAlign w:val="bottom"/>
            <w:gridSpan w:val="5"/>
          </w:tcPr>
          <w:p>
            <w:pPr>
              <w:ind w:left="140"/>
              <w:spacing w:after="0"/>
              <w:rPr>
                <w:sz w:val="20"/>
                <w:szCs w:val="20"/>
                <w:color w:val="auto"/>
              </w:rPr>
            </w:pPr>
            <w:r>
              <w:rPr>
                <w:rFonts w:ascii="Arial" w:cs="Arial" w:eastAsia="Arial" w:hAnsi="Arial"/>
                <w:sz w:val="18"/>
                <w:szCs w:val="18"/>
                <w:color w:val="auto"/>
                <w:w w:val="90"/>
              </w:rPr>
              <w:t>Year Ended December 31,</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December 31,</w:t>
            </w:r>
          </w:p>
        </w:tc>
      </w:tr>
      <w:tr>
        <w:trPr>
          <w:trHeight w:val="210"/>
        </w:trPr>
        <w:tc>
          <w:tcPr>
            <w:tcW w:w="50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3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2011</w:t>
            </w:r>
          </w:p>
        </w:tc>
        <w:tc>
          <w:tcPr>
            <w:tcW w:w="80" w:type="dxa"/>
            <w:vAlign w:val="bottom"/>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Revenue</w:t>
            </w:r>
          </w:p>
        </w:tc>
        <w:tc>
          <w:tcPr>
            <w:tcW w:w="820" w:type="dxa"/>
            <w:vAlign w:val="bottom"/>
            <w:shd w:val="clear" w:color="auto" w:fill="CCFFCC"/>
          </w:tcPr>
          <w:p>
            <w:pPr>
              <w:spacing w:after="0"/>
              <w:rPr>
                <w:sz w:val="19"/>
                <w:szCs w:val="19"/>
                <w:color w:val="auto"/>
              </w:rPr>
            </w:pPr>
          </w:p>
        </w:tc>
        <w:tc>
          <w:tcPr>
            <w:tcW w:w="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718</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507</w:t>
            </w:r>
          </w:p>
        </w:tc>
        <w:tc>
          <w:tcPr>
            <w:tcW w:w="14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949</w:t>
            </w:r>
          </w:p>
        </w:tc>
      </w:tr>
      <w:tr>
        <w:trPr>
          <w:trHeight w:val="20"/>
        </w:trPr>
        <w:tc>
          <w:tcPr>
            <w:tcW w:w="50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During the year ended December 31, 2011, we recorded revenues of $718 thousand, which represents an increase of $507 thousand (or 240%) from revenues recorded for the year ended December 31, 2010. The increase was mainly due to increased video ringtone subscription revenue in Malaysia ($312 thousand in 2011, compared to the $94 thousand in 2010), and the United Arab Emirates ($90 thousand in 2011, compared to the $54 thousand in 2010), development of Facetones™ ($75 thousand recognized in 2011), development of Fan Loyalty application ($80 thousand recognized 2011), Video ReMix platform ($30 thousand recognized in 2011). In the first quarter of 2012, the number of subscribers in Malaysia was reduced due to system updates of recycled numbers from the regulated carrier database. We do not expect this change to have a material effect on our future revenue.</w:t>
      </w:r>
    </w:p>
    <w:p>
      <w:pPr>
        <w:spacing w:after="0" w:line="189"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6"/>
          <w:szCs w:val="16"/>
          <w:color w:val="auto"/>
        </w:rPr>
        <w:t>At the end of 2009 we commenced monetization of our subscription service by launching with carriers primarily in Malaysia and Armenia. As a result, the increase in revenue in 2010, in the total amount of $191 thousand, was mainly related to revenues from those revenue-sharing agreements. In Malaysia, we recognized $94 thousand (compared to $2 thousand in 2009). In Armenia we recognized $35 thousand (compared to $17 thousand in 2009). In addition, we recorded $54 thousand from subscription service launched in 2010 in the United Arab Emirates.</w:t>
      </w:r>
    </w:p>
    <w:p>
      <w:pPr>
        <w:spacing w:after="0" w:line="154"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From inception through December 31, 2011, we recorded revenues of $949 thousand, which includes $623 thousand from revenue share subscription services, $118 thousand from one-time setup fees, $89 thousand from Facetones™, $80 thousand from Fan Loyalty application formats, $30 thousand from Video ReMix platform and $9 thousand from applications sold.</w:t>
      </w:r>
    </w:p>
    <w:p>
      <w:pPr>
        <w:spacing w:after="0" w:line="181"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We expect to continue to generate a substantial portion of our future revenues from: (i) Facetones™ preloads through the agreement with ZTE, (ii) Facetones™ app, Video ReMix, and Fan Loyalty application platforms, (iii) revenue-sharing agreements in Malaysia, Singapore, United Arab Emirates and UK.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gridSpan w:val="3"/>
          </w:tcPr>
          <w:p>
            <w:pPr>
              <w:jc w:val="right"/>
              <w:ind w:right="5290"/>
              <w:spacing w:after="0"/>
              <w:rPr>
                <w:sz w:val="20"/>
                <w:szCs w:val="20"/>
                <w:color w:val="auto"/>
              </w:rPr>
            </w:pPr>
            <w:r>
              <w:rPr>
                <w:rFonts w:ascii="Arial" w:cs="Arial" w:eastAsia="Arial" w:hAnsi="Arial"/>
                <w:sz w:val="18"/>
                <w:szCs w:val="18"/>
                <w:b w:val="1"/>
                <w:bCs w:val="1"/>
                <w:i w:val="1"/>
                <w:iCs w:val="1"/>
                <w:color w:val="auto"/>
                <w:w w:val="84"/>
              </w:rPr>
              <w:t>Cost of Revenue</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Cumulative</w:t>
            </w: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from inception to</w:t>
            </w:r>
          </w:p>
        </w:tc>
      </w:tr>
      <w:tr>
        <w:trPr>
          <w:trHeight w:val="230"/>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80" w:type="dxa"/>
            <w:vAlign w:val="bottom"/>
            <w:gridSpan w:val="5"/>
          </w:tcPr>
          <w:p>
            <w:pPr>
              <w:jc w:val="center"/>
              <w:ind w:left="10"/>
              <w:spacing w:after="0"/>
              <w:rPr>
                <w:sz w:val="20"/>
                <w:szCs w:val="20"/>
                <w:color w:val="auto"/>
              </w:rPr>
            </w:pPr>
            <w:r>
              <w:rPr>
                <w:rFonts w:ascii="Arial" w:cs="Arial" w:eastAsia="Arial" w:hAnsi="Arial"/>
                <w:sz w:val="18"/>
                <w:szCs w:val="18"/>
                <w:color w:val="auto"/>
                <w:w w:val="89"/>
              </w:rPr>
              <w:t>Year Ended December 31,</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31,</w:t>
            </w:r>
          </w:p>
        </w:tc>
      </w:tr>
      <w:tr>
        <w:trPr>
          <w:trHeight w:val="210"/>
        </w:trPr>
        <w:tc>
          <w:tcPr>
            <w:tcW w:w="5800" w:type="dxa"/>
            <w:vAlign w:val="bottom"/>
            <w:gridSpan w:val="2"/>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3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5140" w:type="dxa"/>
            <w:vAlign w:val="bottom"/>
            <w:shd w:val="clear" w:color="auto" w:fill="CCFFCC"/>
          </w:tcPr>
          <w:p>
            <w:pPr>
              <w:jc w:val="right"/>
              <w:ind w:right="3910"/>
              <w:spacing w:after="0"/>
              <w:rPr>
                <w:sz w:val="20"/>
                <w:szCs w:val="20"/>
                <w:color w:val="auto"/>
              </w:rPr>
            </w:pPr>
            <w:r>
              <w:rPr>
                <w:rFonts w:ascii="Arial" w:cs="Arial" w:eastAsia="Arial" w:hAnsi="Arial"/>
                <w:sz w:val="18"/>
                <w:szCs w:val="18"/>
                <w:color w:val="auto"/>
                <w:w w:val="88"/>
              </w:rPr>
              <w:t>Cost of revenue</w:t>
            </w:r>
          </w:p>
        </w:tc>
        <w:tc>
          <w:tcPr>
            <w:tcW w:w="800" w:type="dxa"/>
            <w:vAlign w:val="bottom"/>
            <w:shd w:val="clear" w:color="auto" w:fill="CCFFCC"/>
          </w:tcPr>
          <w:p>
            <w:pPr>
              <w:spacing w:after="0"/>
              <w:rPr>
                <w:sz w:val="19"/>
                <w:szCs w:val="19"/>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FFCC"/>
          </w:tcPr>
          <w:p>
            <w:pPr>
              <w:spacing w:after="0"/>
              <w:rPr>
                <w:sz w:val="19"/>
                <w:szCs w:val="19"/>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366</w:t>
            </w:r>
          </w:p>
        </w:tc>
      </w:tr>
      <w:tr>
        <w:trPr>
          <w:trHeight w:val="20"/>
        </w:trPr>
        <w:tc>
          <w:tcPr>
            <w:tcW w:w="660" w:type="dxa"/>
            <w:vAlign w:val="bottom"/>
          </w:tcPr>
          <w:p>
            <w:pPr>
              <w:spacing w:after="0" w:line="20" w:lineRule="exact"/>
              <w:rPr>
                <w:sz w:val="1"/>
                <w:szCs w:val="1"/>
                <w:color w:val="auto"/>
              </w:rPr>
            </w:pPr>
          </w:p>
        </w:tc>
        <w:tc>
          <w:tcPr>
            <w:tcW w:w="514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During the year ended December 31, 2011 our cost of revenue was $155 thousand, which represents an increase of $180 thousand (-14%) from our cost of revenue for the year ended December 31, 2010. Our cost of revenue is mainly comprised of cost of services related to the provision of content to end-users and cost of hosted servers needed to support our service in markets where we have launched our product. The decrease in cost of revenue recorded year ended December 31, 2011, compared with year ended December 31, 2010, is mainly related to a decrease in content purchases and content related amortization expenses.</w:t>
      </w:r>
    </w:p>
    <w:p>
      <w:pPr>
        <w:spacing w:after="0" w:line="188"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We commenced monetization of our subscription service model at the end of 2009. As a result, cost of revenue recorded in 2010 increased by 481%, or $149 thousand, compared to 2009.</w:t>
      </w:r>
    </w:p>
    <w:p>
      <w:pPr>
        <w:spacing w:after="0" w:line="170"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We expect that cost of revenue will increase over time, as we diversify the portfolio of our products. As some of these costs are fixed irrespective of our revenues, we expect our gross margin to increase, as our revenues increase.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6560" w:type="dxa"/>
            <w:vAlign w:val="bottom"/>
            <w:gridSpan w:val="3"/>
          </w:tcPr>
          <w:p>
            <w:pPr>
              <w:jc w:val="right"/>
              <w:ind w:right="4430"/>
              <w:spacing w:after="0"/>
              <w:rPr>
                <w:sz w:val="20"/>
                <w:szCs w:val="20"/>
                <w:color w:val="auto"/>
              </w:rPr>
            </w:pPr>
            <w:r>
              <w:rPr>
                <w:rFonts w:ascii="Arial" w:cs="Arial" w:eastAsia="Arial" w:hAnsi="Arial"/>
                <w:sz w:val="18"/>
                <w:szCs w:val="18"/>
                <w:b w:val="1"/>
                <w:bCs w:val="1"/>
                <w:i w:val="1"/>
                <w:iCs w:val="1"/>
                <w:color w:val="auto"/>
                <w:w w:val="85"/>
              </w:rPr>
              <w:t>Research and Development</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Cumulative</w:t>
            </w: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3"/>
              </w:rPr>
              <w:t>from inception to</w:t>
            </w:r>
          </w:p>
        </w:tc>
      </w:tr>
      <w:tr>
        <w:trPr>
          <w:trHeight w:val="230"/>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60" w:type="dxa"/>
            <w:vAlign w:val="bottom"/>
            <w:gridSpan w:val="5"/>
          </w:tcPr>
          <w:p>
            <w:pPr>
              <w:jc w:val="center"/>
              <w:ind w:left="50"/>
              <w:spacing w:after="0"/>
              <w:rPr>
                <w:sz w:val="20"/>
                <w:szCs w:val="20"/>
                <w:color w:val="auto"/>
              </w:rPr>
            </w:pPr>
            <w:r>
              <w:rPr>
                <w:rFonts w:ascii="Arial" w:cs="Arial" w:eastAsia="Arial" w:hAnsi="Arial"/>
                <w:sz w:val="18"/>
                <w:szCs w:val="18"/>
                <w:color w:val="auto"/>
                <w:w w:val="89"/>
              </w:rPr>
              <w:t>Year Ended December 31,</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31,</w:t>
            </w:r>
          </w:p>
        </w:tc>
      </w:tr>
      <w:tr>
        <w:trPr>
          <w:trHeight w:val="210"/>
        </w:trPr>
        <w:tc>
          <w:tcPr>
            <w:tcW w:w="5800" w:type="dxa"/>
            <w:vAlign w:val="bottom"/>
            <w:gridSpan w:val="2"/>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4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7"/>
              </w:rPr>
              <w:t>U.S.$</w:t>
            </w: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thousands</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5140" w:type="dxa"/>
            <w:vAlign w:val="bottom"/>
            <w:shd w:val="clear" w:color="auto" w:fill="CCFFCC"/>
          </w:tcPr>
          <w:p>
            <w:pPr>
              <w:jc w:val="right"/>
              <w:ind w:right="3110"/>
              <w:spacing w:after="0"/>
              <w:rPr>
                <w:sz w:val="20"/>
                <w:szCs w:val="20"/>
                <w:color w:val="auto"/>
              </w:rPr>
            </w:pPr>
            <w:r>
              <w:rPr>
                <w:rFonts w:ascii="Arial" w:cs="Arial" w:eastAsia="Arial" w:hAnsi="Arial"/>
                <w:sz w:val="18"/>
                <w:szCs w:val="18"/>
                <w:color w:val="auto"/>
                <w:w w:val="87"/>
              </w:rPr>
              <w:t>Research and development</w:t>
            </w:r>
          </w:p>
        </w:tc>
        <w:tc>
          <w:tcPr>
            <w:tcW w:w="760" w:type="dxa"/>
            <w:vAlign w:val="bottom"/>
            <w:shd w:val="clear" w:color="auto" w:fill="CCFFCC"/>
          </w:tcPr>
          <w:p>
            <w:pPr>
              <w:spacing w:after="0"/>
              <w:rPr>
                <w:sz w:val="19"/>
                <w:szCs w:val="19"/>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4"/>
              </w:rPr>
              <w:t>2,017</w:t>
            </w:r>
          </w:p>
        </w:tc>
        <w:tc>
          <w:tcPr>
            <w:tcW w:w="20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2,503</w:t>
            </w:r>
          </w:p>
        </w:tc>
        <w:tc>
          <w:tcPr>
            <w:tcW w:w="24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(486)</w:t>
            </w:r>
          </w:p>
        </w:tc>
        <w:tc>
          <w:tcPr>
            <w:tcW w:w="14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13,371</w:t>
            </w:r>
          </w:p>
        </w:tc>
      </w:tr>
      <w:tr>
        <w:trPr>
          <w:trHeight w:val="20"/>
        </w:trPr>
        <w:tc>
          <w:tcPr>
            <w:tcW w:w="660" w:type="dxa"/>
            <w:vAlign w:val="bottom"/>
          </w:tcPr>
          <w:p>
            <w:pPr>
              <w:spacing w:after="0" w:line="20" w:lineRule="exact"/>
              <w:rPr>
                <w:sz w:val="1"/>
                <w:szCs w:val="1"/>
                <w:color w:val="auto"/>
              </w:rPr>
            </w:pPr>
          </w:p>
        </w:tc>
        <w:tc>
          <w:tcPr>
            <w:tcW w:w="514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6"/>
          <w:szCs w:val="16"/>
          <w:color w:val="auto"/>
        </w:rPr>
        <w:t>Research and development expenses decreased from $2,503 thousand to $2,017 thousand (-19%) during the year ended December 31, 2011, compared to the year ended December 31, 2010. The decrease is primarily due to lower salary and compensation expenses, a result of salary reductions (a decrease of $351 thousand compared to 2010), offset by the effect of a separation agreement signed with one of our officers, and lower consulting costs (a decrease of $170 thousand compared to 2010), all as part of the cost saving plan implemented by us in early 2011.</w:t>
      </w:r>
    </w:p>
    <w:p>
      <w:pPr>
        <w:spacing w:after="0" w:line="154"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Research and development expenses increased from $1,975 thousand to $2,503 thousand (27%) in the year ended December 31, 2010, compared to the year ended December 31, 2009. The increase in 2010 was mainly due to enhanced research and development efforts and increased share based compensation expenses, related to options granted in connection with our IPO in 2010.</w:t>
      </w:r>
    </w:p>
    <w:p>
      <w:pPr>
        <w:spacing w:after="0" w:line="166"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From inception through December 31, 2011, research and development expenses amounted to approximately $13.4 million. Of this amount, approximately $8.7 million was attributed to salaries and related expenses, $0.5 million to share based payments, $2.1 million was attributed to sub-contracting and consulting services, $0.9 million was attributed to operating expenses, $0.3 million was attributed to overhead and $0.9 million was attributed to patent expenses.</w:t>
      </w:r>
    </w:p>
    <w:p>
      <w:pPr>
        <w:spacing w:after="0" w:line="187"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As our business matures and our revenues increase, we expect that our research and development expenses will grow at a slower rate than our corresponding revenues and marketing expenses. We also expect that our compensation costs will increase due to the recording of the expense related to the options granted to management and employees.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Marketing</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Cumulative</w:t>
            </w: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from inception to</w:t>
            </w:r>
          </w:p>
        </w:tc>
      </w:tr>
      <w:tr>
        <w:trPr>
          <w:trHeight w:val="230"/>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880" w:type="dxa"/>
            <w:vAlign w:val="bottom"/>
            <w:gridSpan w:val="5"/>
          </w:tcPr>
          <w:p>
            <w:pPr>
              <w:jc w:val="center"/>
              <w:ind w:left="810"/>
              <w:spacing w:after="0"/>
              <w:rPr>
                <w:sz w:val="20"/>
                <w:szCs w:val="20"/>
                <w:color w:val="auto"/>
              </w:rPr>
            </w:pPr>
            <w:r>
              <w:rPr>
                <w:rFonts w:ascii="Arial" w:cs="Arial" w:eastAsia="Arial" w:hAnsi="Arial"/>
                <w:sz w:val="18"/>
                <w:szCs w:val="18"/>
                <w:color w:val="auto"/>
                <w:w w:val="89"/>
              </w:rPr>
              <w:t>Year Ended December 31,</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31,</w:t>
            </w:r>
          </w:p>
        </w:tc>
      </w:tr>
      <w:tr>
        <w:trPr>
          <w:trHeight w:val="210"/>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32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2010</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5"/>
              </w:rPr>
              <w:t>Change</w:t>
            </w:r>
          </w:p>
        </w:tc>
        <w:tc>
          <w:tcPr>
            <w:tcW w:w="200" w:type="dxa"/>
            <w:vAlign w:val="bottom"/>
          </w:tcPr>
          <w:p>
            <w:pPr>
              <w:spacing w:after="0"/>
              <w:rPr>
                <w:sz w:val="18"/>
                <w:szCs w:val="18"/>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U.S.$</w:t>
            </w:r>
          </w:p>
        </w:tc>
        <w:tc>
          <w:tcPr>
            <w:tcW w:w="180" w:type="dxa"/>
            <w:vAlign w:val="bottom"/>
            <w:tcBorders>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470"/>
              <w:spacing w:after="0"/>
              <w:rPr>
                <w:sz w:val="20"/>
                <w:szCs w:val="20"/>
                <w:color w:val="auto"/>
              </w:rPr>
            </w:pPr>
            <w:r>
              <w:rPr>
                <w:rFonts w:ascii="Arial" w:cs="Arial" w:eastAsia="Arial" w:hAnsi="Arial"/>
                <w:sz w:val="17"/>
                <w:szCs w:val="17"/>
                <w:color w:val="auto"/>
                <w:w w:val="71"/>
              </w:rPr>
              <w:t>thousands</w:t>
            </w:r>
          </w:p>
        </w:tc>
        <w:tc>
          <w:tcPr>
            <w:tcW w:w="200" w:type="dxa"/>
            <w:vAlign w:val="bottom"/>
            <w:tcBorders>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Marketing</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2,193</w:t>
            </w:r>
          </w:p>
        </w:tc>
        <w:tc>
          <w:tcPr>
            <w:tcW w:w="18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ind w:left="740"/>
              <w:spacing w:after="0"/>
              <w:rPr>
                <w:sz w:val="20"/>
                <w:szCs w:val="20"/>
                <w:color w:val="auto"/>
              </w:rPr>
            </w:pPr>
            <w:r>
              <w:rPr>
                <w:rFonts w:ascii="Arial" w:cs="Arial" w:eastAsia="Arial" w:hAnsi="Arial"/>
                <w:sz w:val="18"/>
                <w:szCs w:val="18"/>
                <w:color w:val="auto"/>
                <w:w w:val="84"/>
              </w:rPr>
              <w:t>2,183</w:t>
            </w:r>
          </w:p>
        </w:tc>
        <w:tc>
          <w:tcPr>
            <w:tcW w:w="18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11,211</w:t>
            </w:r>
          </w:p>
        </w:tc>
        <w:tc>
          <w:tcPr>
            <w:tcW w:w="80" w:type="dxa"/>
            <w:vAlign w:val="bottom"/>
            <w:tcBorders>
              <w:bottom w:val="single" w:sz="8" w:color="CCFFCC"/>
            </w:tcBorders>
            <w:shd w:val="clear" w:color="auto" w:fill="CCFFCC"/>
          </w:tcPr>
          <w:p>
            <w:pPr>
              <w:spacing w:after="0"/>
              <w:rPr>
                <w:sz w:val="21"/>
                <w:szCs w:val="21"/>
                <w:color w:val="auto"/>
              </w:rPr>
            </w:pPr>
          </w:p>
        </w:tc>
      </w:tr>
    </w:tbl>
    <w:p>
      <w:pPr>
        <w:spacing w:after="0" w:line="202"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Marketing expenses increased slightly from $2,183 thousand to $2,193 thousand (0%) during the year ended December 31, 2011, compared to the year ended December 31, 2010. The main changes were higher advertising costs, mainly in connection with Facetones™ launch ($498 thousand in 2011 compared to $279 thousand in 2010), offset by a decrease in consulting costs mainly related to the cost saving plan implemented by us in early 2011 ($195 thousand in 2011 compared to $36 thousand in 2010).</w:t>
      </w:r>
    </w:p>
    <w:p>
      <w:pPr>
        <w:spacing w:after="0" w:line="187"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auto"/>
        </w:rPr>
        <w:t>During the year ended December 31, 2010, marketing expenses increased by $431 thousand (25%), to $2,183 thousand, from $1,752 thousand in the year ended December 31, 2009. The growth in our marketing expenses for the year ended December 31, 2010, was in part due to the hiring, in April 2010, of Mr. Perlman, our current CEO, whose efforts are focused on marketing and business development. In addition, the growth relates to the vesting of 2010 options grants for employees, thereby increasing the respective compensation expense. Furthermore, we had an increase in public relations and advertising costs in connection with new commercial launches in 2010.</w:t>
      </w:r>
    </w:p>
    <w:p>
      <w:pPr>
        <w:spacing w:after="0" w:line="173"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From inception through December 31, 2011, marketing expenses amounted to approximately $11.2 million. Of this amount, approximately $5.0 million was attributed to salaries, $1.0 million was attributed to share based payments and related expenses, $2.2 million was attributed to travel and trade shows, $1.6 million was attributed to sub-contracting and consulting services, $1.3 million was attributed to public relations services and customer acquisition expenses and $0.1 million was attributed to overhead expenses.</w:t>
      </w:r>
    </w:p>
    <w:p>
      <w:pPr>
        <w:spacing w:after="0" w:line="187"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A significant portion of our marketing activity relates to the launching of services with our global partners and building a pipeline for further agreements. In addition, we conduct direct-to-consumer marketing activities in countries where we have launched our services to build on the efforts of our partners. While we do not expect to invest heavily in direct-to-consumer marketing activities in the future, we do expect an increase in marketing expenses as we continue launching our service in different global markets. In certain markets, our marketing efforts may include hiring local personnel to introduce us to the market and purchasing rights to certain local content. As our market reach grows, we expect our marketing expenses to continue to increase our visibility to potential partners.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Cumulative</w:t>
            </w: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from inception to</w:t>
            </w:r>
          </w:p>
        </w:tc>
      </w:tr>
      <w:tr>
        <w:trPr>
          <w:trHeight w:val="230"/>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880" w:type="dxa"/>
            <w:vAlign w:val="bottom"/>
            <w:gridSpan w:val="5"/>
          </w:tcPr>
          <w:p>
            <w:pPr>
              <w:jc w:val="center"/>
              <w:ind w:left="810"/>
              <w:spacing w:after="0"/>
              <w:rPr>
                <w:sz w:val="20"/>
                <w:szCs w:val="20"/>
                <w:color w:val="auto"/>
              </w:rPr>
            </w:pPr>
            <w:r>
              <w:rPr>
                <w:rFonts w:ascii="Arial" w:cs="Arial" w:eastAsia="Arial" w:hAnsi="Arial"/>
                <w:sz w:val="18"/>
                <w:szCs w:val="18"/>
                <w:color w:val="auto"/>
                <w:w w:val="89"/>
              </w:rPr>
              <w:t>Year Ended December 31,</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31,</w:t>
            </w:r>
          </w:p>
        </w:tc>
      </w:tr>
      <w:tr>
        <w:trPr>
          <w:trHeight w:val="210"/>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32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2010</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18"/>
                <w:szCs w:val="18"/>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U.S.$</w:t>
            </w:r>
          </w:p>
        </w:tc>
        <w:tc>
          <w:tcPr>
            <w:tcW w:w="180" w:type="dxa"/>
            <w:vAlign w:val="bottom"/>
            <w:tcBorders>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Borders>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2,777</w:t>
            </w:r>
          </w:p>
        </w:tc>
        <w:tc>
          <w:tcPr>
            <w:tcW w:w="180" w:type="dxa"/>
            <w:vAlign w:val="bottom"/>
            <w:shd w:val="clear" w:color="auto" w:fill="CCFFCC"/>
          </w:tcPr>
          <w:p>
            <w:pPr>
              <w:spacing w:after="0"/>
              <w:rPr>
                <w:sz w:val="19"/>
                <w:szCs w:val="19"/>
                <w:color w:val="auto"/>
              </w:rPr>
            </w:pPr>
          </w:p>
        </w:tc>
        <w:tc>
          <w:tcPr>
            <w:tcW w:w="114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4"/>
              </w:rPr>
              <w:t>1,840</w:t>
            </w:r>
          </w:p>
        </w:tc>
        <w:tc>
          <w:tcPr>
            <w:tcW w:w="1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937</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8,269</w:t>
            </w:r>
          </w:p>
        </w:tc>
      </w:tr>
      <w:tr>
        <w:trPr>
          <w:trHeight w:val="20"/>
        </w:trPr>
        <w:tc>
          <w:tcPr>
            <w:tcW w:w="660" w:type="dxa"/>
            <w:vAlign w:val="bottom"/>
          </w:tcPr>
          <w:p>
            <w:pPr>
              <w:spacing w:after="0" w:line="20" w:lineRule="exact"/>
              <w:rPr>
                <w:sz w:val="1"/>
                <w:szCs w:val="1"/>
                <w:color w:val="auto"/>
              </w:rPr>
            </w:pPr>
          </w:p>
        </w:tc>
        <w:tc>
          <w:tcPr>
            <w:tcW w:w="514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auto"/>
        </w:rPr>
        <w:t>General and administrative expenses increased from $1,840 thousand to $2,777 thousand (51%) during the year ended December 31, 2011, compared to the year ended December 31, 2010. The increase was mainly due to higher professional fees connected to aborted merger and acquisition activities, venture loan settlement and December 2011 financing (an increase of $643 thousand compared to 2010), due to increased share-based compensation (an increase of $290 thousand compared to 2010), and increased cost of labor and expenses incurred in connection with being a public company (an increase of $45 thousand compared to 2010).</w:t>
      </w:r>
    </w:p>
    <w:p>
      <w:pPr>
        <w:spacing w:after="0" w:line="173"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During the year ended December 31, 2010, general and administrative expenses increased $272 thousand (17.3%), to $1,840 thousand, from $1,568 thousand in the year ended December 31, 2009. The increase is mostly due to the increase in various professional fees in connection with becoming a public company. In addition, there was an increase of in additional insurance costs for our directors’ and officers’ liability insurance and an increase in compensation expenses due to new option grants in 2010.</w:t>
      </w:r>
    </w:p>
    <w:p>
      <w:pPr>
        <w:spacing w:after="0" w:line="187"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From inception through December 31, 2011, general and administrative expenses totaled approximately $8.3 million. Of this amount, approximately $2.2 million was attributed to salaries and related expenses, $1.6 million was attributed to share based payments, $1.8 million was attributed to various office expenses, $2.1 million was attributed to professional fees and $0.5 million was attributed to depreciation and amortization.</w:t>
      </w:r>
    </w:p>
    <w:p>
      <w:pPr>
        <w:spacing w:after="0" w:line="187"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We expect that our general and administrative expenses will increase, as we expect to incur significant costs in connection with future merger, acquisition and financing activities. These costs will be reflected in increased accounting, legal and insurance costs, as well as, increased costs related to meeting our obligations under the Sarbanes-Oxley Act. We also expect that our compensation costs will increase significantly due to the recording of expense related to management share based compensation.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gridSpan w:val="3"/>
          </w:tcPr>
          <w:p>
            <w:pPr>
              <w:jc w:val="right"/>
              <w:ind w:right="3710"/>
              <w:spacing w:after="0"/>
              <w:rPr>
                <w:sz w:val="20"/>
                <w:szCs w:val="20"/>
                <w:color w:val="auto"/>
              </w:rPr>
            </w:pPr>
            <w:r>
              <w:rPr>
                <w:rFonts w:ascii="Arial" w:cs="Arial" w:eastAsia="Arial" w:hAnsi="Arial"/>
                <w:sz w:val="18"/>
                <w:szCs w:val="18"/>
                <w:b w:val="1"/>
                <w:bCs w:val="1"/>
                <w:i w:val="1"/>
                <w:iCs w:val="1"/>
                <w:color w:val="auto"/>
                <w:w w:val="86"/>
              </w:rPr>
              <w:t>Non-operating income (expense), Net</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Cumulative</w:t>
            </w: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from inception to</w:t>
            </w:r>
          </w:p>
        </w:tc>
      </w:tr>
      <w:tr>
        <w:trPr>
          <w:trHeight w:val="230"/>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00" w:type="dxa"/>
            <w:vAlign w:val="bottom"/>
            <w:gridSpan w:val="5"/>
          </w:tcPr>
          <w:p>
            <w:pPr>
              <w:jc w:val="center"/>
              <w:ind w:left="30"/>
              <w:spacing w:after="0"/>
              <w:rPr>
                <w:sz w:val="20"/>
                <w:szCs w:val="20"/>
                <w:color w:val="auto"/>
              </w:rPr>
            </w:pPr>
            <w:r>
              <w:rPr>
                <w:rFonts w:ascii="Arial" w:cs="Arial" w:eastAsia="Arial" w:hAnsi="Arial"/>
                <w:sz w:val="18"/>
                <w:szCs w:val="18"/>
                <w:color w:val="auto"/>
                <w:w w:val="89"/>
              </w:rPr>
              <w:t>Year Ended December 31,</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31,</w:t>
            </w:r>
          </w:p>
        </w:tc>
      </w:tr>
      <w:tr>
        <w:trPr>
          <w:trHeight w:val="210"/>
        </w:trPr>
        <w:tc>
          <w:tcPr>
            <w:tcW w:w="5800" w:type="dxa"/>
            <w:vAlign w:val="bottom"/>
            <w:gridSpan w:val="2"/>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3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93"/>
              </w:rPr>
              <w:t>U.S.$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5140" w:type="dxa"/>
            <w:vAlign w:val="bottom"/>
            <w:shd w:val="clear" w:color="auto" w:fill="CCFFCC"/>
          </w:tcPr>
          <w:p>
            <w:pPr>
              <w:jc w:val="right"/>
              <w:ind w:right="2370"/>
              <w:spacing w:after="0"/>
              <w:rPr>
                <w:sz w:val="20"/>
                <w:szCs w:val="20"/>
                <w:color w:val="auto"/>
              </w:rPr>
            </w:pPr>
            <w:r>
              <w:rPr>
                <w:rFonts w:ascii="Arial" w:cs="Arial" w:eastAsia="Arial" w:hAnsi="Arial"/>
                <w:sz w:val="18"/>
                <w:szCs w:val="18"/>
                <w:color w:val="auto"/>
                <w:w w:val="89"/>
              </w:rPr>
              <w:t>Non-operating income (expense), net</w:t>
            </w:r>
          </w:p>
        </w:tc>
        <w:tc>
          <w:tcPr>
            <w:tcW w:w="780" w:type="dxa"/>
            <w:vAlign w:val="bottom"/>
            <w:shd w:val="clear" w:color="auto" w:fill="CCFFCC"/>
          </w:tcPr>
          <w:p>
            <w:pPr>
              <w:spacing w:after="0"/>
              <w:rPr>
                <w:sz w:val="19"/>
                <w:szCs w:val="19"/>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5"/>
              </w:rPr>
              <w:t>(965)</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(3,412)</w:t>
            </w:r>
          </w:p>
        </w:tc>
        <w:tc>
          <w:tcPr>
            <w:tcW w:w="24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(2,447)</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(5,159)</w:t>
            </w:r>
          </w:p>
        </w:tc>
      </w:tr>
      <w:tr>
        <w:trPr>
          <w:trHeight w:val="20"/>
        </w:trPr>
        <w:tc>
          <w:tcPr>
            <w:tcW w:w="660" w:type="dxa"/>
            <w:vAlign w:val="bottom"/>
          </w:tcPr>
          <w:p>
            <w:pPr>
              <w:spacing w:after="0" w:line="20" w:lineRule="exact"/>
              <w:rPr>
                <w:sz w:val="1"/>
                <w:szCs w:val="1"/>
                <w:color w:val="auto"/>
              </w:rPr>
            </w:pPr>
          </w:p>
        </w:tc>
        <w:tc>
          <w:tcPr>
            <w:tcW w:w="51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During the year ended December 31, 2011, we recorded net non-operating expense in the amount of $1.0 million, compared to a net non-operating expense in the amount of $ 3.4 million, in the year ended December 31, 2010.</w:t>
      </w:r>
    </w:p>
    <w:p>
      <w:pPr>
        <w:spacing w:after="0" w:line="170"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During the year ended December 31, 2011, we recorded $1.0 million income in connection with the settlement of the venture loan. This income was offset by non-operating expense of approximately $0.4 million recorded in connection with the revaluation of the Special Bridge Warrants and the Conversion Warrants and $1.5 million recorded in connection with interest and amortization of a discount on the venture loan and the Convertible Notes (including the recording of an additional beneficial conversion feature on the Convertible Notes).</w:t>
      </w:r>
    </w:p>
    <w:p>
      <w:pPr>
        <w:spacing w:after="0" w:line="171"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7"/>
          <w:szCs w:val="17"/>
          <w:color w:val="auto"/>
        </w:rPr>
        <w:t>During 2010, we recorded non-operating expense, net in the amount of $3.4 million, primarily due to the recording of the Bridge Notes, issued on December 29, 2009, at their residual value at the closing of Bridge Financing, pursuant to which we recorded additional interest costs for the bridge notes of $1.1 million. In addition, as a result of the conversion of the Bridge Notes we recorded an additional interest expense of approximately $1.1 million on account of the beneficial conversion feature from the loan and an additional $0.1 million on account of the additional Special Bridge Warrants issued to investors in the Bridge Financing, in addition to the original 795,200 such warrants issued upon the closing of Bridge Financing. Additional interest expense on account of the loan amortization of $0.3 million in addition to the interest expense recorded for the venture loan was also recorded in this period. In connection with the granting of the lead investor warrants we recorded additional interest expense of $1.3 million. We also recorded approximately $0.1 million of interest expense for bridge notes and approximately $0.4 million of interest expense for the venture loan. In addition, we recorded $1.0 million income in connection with the adjustment of the fair value of the Special Bridge Warrants and Conversion Warrants.</w:t>
      </w:r>
    </w:p>
    <w:p>
      <w:pPr>
        <w:spacing w:after="0" w:line="178"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During 2009, we recorded non-operating expenses primarily in connection with interest on venture loan. In addition, we recorded a loss of $0.18 million on extinguished debt from the modification of the terms of the venture loan in December 2009.</w:t>
      </w:r>
    </w:p>
    <w:p>
      <w:pPr>
        <w:spacing w:after="0" w:line="170"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8"/>
          <w:szCs w:val="18"/>
          <w:color w:val="auto"/>
        </w:rPr>
        <w:t>From inception through December 31, 2011, non-operating expense totaled approximately $5.2 million. This amount included: income from interest on deposits of $0.2 million, interest expense on venture loan of $1.6 million, $0.1 million of debt extinguishment expense related to the Series B Convertible Preferred Stock, $0.2 million of debt extinguishment expenses as a result of the loan modification agreement with SVB/Gold Hill, $1.0 million of additional interest expense as a result of the conversion of the convertible loan, $0.3 million of warrant amortization and $1.1 million of additional interest expense from the bridge notes, $1.3 million as additional interest expense for warrants granted to lead investors of the Bridge Financing, $1.0 million income in connection with the settlement of the venture loan, and non-operating income of $0.6 million for the adjustment of the fair value of the Special Bridge Warrants and the Conversion Warrants, and $1.3 million expense recorded in connection with amortization of discount on Convertible 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0" w:gutter="0" w:footer="0" w:header="0"/>
        </w:sectPr>
      </w:pPr>
    </w:p>
    <w:bookmarkStart w:id="25" w:name="page26"/>
    <w:bookmarkEnd w:id="25"/>
    <w:p>
      <w:pPr>
        <w:jc w:val="both"/>
        <w:ind w:left="660" w:firstLine="648"/>
        <w:spacing w:after="0" w:line="273" w:lineRule="auto"/>
        <w:rPr>
          <w:sz w:val="20"/>
          <w:szCs w:val="20"/>
          <w:color w:val="auto"/>
        </w:rPr>
      </w:pPr>
      <w:r>
        <w:rPr>
          <w:rFonts w:ascii="Arial" w:cs="Arial" w:eastAsia="Arial" w:hAnsi="Arial"/>
          <w:sz w:val="17"/>
          <w:szCs w:val="17"/>
          <w:color w:val="auto"/>
        </w:rPr>
        <w:t>We expect that our non-operating expenses will remain high and volatile, as we continue to fund our operations through additional financing. In particular, non-operating expenses will be affected by the adjustments to fair value of our derivative instruments. Fair value of these derivative instruments depends on variety of assumptions, such as estimations regarding triggering of down-round protection and estimated future share price. An estimated increase in the price of our common stock increases the value of the warrants and thus results in a loss on our statement of operations. In addition, high estimated probability of a down round protection, increases the value of the warrants and again results in a loss on our statement of operations. Also see Note 11 to the accompanying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Cumulative</w:t>
            </w:r>
          </w:p>
        </w:tc>
      </w:tr>
      <w:tr>
        <w:trPr>
          <w:trHeight w:val="216"/>
        </w:trPr>
        <w:tc>
          <w:tcPr>
            <w:tcW w:w="5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from inception to</w:t>
            </w:r>
          </w:p>
        </w:tc>
      </w:tr>
      <w:tr>
        <w:trPr>
          <w:trHeight w:val="230"/>
        </w:trPr>
        <w:tc>
          <w:tcPr>
            <w:tcW w:w="5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40" w:type="dxa"/>
            <w:vAlign w:val="bottom"/>
            <w:gridSpan w:val="5"/>
          </w:tcPr>
          <w:p>
            <w:pPr>
              <w:ind w:left="100"/>
              <w:spacing w:after="0"/>
              <w:rPr>
                <w:sz w:val="20"/>
                <w:szCs w:val="20"/>
                <w:color w:val="auto"/>
              </w:rPr>
            </w:pPr>
            <w:r>
              <w:rPr>
                <w:rFonts w:ascii="Arial" w:cs="Arial" w:eastAsia="Arial" w:hAnsi="Arial"/>
                <w:sz w:val="18"/>
                <w:szCs w:val="18"/>
                <w:color w:val="auto"/>
                <w:w w:val="90"/>
              </w:rPr>
              <w:t>Year Ended December 31,</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31,</w:t>
            </w:r>
          </w:p>
        </w:tc>
      </w:tr>
      <w:tr>
        <w:trPr>
          <w:trHeight w:val="210"/>
        </w:trPr>
        <w:tc>
          <w:tcPr>
            <w:tcW w:w="5140" w:type="dxa"/>
            <w:vAlign w:val="bottom"/>
          </w:tcPr>
          <w:p>
            <w:pPr>
              <w:spacing w:after="0"/>
              <w:rPr>
                <w:sz w:val="18"/>
                <w:szCs w:val="18"/>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2010</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5"/>
              </w:rPr>
              <w:t>Change</w:t>
            </w:r>
          </w:p>
        </w:tc>
        <w:tc>
          <w:tcPr>
            <w:tcW w:w="200" w:type="dxa"/>
            <w:vAlign w:val="bottom"/>
          </w:tcPr>
          <w:p>
            <w:pPr>
              <w:spacing w:after="0"/>
              <w:rPr>
                <w:sz w:val="18"/>
                <w:szCs w:val="18"/>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8"/>
                <w:szCs w:val="18"/>
                <w:color w:val="auto"/>
              </w:rPr>
            </w:pPr>
          </w:p>
        </w:tc>
      </w:tr>
      <w:tr>
        <w:trPr>
          <w:trHeight w:val="210"/>
        </w:trPr>
        <w:tc>
          <w:tcPr>
            <w:tcW w:w="5140" w:type="dxa"/>
            <w:vAlign w:val="bottom"/>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470"/>
              <w:spacing w:after="0"/>
              <w:rPr>
                <w:sz w:val="20"/>
                <w:szCs w:val="20"/>
                <w:color w:val="auto"/>
              </w:rPr>
            </w:pPr>
            <w:r>
              <w:rPr>
                <w:rFonts w:ascii="Arial" w:cs="Arial" w:eastAsia="Arial" w:hAnsi="Arial"/>
                <w:sz w:val="17"/>
                <w:szCs w:val="17"/>
                <w:color w:val="auto"/>
                <w:w w:val="71"/>
              </w:rPr>
              <w:t>thousands</w:t>
            </w:r>
          </w:p>
        </w:tc>
        <w:tc>
          <w:tcPr>
            <w:tcW w:w="200" w:type="dxa"/>
            <w:vAlign w:val="bottom"/>
            <w:tcBorders>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140" w:type="dxa"/>
            <w:vAlign w:val="bottom"/>
            <w:tcBorders>
              <w:bottom w:val="single" w:sz="8" w:color="CCFFCC"/>
            </w:tcBorders>
            <w:shd w:val="clear" w:color="auto" w:fill="CCFFCC"/>
          </w:tcPr>
          <w:p>
            <w:pPr>
              <w:ind w:left="640"/>
              <w:spacing w:after="0"/>
              <w:rPr>
                <w:sz w:val="20"/>
                <w:szCs w:val="20"/>
                <w:color w:val="auto"/>
              </w:rPr>
            </w:pPr>
            <w:r>
              <w:rPr>
                <w:rFonts w:ascii="Arial" w:cs="Arial" w:eastAsia="Arial" w:hAnsi="Arial"/>
                <w:sz w:val="18"/>
                <w:szCs w:val="18"/>
                <w:color w:val="auto"/>
              </w:rPr>
              <w:t>Taxes on income</w:t>
            </w:r>
          </w:p>
        </w:tc>
        <w:tc>
          <w:tcPr>
            <w:tcW w:w="840" w:type="dxa"/>
            <w:vAlign w:val="bottom"/>
            <w:tcBorders>
              <w:bottom w:val="single" w:sz="8" w:color="auto"/>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ind w:left="120"/>
              <w:spacing w:after="0"/>
              <w:rPr>
                <w:sz w:val="20"/>
                <w:szCs w:val="20"/>
                <w:color w:val="auto"/>
              </w:rPr>
            </w:pPr>
            <w:r>
              <w:rPr>
                <w:rFonts w:ascii="Arial" w:cs="Arial" w:eastAsia="Arial" w:hAnsi="Arial"/>
                <w:sz w:val="18"/>
                <w:szCs w:val="18"/>
                <w:color w:val="auto"/>
                <w:w w:val="79"/>
              </w:rPr>
              <w:t>90</w:t>
            </w:r>
          </w:p>
        </w:tc>
        <w:tc>
          <w:tcPr>
            <w:tcW w:w="18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bottom w:val="single" w:sz="8" w:color="CCFFCC"/>
            </w:tcBorders>
            <w:shd w:val="clear" w:color="auto" w:fill="CCFFCC"/>
          </w:tcPr>
          <w:p>
            <w:pPr>
              <w:spacing w:after="0"/>
              <w:rPr>
                <w:sz w:val="21"/>
                <w:szCs w:val="21"/>
                <w:color w:val="auto"/>
              </w:rPr>
            </w:pPr>
          </w:p>
        </w:tc>
      </w:tr>
    </w:tbl>
    <w:p>
      <w:pPr>
        <w:spacing w:after="0" w:line="202"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6"/>
          <w:szCs w:val="16"/>
          <w:color w:val="auto"/>
        </w:rPr>
        <w:t>During the year ended December 31, 2011, we recorded income tax expense in the total amount of $90 thousand, which reflects an increase of $55 thousand compared to tax expense of $35 thousand recorded in the year ended December 31, 2010. In addition, income tax expense recorded during the year ended December 31, 2010, which reflects a decrease of $38 thousand compared to tax expense of $73 thousand recorded in the year ended December 31, 2009. Taxes on income are mainly due to taxable profits generated by our subsidiary, as a result of the intercompany cost plus agreement between us and the subsidiary, whereby the subsidiary performs development and other services for us and is reimbursed for its expenses plus 8%. In addition, during the year ended December 31, 2011 and 2010, we recorded income tax expense of $35 thousand and $5 thousand, respectively, in connection with tax withheld at source by our partner in Malaysia, which we do not expect to be reclaimed.</w:t>
      </w:r>
    </w:p>
    <w:p>
      <w:pPr>
        <w:spacing w:after="0" w:line="167"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From inception through December 31, 2011, income tax expense totaled $119 thousand. We expect tax expense to increase as our business grows and as our subsidiary continues to profit from the cost plus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60" w:firstLine="648"/>
        <w:spacing w:after="0" w:line="297" w:lineRule="auto"/>
        <w:rPr>
          <w:sz w:val="20"/>
          <w:szCs w:val="20"/>
          <w:color w:val="auto"/>
        </w:rPr>
      </w:pPr>
      <w:r>
        <w:rPr>
          <w:rFonts w:ascii="Arial" w:cs="Arial" w:eastAsia="Arial" w:hAnsi="Arial"/>
          <w:sz w:val="16"/>
          <w:szCs w:val="16"/>
          <w:color w:val="auto"/>
        </w:rPr>
        <w:t>As of December 31, 2011, we had a cash balance of $1.2 million and $1million in net working capital. The decrease of $4.2 million in our cash balance from December 31, 2010, was mainly due to cash used by us in our business operations ($ 5.4million) and venture loan repayment ($2.1 million), offset by the receipt of the funds from the Convertible Notes ($2.5 million) and the December 2011 financing ($0.85 million). As of December 31, 2011, our total deficit in stockholders' equity was $1.2 million, mainly due to continued operating deficits from inception to date, and partially due to the classification of the Special Bridge Warrants and the Conversion Warrants as derivative liabilities rather than equity securities.</w:t>
      </w:r>
    </w:p>
    <w:p>
      <w:pPr>
        <w:spacing w:after="0" w:line="158"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auto"/>
        </w:rPr>
        <w:t>During February 2012, approximately 90% of the then outstanding Special Bridge and Conversion Warrants, previously classified as a long-term liability, were exercised for an aggregate amount of $3.6 million. In addition, as part of the transaction, certain holders of the exercised warrants were granted with additional warrants to purchase approximately 2.66 million of our shares. According to a preliminary estimation, the total effect, including the offsetting impact of classification of some of above-mentioned warrants as a long-term liability (see Note 17 to the accompanying financial statements), is an increase of approximately $4.1 million in our total stockholder’s equity.</w:t>
      </w:r>
    </w:p>
    <w:p>
      <w:pPr>
        <w:spacing w:after="0" w:line="173"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The continuation of our business, as a going concern is dependent upon the successful consummation of our Merger with Innovate/Protect, or similar merger or acquisition, financing, and upon the further development of our products. There can be no assurance, however, that any such opportunities will materialize.</w:t>
      </w:r>
    </w:p>
    <w:p>
      <w:pPr>
        <w:spacing w:after="0" w:line="181"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We anticipate that we will continue to issue equity and/or debt securities as a source of liquidity, when needed, until we generate positive cash flow to support our operations. We cannot give any assurance that the necessary capital will be raised or that, if funds are raised, it will be on favorable terms. Any future sales of securities to finance our operations may require stockholder approval and will dilute existing stockholders' ownership. We cannot guarantee when or if we will ever generate positive cash flow.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Cumulative</w:t>
            </w:r>
          </w:p>
        </w:tc>
      </w:t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from inception</w:t>
            </w:r>
          </w:p>
        </w:tc>
      </w:tr>
      <w:tr>
        <w:trPr>
          <w:trHeight w:val="230"/>
        </w:trPr>
        <w:tc>
          <w:tcPr>
            <w:tcW w:w="5620" w:type="dxa"/>
            <w:vAlign w:val="bottom"/>
          </w:tcPr>
          <w:p>
            <w:pPr>
              <w:spacing w:after="0"/>
              <w:rPr>
                <w:sz w:val="20"/>
                <w:szCs w:val="20"/>
                <w:color w:val="auto"/>
              </w:rPr>
            </w:pPr>
          </w:p>
        </w:tc>
        <w:tc>
          <w:tcPr>
            <w:tcW w:w="3200" w:type="dxa"/>
            <w:vAlign w:val="bottom"/>
            <w:gridSpan w:val="5"/>
          </w:tcPr>
          <w:p>
            <w:pPr>
              <w:ind w:left="1180"/>
              <w:spacing w:after="0"/>
              <w:rPr>
                <w:sz w:val="20"/>
                <w:szCs w:val="20"/>
                <w:color w:val="auto"/>
              </w:rPr>
            </w:pPr>
            <w:r>
              <w:rPr>
                <w:rFonts w:ascii="Arial" w:cs="Arial" w:eastAsia="Arial" w:hAnsi="Arial"/>
                <w:sz w:val="18"/>
                <w:szCs w:val="18"/>
                <w:color w:val="auto"/>
                <w:w w:val="94"/>
              </w:rPr>
              <w:t>Year ended December 31,</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to December 31,</w:t>
            </w:r>
          </w:p>
        </w:tc>
      </w:tr>
      <w:tr>
        <w:trPr>
          <w:trHeight w:val="210"/>
        </w:trPr>
        <w:tc>
          <w:tcPr>
            <w:tcW w:w="56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2010</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U.S.$</w:t>
            </w:r>
          </w:p>
        </w:tc>
        <w:tc>
          <w:tcPr>
            <w:tcW w:w="14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w w:val="77"/>
              </w:rPr>
              <w:t>thousands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(5,380)</w:t>
            </w:r>
          </w:p>
        </w:tc>
        <w:tc>
          <w:tcPr>
            <w:tcW w:w="15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(6,361)</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(981)</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(29,303)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2,499</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(2,505)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(606)</w:t>
            </w:r>
          </w:p>
        </w:tc>
      </w:tr>
      <w:tr>
        <w:trPr>
          <w:trHeight w:val="256"/>
        </w:trPr>
        <w:tc>
          <w:tcPr>
            <w:tcW w:w="56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1,198</w:t>
            </w:r>
          </w:p>
        </w:tc>
        <w:tc>
          <w:tcPr>
            <w:tcW w:w="240" w:type="dxa"/>
            <w:vAlign w:val="bottom"/>
            <w:tcBorders>
              <w:bottom w:val="single" w:sz="8" w:color="CCFFCC"/>
            </w:tcBorders>
            <w:shd w:val="clear" w:color="auto" w:fill="CCFFCC"/>
          </w:tcPr>
          <w:p>
            <w:pPr>
              <w:spacing w:after="0"/>
              <w:rPr>
                <w:sz w:val="22"/>
                <w:szCs w:val="22"/>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8,520</w:t>
            </w:r>
          </w:p>
        </w:tc>
        <w:tc>
          <w:tcPr>
            <w:tcW w:w="2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auto"/>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7,322</w:t>
            </w: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31,160</w:t>
            </w:r>
          </w:p>
        </w:tc>
        <w:tc>
          <w:tcPr>
            <w:tcW w:w="100" w:type="dxa"/>
            <w:vAlign w:val="bottom"/>
            <w:tcBorders>
              <w:bottom w:val="single" w:sz="8" w:color="CCFFCC"/>
            </w:tcBorders>
            <w:shd w:val="clear" w:color="auto" w:fill="CCFFCC"/>
          </w:tcPr>
          <w:p>
            <w:pPr>
              <w:spacing w:after="0"/>
              <w:rPr>
                <w:sz w:val="22"/>
                <w:szCs w:val="2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6"/>
          <w:szCs w:val="16"/>
          <w:color w:val="auto"/>
        </w:rPr>
        <w:t>During the year ended December 31, 2011, net cash used in operating activities totaled $5.4 million. During the year ended December 31, 2010, net cash used in operating activities totaled $6.4 million. The $1.1 million decrease in net cash used in operating activities was primarily due to increase in revenue and a reduction in workforce related costs, in connection with the cost reduction plan implemented in the early part of 2011.</w:t>
      </w:r>
    </w:p>
    <w:p>
      <w:pPr>
        <w:spacing w:after="0" w:line="147"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During the year ended December 31, 2009, net cash used in operating activities totaled $4.8 million. The increase of $1.6 million used in operating activities, compared to 2009, was mainly due to payments to service providers in connection with our IPO, and other payments made in connection with becoming a public company. These costs included: auditors fees, increased directors insurance and legal counsel.</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 expect our net cash used in operating activities to decrease in the future, as we move towards greater revenue generation.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During the year ended December 31, 2011, net cash used in investing activities totaled $6 thousand. These included a decrease in restricted deposit in the total amount of $21 thousand and asset purchases in 2011, in the total amount of $27 thousand. Fixed asset purchases in the year ended December 31, 2010 amounted to $86 thousand compared to $34 thousand for the year ended December 31, 2009. The increase in fixed asset purchases in 2010 was due to the need to replace certain fixed assets that had fully depreciated and to improve the servers in the research and development facility of our Israeli subsidiary.</w:t>
      </w:r>
    </w:p>
    <w:p>
      <w:pPr>
        <w:spacing w:after="0" w:line="188"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During the year ended December 31, 2010, net cash provided by investing activities totaled $2.5 million. During the year ended December 31, 2009, net cash used in investing activities totaled $2.6 million. This increase of $5.1 million provided by investing activities is primarily due to the release of proceeds from the bridge financing from escrow, which was slightly offset by the purchase of fixed assets.</w:t>
      </w:r>
    </w:p>
    <w:p>
      <w:pPr>
        <w:spacing w:after="0" w:line="166" w:lineRule="exact"/>
        <w:rPr>
          <w:sz w:val="20"/>
          <w:szCs w:val="20"/>
          <w:color w:val="auto"/>
        </w:rPr>
      </w:pPr>
    </w:p>
    <w:p>
      <w:pPr>
        <w:jc w:val="both"/>
        <w:ind w:left="660" w:right="20" w:firstLine="648"/>
        <w:spacing w:after="0" w:line="342" w:lineRule="auto"/>
        <w:rPr>
          <w:sz w:val="20"/>
          <w:szCs w:val="20"/>
          <w:color w:val="auto"/>
        </w:rPr>
      </w:pPr>
      <w:r>
        <w:rPr>
          <w:rFonts w:ascii="Arial" w:cs="Arial" w:eastAsia="Arial" w:hAnsi="Arial"/>
          <w:sz w:val="16"/>
          <w:szCs w:val="16"/>
          <w:color w:val="auto"/>
        </w:rPr>
        <w:t>We expect that net cash used in investing activities will mildly increase as we intend to continue to upgrade our computers and software in 2012. Moreover, as our service continues to grow, we will need to increase our server capacity to meet the needs of our customers.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660" w:firstLine="705"/>
        <w:spacing w:after="0" w:line="259" w:lineRule="auto"/>
        <w:rPr>
          <w:sz w:val="20"/>
          <w:szCs w:val="20"/>
          <w:color w:val="auto"/>
        </w:rPr>
      </w:pPr>
      <w:r>
        <w:rPr>
          <w:rFonts w:ascii="Arial" w:cs="Arial" w:eastAsia="Arial" w:hAnsi="Arial"/>
          <w:sz w:val="18"/>
          <w:szCs w:val="18"/>
          <w:color w:val="auto"/>
        </w:rPr>
        <w:t>During the year ended December 31, 2011, net cash provided by financing activities totaled $1.2 million, which relates to the repayment and settlement of the venture loan in the total amount of $2.1 million on the one hand, and receipt of proceeds from issuance of Convertible Notes, in the total amount of $2.5 million, plus, receipt of proceeds from December 2011 financing in the total amount of $0.85 million, on the other. See also Notes 8, 9 and 11, to the accompanying financial statements.</w:t>
      </w:r>
    </w:p>
    <w:p>
      <w:pPr>
        <w:spacing w:after="0" w:line="187"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During the year ended December 31, 2010, net cash provided by financing activities totaled $8.5 million, which relates to the net proceeds received as a result of our IPO, partially offset by repayment of principal on the venture loan, in the total amount of $0.8 million.</w:t>
      </w:r>
    </w:p>
    <w:p>
      <w:pPr>
        <w:spacing w:after="0" w:line="147" w:lineRule="exact"/>
        <w:rPr>
          <w:sz w:val="20"/>
          <w:szCs w:val="20"/>
          <w:color w:val="auto"/>
        </w:rPr>
      </w:pPr>
    </w:p>
    <w:p>
      <w:pPr>
        <w:jc w:val="both"/>
        <w:ind w:left="660" w:firstLine="648"/>
        <w:spacing w:after="0" w:line="342" w:lineRule="auto"/>
        <w:rPr>
          <w:sz w:val="20"/>
          <w:szCs w:val="20"/>
          <w:color w:val="auto"/>
        </w:rPr>
      </w:pPr>
      <w:r>
        <w:rPr>
          <w:rFonts w:ascii="Arial" w:cs="Arial" w:eastAsia="Arial" w:hAnsi="Arial"/>
          <w:sz w:val="16"/>
          <w:szCs w:val="16"/>
          <w:color w:val="auto"/>
        </w:rPr>
        <w:t>During the year ended December 31, 2009, net cash provided by financing activities totaled $2.2 million, which relates to issuance of Bridge Notes, in the total amount of $2.98 million, partially offset by repayment of principal on the venture loan, in the total amount of $0.8 million.</w:t>
      </w:r>
    </w:p>
    <w:p>
      <w:pPr>
        <w:spacing w:after="0" w:line="124"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Until we reach profitability, we expect we will continue to explore financing opportunities, through private and public investments and merger and acquisition activity. Other than the proposed merger with Innovate/Protect, we have no specific financing plans at this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2012, we entered into the Merger Agreement with Innovate/Protect. We believe that the Merger, if consummated, will maximize the economic benefits of our intellectual property portfolio, add significant talent in technological innovation, and potentially enhance our opportunities for revenue generation through the monetization of the combined company’s assets. Innovate/Protect is the owner of certain patent assets acquired from Lycos, one of the largest search engine websites of its kind in the mid-late 1990s, including technologies that remain critical to current search platforms. The completion of the Merger is subject to a number of conditions and there can be no assurance that the conditions to the completion of the Merger will be satisfied and the Merger will be consummated.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both"/>
        <w:ind w:firstLine="648"/>
        <w:spacing w:after="0" w:line="302" w:lineRule="auto"/>
        <w:rPr>
          <w:sz w:val="20"/>
          <w:szCs w:val="20"/>
          <w:color w:val="auto"/>
        </w:rPr>
      </w:pPr>
      <w:r>
        <w:rPr>
          <w:rFonts w:ascii="Arial" w:cs="Arial" w:eastAsia="Arial" w:hAnsi="Arial"/>
          <w:sz w:val="16"/>
          <w:szCs w:val="16"/>
          <w:color w:val="auto"/>
        </w:rPr>
        <w:t>In the fourth quarter of 2011, we announced an agreement with ZTE Corporation, the largest handset maker in China and fourth-largest globally, to preload the Facetones™ application on Android handsets, which is scheduled to commence in the second quarter of 2012. As part of the commercial terms of the agreement, these handsets will be sold via mobile phone operators and through various OEM contracts to brand name handset manufacturers. Similar arrangement are being pursued with other handset manufacturers, although there can be no assurance that any such opportunities may arise.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currently in discussions with several potential strategic partners and mobile carriers and we will be pursuing additional agreements over the next 12 to 24 months. In addition, we are continuing to explore further opportunities for strategic business alliances, however, there can be no assurance that any such opportunities may arise, or that any such opportunities will be consummated.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jc w:val="both"/>
        <w:ind w:firstLine="702"/>
        <w:spacing w:after="0" w:line="255"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our significant accounting policies are more fully described in the notes to our consolidated financial statements for the year ended December 31, 2011, we believe the following accounting policies to be the most critical in understanding the judgments and estimates we use in preparing our consolidated financial statements, for the year ended December 31,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account for stock-based awards under FASB ASC718, "</w:t>
      </w:r>
      <w:r>
        <w:rPr>
          <w:rFonts w:ascii="Arial" w:cs="Arial" w:eastAsia="Arial" w:hAnsi="Arial"/>
          <w:sz w:val="18"/>
          <w:szCs w:val="18"/>
          <w:i w:val="1"/>
          <w:iCs w:val="1"/>
          <w:color w:val="auto"/>
        </w:rPr>
        <w:t>Compensation—Stock Compensatio</w:t>
      </w:r>
      <w:r>
        <w:rPr>
          <w:rFonts w:ascii="Arial" w:cs="Arial" w:eastAsia="Arial" w:hAnsi="Arial"/>
          <w:sz w:val="18"/>
          <w:szCs w:val="18"/>
          <w:color w:val="auto"/>
        </w:rPr>
        <w:t>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w:t>
      </w:r>
      <w:r>
        <w:rPr>
          <w:rFonts w:ascii="Arial" w:cs="Arial" w:eastAsia="Arial" w:hAnsi="Arial"/>
          <w:sz w:val="18"/>
          <w:szCs w:val="18"/>
          <w:i w:val="1"/>
          <w:iCs w:val="1"/>
          <w:color w:val="auto"/>
        </w:rPr>
        <w:t>Equity-Based Payments to Non</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Employees</w:t>
      </w:r>
      <w:r>
        <w:rPr>
          <w:rFonts w:ascii="Arial" w:cs="Arial" w:eastAsia="Arial" w:hAnsi="Arial"/>
          <w:sz w:val="18"/>
          <w:szCs w:val="18"/>
          <w:color w:val="auto"/>
        </w:rPr>
        <w:t>" is applied. Under this pronouncement, the measurement date of the option occurs on the earlier of counterparty performance or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determine the fair value of stock options granted to employees, directors and consultants using the Black-Scholes-Merton and the Lattice (for out-of-money option grants to employees and directors)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we estimate our expected stock volatility relying significantly on historical stock volatility from comparable companies.</w:t>
      </w:r>
    </w:p>
    <w:p>
      <w:pPr>
        <w:spacing w:after="0" w:line="15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These option pricing models utilize various inputs and assumptions, which are highly subjective. Had we used different assumptions, our results may have been significantly different. For further information on judgments and assessments used, refer to Note 11 to the accompanying consolidated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29, 2009, we consummated a bridge financing pursuant to which we issued 5% subordinated convertible promissory notes, ("Bridge Notes"), in the aggregate amount of $2.98 million in a private placement, as well as warrants to purchase 795,200 shares of common stock (the "Special Bridge Warrants") (together the "Bridge Financing"). Proceeds from the Bridge Financing were first allocated to the Special Bridge Warrants, which were classified as a derivative liability and recorded at fair value, with the residual amount allocated to the Bridge Notes.</w:t>
      </w:r>
    </w:p>
    <w:p>
      <w:pPr>
        <w:spacing w:after="0" w:line="17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December 1, 2011, we entered into financing agreements which triggered anti-dilution provisions in certain of our outstanding warrants. As a result, the number of shares issuable under certain Special Bridge Warrants increased and the number of Special Bridge Warrants outstanding was adjusted to 2,528,615.</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of December 31, 2011, the Special Bridge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exercisable value remains as under the original terms (to 2,528,615). As of December 31, 2010, Special Bridge Warrants were valued using 52.76% expected volatility, a risk-free interest rate of 1.52%, estimated life of 4 years and no dividend yield. The fair value of the common stock was $2.38. As of December 31, 2011, we estimated 50% probability of such protection being activated in April, 2012. We have estimated the value of the down-round protection using a Monte-Carlo simulation. The following assumptions were used: 70.20% expected volatility, a risk-free interest rate of 0.38%, estimated life of 3 years and no dividend yield. The fair value of the common stock was $0.94. Refer to Notes 10, 11 and 17 to the accompanying consolidated financial statements.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Upon the consummation of the IPO, the Bridge Notes automatically converted into 864,332 shares of common stock and 1,728,664 warrants (the "Conversion Warrants"). The Conversion Warrants have down-round protection clauses, i.e. in a new issuance of common shares at a lower price than the current exercise price, the current exercise price will be adjusted to the new issuance price. The Conversion Warrants were revalued using the Black-Scholes-Merton and the Monte-Carlo models and classified as a derivative long-term liability. The assumptions used in this calculation for the date of the IPO were 54% expected volatility, a risk-free interest rate of 2.1%, estimated life of 5 years and no dividend yield. The fair value of the common stock was estimated at $2.79. These warrants were valued again on December 31, 2010, with the decrease in fair value being recorded as non-operating income. The assumptions used in this calculation were 52.85% expected volatility, a risk-free interest rate of 1.77%, estimated life of 4.47 years and no dividend yield. The fair value of the common stock was estimated at $2.38. At December 31, 2011 we estimated a 50% probability of down-round protection being activated in April, 2012. We have estimated the value of the down-round protection using a Monte-Carlo simulation. The following assumptions were used: 70.98% expected volatility, a risk-free interest rate of 0.52%, estimated life of 3.47 years and no dividend yield. The fair value of the common stock was $0.94. Refer to Notes10, 11 and 17 to the accompanying consolidated financial statements.</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Subsequent to the balance sheet date, between February 6 and February 14, 2012, we entered into agreements with Holders, pursuant to which the Holders exercised 2,274,235 Special Bridge and 1,554,758 Conversion Warrants to purchase an aggregate of 3,828,993 shares of our common stock for aggregate proceeds of $3.6 million. In addition, we issued new warrants to purchase an aggregate of 2,660,922 shares of common stock at an exercise price of $1.76 per share in consideration for the immediate exercise of the warrants (“Reload Warrants”). 1,392,972 of the Reload Warrants bear down-round protection clauses; as a result, they will be classified as a long term derivative liability and recorded at fair value. Fair value, in the total amount of $1.5 million was calculated using the Black-Scholes-Merton and the Monte-Carlo models, using the following assumptions: 72.89% expected volatility, a risk-free interest rate of 0.79%, estimated life of 5 years and no dividend yield. The fair value of the common stock was $1.76. We estimate there is a 30% probability that down-round protection will be activated in September 2012.</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Had we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At December 31, 2011,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ASC 740, "</w:t>
      </w:r>
      <w:r>
        <w:rPr>
          <w:rFonts w:ascii="Arial" w:cs="Arial" w:eastAsia="Arial" w:hAnsi="Arial"/>
          <w:sz w:val="16"/>
          <w:szCs w:val="16"/>
          <w:i w:val="1"/>
          <w:iCs w:val="1"/>
          <w:color w:val="auto"/>
        </w:rPr>
        <w:t>Income Taxes</w:t>
      </w:r>
      <w:r>
        <w:rPr>
          <w:rFonts w:ascii="Arial" w:cs="Arial" w:eastAsia="Arial" w:hAnsi="Arial"/>
          <w:sz w:val="16"/>
          <w:szCs w:val="16"/>
          <w:color w:val="auto"/>
        </w:rPr>
        <w:t>" (formerly FASB Interpretation No. 48, "</w:t>
      </w:r>
      <w:r>
        <w:rPr>
          <w:rFonts w:ascii="Arial" w:cs="Arial" w:eastAsia="Arial" w:hAnsi="Arial"/>
          <w:sz w:val="16"/>
          <w:szCs w:val="16"/>
          <w:i w:val="1"/>
          <w:iCs w:val="1"/>
          <w:color w:val="auto"/>
        </w:rPr>
        <w:t>Accounting for Uncertainty in Income Taxes—an Interpretation of FASB Statement 109</w:t>
      </w:r>
      <w:r>
        <w:rPr>
          <w:rFonts w:ascii="Arial" w:cs="Arial" w:eastAsia="Arial" w:hAnsi="Arial"/>
          <w:sz w:val="16"/>
          <w:szCs w:val="16"/>
          <w:color w:val="auto"/>
        </w:rPr>
        <w:t>"),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December 2011, the Financial Accounting Standards Board (“FASB”) issued ASU No. 2011-11, Balance Sheet (Topic 210): Disclosures about Offsetting Assets and Liabilities.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The new standards are effective for annual periods beginning January 1, 2013, and interim periods within those annual periods. Retrospective application is required. We will implement the provisions of ASU 2011-11 as of January 1, 2013. We do not expect this pronouncement to have a material impact on our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ectPr>
          <w:pgSz w:w="11900" w:h="16838" w:orient="portrait"/>
          <w:cols w:equalWidth="0" w:num="1">
            <w:col w:w="11420"/>
          </w:cols>
          <w:pgMar w:left="240" w:top="881" w:right="239" w:bottom="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We are a smaller reporting company and therefore, we are not required to provide information required by this Item of Form 10-K.</w:t>
      </w:r>
    </w:p>
    <w:p>
      <w:pPr>
        <w:sectPr>
          <w:pgSz w:w="11900" w:h="16838" w:orient="portrait"/>
          <w:cols w:equalWidth="0" w:num="1">
            <w:col w:w="9559"/>
          </w:cols>
          <w:pgMar w:left="90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29210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125" w:right="1440"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Consolidated Financial Statements required by this Item are set forth in Item 15 beginning on page F-1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management, with the participation of our Chief Executive Officer (principal executive officer) and our Chief Financial Officer (principal financial officer), evaluated the effectiveness of our disclosure controls and procedures as of December 31, 2011.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2011, our Chief Executive Officer and Chief Financial Officer concluded that, as of such date, our disclosure controls and procedures were ineffective for the reasons set forth below.</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has identified a material weakness in our disclosure controls and procedures relating to insufficient controls in connection with recognition, valuation and accounting for equity, debt and derivative instruments. We are enhancing our proficiency of the professional literature on these subjects. In addition, we are in the process of remediating this material weakness by broadening the role of external qualified valuation and accounting experts, to allow for our stronger oversight in this area.</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applicable to smaller reporting companies.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responsible for establishing and maintaining adequate internal control over financial reporting in accordance with Exchange Act Rule 13a-</w:t>
      </w:r>
    </w:p>
    <w:p>
      <w:pPr>
        <w:spacing w:after="0" w:line="46" w:lineRule="exact"/>
        <w:rPr>
          <w:sz w:val="20"/>
          <w:szCs w:val="20"/>
          <w:color w:val="auto"/>
        </w:rPr>
      </w:pPr>
    </w:p>
    <w:p>
      <w:pPr>
        <w:jc w:val="both"/>
        <w:ind w:firstLine="8"/>
        <w:spacing w:after="0" w:line="252" w:lineRule="auto"/>
        <w:tabs>
          <w:tab w:leader="none" w:pos="297"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the participation of our Chief Executive Officer (principal executive officer) and our Chief Financial Officer (principal financial officer), our management conducted an evaluation of the effectiveness of our internal control over financial reporting as of December 31, 2011, based on the criteria established in Internal Control-Integrated Framework issued by the Committee of Sponsoring Organizations of the Treadway Commission. Based on this evaluation, management concluded that our internal control over financial reporting was not effective as of December 31, 2011, based on those criteria.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2011, there were no changes in our internal control over financial reporting identified in connection with the evaluation required by paragraph (d) of Rule 13a-15 or Rule 15d-15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32"/>
        </w:trPr>
        <w:tc>
          <w:tcPr>
            <w:tcW w:w="7200" w:type="dxa"/>
            <w:vAlign w:val="bottom"/>
            <w:gridSpan w:val="5"/>
          </w:tcPr>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tc>
        <w:tc>
          <w:tcPr>
            <w:tcW w:w="4220" w:type="dxa"/>
            <w:vAlign w:val="bottom"/>
          </w:tcPr>
          <w:p>
            <w:pPr>
              <w:spacing w:after="0"/>
              <w:rPr>
                <w:sz w:val="24"/>
                <w:szCs w:val="24"/>
                <w:color w:val="auto"/>
              </w:rPr>
            </w:pPr>
          </w:p>
        </w:tc>
      </w:tr>
      <w:tr>
        <w:trPr>
          <w:trHeight w:val="432"/>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330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88"/>
              </w:rPr>
              <w:t>Age</w:t>
            </w:r>
          </w:p>
        </w:tc>
        <w:tc>
          <w:tcPr>
            <w:tcW w:w="422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Position</w:t>
            </w:r>
          </w:p>
        </w:tc>
      </w:tr>
      <w:tr>
        <w:trPr>
          <w:trHeight w:val="210"/>
        </w:trPr>
        <w:tc>
          <w:tcPr>
            <w:tcW w:w="3660" w:type="dxa"/>
            <w:vAlign w:val="bottom"/>
            <w:tcBorders>
              <w:top w:val="single" w:sz="8" w:color="auto"/>
            </w:tcBorders>
            <w:shd w:val="clear" w:color="auto" w:fill="CCFFCC"/>
          </w:tcPr>
          <w:p>
            <w:pPr>
              <w:ind w:left="160"/>
              <w:spacing w:after="0"/>
              <w:rPr>
                <w:sz w:val="20"/>
                <w:szCs w:val="20"/>
                <w:color w:val="auto"/>
              </w:rPr>
            </w:pPr>
            <w:r>
              <w:rPr>
                <w:rFonts w:ascii="Arial" w:cs="Arial" w:eastAsia="Arial" w:hAnsi="Arial"/>
                <w:sz w:val="18"/>
                <w:szCs w:val="18"/>
                <w:color w:val="auto"/>
              </w:rPr>
              <w:t>Seth M. Siegel *(1)(3)</w:t>
            </w:r>
          </w:p>
        </w:tc>
        <w:tc>
          <w:tcPr>
            <w:tcW w:w="240" w:type="dxa"/>
            <w:vAlign w:val="bottom"/>
            <w:tcBorders>
              <w:top w:val="single" w:sz="8" w:color="CCFFCC"/>
            </w:tcBorders>
            <w:shd w:val="clear" w:color="auto" w:fill="CCFFCC"/>
          </w:tcPr>
          <w:p>
            <w:pPr>
              <w:spacing w:after="0"/>
              <w:rPr>
                <w:sz w:val="18"/>
                <w:szCs w:val="18"/>
                <w:color w:val="auto"/>
              </w:rPr>
            </w:pPr>
          </w:p>
        </w:tc>
        <w:tc>
          <w:tcPr>
            <w:tcW w:w="218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58</w:t>
            </w:r>
          </w:p>
        </w:tc>
        <w:tc>
          <w:tcPr>
            <w:tcW w:w="66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4220" w:type="dxa"/>
            <w:vAlign w:val="bottom"/>
            <w:tcBorders>
              <w:top w:val="single" w:sz="8" w:color="auto"/>
            </w:tcBorders>
            <w:shd w:val="clear" w:color="auto" w:fill="CCFFCC"/>
          </w:tcPr>
          <w:p>
            <w:pPr>
              <w:jc w:val="center"/>
              <w:ind w:right="210"/>
              <w:spacing w:after="0"/>
              <w:rPr>
                <w:sz w:val="20"/>
                <w:szCs w:val="20"/>
                <w:color w:val="auto"/>
              </w:rPr>
            </w:pPr>
            <w:r>
              <w:rPr>
                <w:rFonts w:ascii="Arial" w:cs="Arial" w:eastAsia="Arial" w:hAnsi="Arial"/>
                <w:sz w:val="18"/>
                <w:szCs w:val="18"/>
                <w:color w:val="auto"/>
                <w:w w:val="90"/>
              </w:rPr>
              <w:t>Chairman of the Board</w:t>
            </w:r>
          </w:p>
        </w:tc>
      </w:tr>
      <w:tr>
        <w:trPr>
          <w:trHeight w:val="216"/>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Andrew Perlman</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20" w:type="dxa"/>
            <w:vAlign w:val="bottom"/>
          </w:tcPr>
          <w:p>
            <w:pPr>
              <w:jc w:val="center"/>
              <w:ind w:right="210"/>
              <w:spacing w:after="0"/>
              <w:rPr>
                <w:sz w:val="20"/>
                <w:szCs w:val="20"/>
                <w:color w:val="auto"/>
              </w:rPr>
            </w:pPr>
            <w:r>
              <w:rPr>
                <w:rFonts w:ascii="Arial" w:cs="Arial" w:eastAsia="Arial" w:hAnsi="Arial"/>
                <w:sz w:val="18"/>
                <w:szCs w:val="18"/>
                <w:color w:val="auto"/>
                <w:w w:val="92"/>
              </w:rPr>
              <w:t>Chief Executive Officer, President and Director</w:t>
            </w:r>
          </w:p>
        </w:tc>
      </w:tr>
      <w:tr>
        <w:trPr>
          <w:trHeight w:val="216"/>
        </w:trPr>
        <w:tc>
          <w:tcPr>
            <w:tcW w:w="3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Ellen Cohl</w:t>
            </w: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45</w:t>
            </w:r>
          </w:p>
        </w:tc>
        <w:tc>
          <w:tcPr>
            <w:tcW w:w="6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4220" w:type="dxa"/>
            <w:vAlign w:val="bottom"/>
            <w:shd w:val="clear" w:color="auto" w:fill="CCFFCC"/>
          </w:tcPr>
          <w:p>
            <w:pPr>
              <w:jc w:val="center"/>
              <w:ind w:right="210"/>
              <w:spacing w:after="0"/>
              <w:rPr>
                <w:sz w:val="20"/>
                <w:szCs w:val="20"/>
                <w:color w:val="auto"/>
              </w:rPr>
            </w:pPr>
            <w:r>
              <w:rPr>
                <w:rFonts w:ascii="Arial" w:cs="Arial" w:eastAsia="Arial" w:hAnsi="Arial"/>
                <w:sz w:val="18"/>
                <w:szCs w:val="18"/>
                <w:color w:val="auto"/>
                <w:w w:val="92"/>
              </w:rPr>
              <w:t>Chief Finance Officer</w:t>
            </w:r>
          </w:p>
        </w:tc>
      </w:tr>
      <w:tr>
        <w:trPr>
          <w:trHeight w:val="216"/>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Philip Serlin *(2)</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20" w:type="dxa"/>
            <w:vAlign w:val="bottom"/>
          </w:tcPr>
          <w:p>
            <w:pPr>
              <w:jc w:val="center"/>
              <w:ind w:right="210"/>
              <w:spacing w:after="0"/>
              <w:rPr>
                <w:sz w:val="20"/>
                <w:szCs w:val="20"/>
                <w:color w:val="auto"/>
              </w:rPr>
            </w:pPr>
            <w:r>
              <w:rPr>
                <w:rFonts w:ascii="Arial" w:cs="Arial" w:eastAsia="Arial" w:hAnsi="Arial"/>
                <w:sz w:val="18"/>
                <w:szCs w:val="18"/>
                <w:color w:val="auto"/>
                <w:w w:val="95"/>
              </w:rPr>
              <w:t>Director</w:t>
            </w:r>
          </w:p>
        </w:tc>
      </w:tr>
      <w:tr>
        <w:trPr>
          <w:trHeight w:val="216"/>
        </w:trPr>
        <w:tc>
          <w:tcPr>
            <w:tcW w:w="3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John Engelman *</w:t>
            </w: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56</w:t>
            </w:r>
          </w:p>
        </w:tc>
        <w:tc>
          <w:tcPr>
            <w:tcW w:w="6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4220" w:type="dxa"/>
            <w:vAlign w:val="bottom"/>
            <w:shd w:val="clear" w:color="auto" w:fill="CCFFCC"/>
          </w:tcPr>
          <w:p>
            <w:pPr>
              <w:jc w:val="center"/>
              <w:ind w:right="210"/>
              <w:spacing w:after="0"/>
              <w:rPr>
                <w:sz w:val="20"/>
                <w:szCs w:val="20"/>
                <w:color w:val="auto"/>
              </w:rPr>
            </w:pPr>
            <w:r>
              <w:rPr>
                <w:rFonts w:ascii="Arial" w:cs="Arial" w:eastAsia="Arial" w:hAnsi="Arial"/>
                <w:sz w:val="18"/>
                <w:szCs w:val="18"/>
                <w:color w:val="auto"/>
                <w:w w:val="95"/>
              </w:rPr>
              <w:t>Director</w:t>
            </w:r>
          </w:p>
        </w:tc>
      </w:tr>
      <w:tr>
        <w:trPr>
          <w:trHeight w:val="216"/>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Geoffrey M. Skolnik *(2)</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20" w:type="dxa"/>
            <w:vAlign w:val="bottom"/>
          </w:tcPr>
          <w:p>
            <w:pPr>
              <w:jc w:val="center"/>
              <w:ind w:right="210"/>
              <w:spacing w:after="0"/>
              <w:rPr>
                <w:sz w:val="20"/>
                <w:szCs w:val="20"/>
                <w:color w:val="auto"/>
              </w:rPr>
            </w:pPr>
            <w:r>
              <w:rPr>
                <w:rFonts w:ascii="Arial" w:cs="Arial" w:eastAsia="Arial" w:hAnsi="Arial"/>
                <w:sz w:val="18"/>
                <w:szCs w:val="18"/>
                <w:color w:val="auto"/>
                <w:w w:val="95"/>
              </w:rPr>
              <w:t>Director</w:t>
            </w:r>
          </w:p>
        </w:tc>
      </w:tr>
      <w:tr>
        <w:trPr>
          <w:trHeight w:val="216"/>
        </w:trPr>
        <w:tc>
          <w:tcPr>
            <w:tcW w:w="3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Edo Segal</w:t>
            </w: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42</w:t>
            </w:r>
          </w:p>
        </w:tc>
        <w:tc>
          <w:tcPr>
            <w:tcW w:w="6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4220" w:type="dxa"/>
            <w:vAlign w:val="bottom"/>
            <w:shd w:val="clear" w:color="auto" w:fill="CCFFCC"/>
          </w:tcPr>
          <w:p>
            <w:pPr>
              <w:jc w:val="center"/>
              <w:ind w:right="210"/>
              <w:spacing w:after="0"/>
              <w:rPr>
                <w:sz w:val="20"/>
                <w:szCs w:val="20"/>
                <w:color w:val="auto"/>
              </w:rPr>
            </w:pPr>
            <w:r>
              <w:rPr>
                <w:rFonts w:ascii="Arial" w:cs="Arial" w:eastAsia="Arial" w:hAnsi="Arial"/>
                <w:sz w:val="18"/>
                <w:szCs w:val="18"/>
                <w:color w:val="auto"/>
                <w:w w:val="95"/>
              </w:rPr>
              <w:t>Director</w:t>
            </w:r>
          </w:p>
        </w:tc>
      </w:tr>
    </w:tbl>
    <w:p>
      <w:pPr>
        <w:spacing w:after="0" w:line="20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Independent Director</w:t>
      </w:r>
    </w:p>
    <w:p>
      <w:pPr>
        <w:spacing w:after="0" w:line="2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is a brief summary of the background of each of our directors and executive officers. In addition, the following brief summary includes specific information about each director's experience, qualifications, attributes or skills that led the board to the conclusion that the individual is qualified to serve on our board, in light of our business and structure. There are no family relationships among any of the directors or executive officers.</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Seth M. Siegel </w:t>
      </w:r>
      <w:r>
        <w:rPr>
          <w:rFonts w:ascii="Arial" w:cs="Arial" w:eastAsia="Arial" w:hAnsi="Arial"/>
          <w:sz w:val="16"/>
          <w:szCs w:val="16"/>
          <w:color w:val="auto"/>
        </w:rPr>
        <w:t>has served as a director since May 2006 and as chairman of the board since March 2010. Mr. Siegel has been working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and entertainment licensing industry since 1982. Mr. Siegel is a co-founder of The Beanstalk Group, a leading brand licensing agency and consultancy and a part of Omnicon Group Inc. (NYSE:OMC). He continues his relationship with both The Beanstalk Group (as a Vice Chairman) and Omnicom (as a consultant on special projects). He is also, since 2007, co-founder and co-CEO of Sixpoint Partners, a broker/dealer investment banking boutique and provider of financial advisory and alternative investment solutions for private equity funds and middle market companies. Mr. Siegel has advised many Fortune 500 companies in the proper secondary use of their trademarks, trade dress and copyrights, and has served as an adviser and/or as the licensing agent for such leading brand owners as AT&amp;T, IBM, Harley- Davidson, The Stanley Works, Unilever, Ford Motor Company, Chrysler, Hershey Foods, Campbell Soup, The Rubbermaid Group, and Dr. Scholl's. Mr. Siegel has also served as an adviser to and licensing agent for Hanna-Barbera Productions in the retail and promotional licensed applications of its classic characters, including The Flintstones, The Jetsons and Scooby-Doo. Mr. Siegel has lectured throughout the United States and has written articles, opinion pieces, and a criticism for a wide array of publications, including The New York Times Op-Ed page and The Wall Street Journal. From April 1995 to June 2004, he was a regular columnist for Brandweek magazine, addressing a broad range of issues relating to the licensing industry and pop culture. Mr. Siegel has served on the Board of Trustees of the Abraham Joshua Heschel School, including ten years on its Executive Committee. He also served as chairman of the Cornell University Hillel. Mr. Siegel sits on both the Cornell University Council and the Advisory Council of Cornell University's School of Industrial and Labor Relations. He is also a member of the national Board of Directors of AIPAC, a leading foreign policy advocacy organization. Mr. Siegel is also a member of the Council on Foreign Relations. Before his work in the licensing industry, Mr. Siegel practiced law with Frankfurt, Garbus, Klein &amp; Selz (now Frankfurt, Kurnit, Klein &amp; Selz), an entertainment and constitutional law firm in New York. Mr. Siegel received his Bachelor of Science degree from Cornell University and his J.D. from Cornell University Law School.</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Mr. Siegel's extensive knowledge of consumer brands and marketing, as well as his leadership experience at The Beanstalk Group qualifies him to serve on our board of directors. His extensive experience with leading brands as co-founder and chief executive officer of The Beanstalk Group provide a significant contribution to us and the board of directors.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Andrew Perlman </w:t>
      </w:r>
      <w:r>
        <w:rPr>
          <w:rFonts w:ascii="Arial" w:cs="Arial" w:eastAsia="Arial" w:hAnsi="Arial"/>
          <w:sz w:val="17"/>
          <w:szCs w:val="17"/>
          <w:color w:val="auto"/>
        </w:rPr>
        <w:t>has served as our Chief Executive Officer since March 2012, as our President from April 2010 and on our board of directors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2009. From February 2009 to March 2010, Mr. Perlman served as vice president of global digital business development at EMI Music Group, where he was responsible for leading distribution deals with digital partners for EMI's music and video content. From May 2007 to February 2009, Mr. Perlman served as General Manager of our U.S. operations as well as our Senior Vice President Content &amp; Community. In this position, Mr. Perlman managed our United States operations and led our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Mr. Perlman's extensive experience in the music and digital media qualifies him to serve on our board of directors. His extensive experience and insights gained both as an executive at start-up companies and as a senior executive at EMI are a significant contribution to us and the board of directors.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Ellen Cohl </w:t>
      </w:r>
      <w:r>
        <w:rPr>
          <w:rFonts w:ascii="Arial" w:cs="Arial" w:eastAsia="Arial" w:hAnsi="Arial"/>
          <w:sz w:val="17"/>
          <w:szCs w:val="17"/>
          <w:color w:val="auto"/>
        </w:rPr>
        <w:t>has served as Chief Financial Officer, and previously as Vice President, Finance &amp; Governance since October 2009, including the role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Compliance Officer as of our IPO in 2010. From September 2005 to September 2008, Ms. Cohl served as Chief Financial Officer and Director of Information Technology for Mandel Foundation R.A. and Mandel Institute, R.A., philanthropic leadership training organizations. From January 2001 to August 2005, Mrs. Cohl served as the Director of Corporate Services and Accounting for Chiaro Networks Ltd., a telecommunications network infrastructure manufacturer. From August 1997 to December 2000, she served as Vice President of Finance and Controller for Virtual Communities, Ltd., a provider of turnkey solutions for the development and management of Web-based communities, which was formerly listed on the NASDAQ Stock Market, Inc. From July 1992 to September 1994, Mrs. Cohl served as an internal auditor for Bank Leumi Trust Company. From August 1995 to July 1997 and from July 1988 to September 1991, Mrs. Cohl served as a senior auditor for Arthur Andersen &amp; Co. in the Tel Aviv and New York offices.</w:t>
      </w:r>
    </w:p>
    <w:p>
      <w:pPr>
        <w:spacing w:after="0" w:line="17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Mrs. Cohl received a Bachelor of Science degree in Accounting from New York University and a Masters in Business Administration from Baruch College. Mrs. Cohl is a Ph.D. candidate in Sustainability and Corporate Governance with the University of Paris - Sorbonne. Mrs. Cohl is a Certified Public</w:t>
      </w:r>
    </w:p>
    <w:p>
      <w:pPr>
        <w:sectPr>
          <w:pgSz w:w="11900" w:h="16962" w:orient="portrait"/>
          <w:cols w:equalWidth="0" w:num="1">
            <w:col w:w="11420"/>
          </w:cols>
          <w:pgMar w:left="240" w:top="877" w:right="239" w:bottom="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Accountant.</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3" w:name="page34"/>
    <w:bookmarkEnd w:id="33"/>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Philip Serlin </w:t>
      </w:r>
      <w:r>
        <w:rPr>
          <w:rFonts w:ascii="Arial" w:cs="Arial" w:eastAsia="Arial" w:hAnsi="Arial"/>
          <w:sz w:val="17"/>
          <w:szCs w:val="17"/>
          <w:color w:val="auto"/>
        </w:rPr>
        <w:t>has served as our director since May 2010. Since May 2009, Mr. Serlin has served as chief financial officer and chief operating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BioLineRx Ltd., a clinical stage drug development company (NASDAQ/TASE: BLRX). From January 2008 to August 2008, Mr. Serlin served as chief financial officer and chief operating officer of Kayote Networks, Inc., a telecommunications service provider. From January 2006 to December 2007, Mr. Serlin served as chief financial officer of Tescom Software Systems Testing Ltd., an IT services company (TASE: TSCM). From January 2000 to December 2005, he served as chief accounting officer for Chiaro Networks Ltd., a telecommunications network infrastructure manufacturer. From January 1994 to December 1999, Mr. Serlin served as senior manager at Deloitte Touche Tohmatsu (Brightman Almagor &amp; Co.), where he headed the SEC and U.S. accounting department at the Tel Aviv national office. From June 1986 to December 1992, Mr. Serlin served as a senior accountant/analyst at the Securities and Exchange Commission in Washington, D.C. Mr. Serlin holds a Bachelor of Science in Accounting from Yeshiva University and a Master's degree in Economics and Public Policy from The George Washington University. Mr. Serlin is a Certified Public Accountant.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Mr. Serlin's financial and public companies' experience qualifies him to serve on our board of directors.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John Engelman </w:t>
      </w:r>
      <w:r>
        <w:rPr>
          <w:rFonts w:ascii="Arial" w:cs="Arial" w:eastAsia="Arial" w:hAnsi="Arial"/>
          <w:sz w:val="18"/>
          <w:szCs w:val="18"/>
          <w:color w:val="auto"/>
        </w:rPr>
        <w:t>has served on our board of directors since December 2010. Mr. Engelman is a co-founder of Boomerang Media LLC,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specializes in global media and video distribution, and serves as its Co-Chief Executive Officer since its acquisition of Classic Media in 2009. He was co-CEO of Classic Media from 2000 until its acquisition by Entertainment Rights PLC in 2007. Classic Media owns well-known brands such as Fat Albert and the Cosby Kids, The Lone Ranger, Lassie, Rocky and Bullwinkle, Rudolph the Red-Nosed Reindeer, Frosty the Snowman, Masters of the Universe, Ghostbusters, George of the Jungle, The Dudley Do-Right Show, Mr. Magoo, Gumby, Felix the Cat, etc. From 1998 to 2001, Mr. Engelman was an operating partner with Pegasus Capital Advisors, a U.S.-based private equity fund manager that provides capital and strategic solutions to middle market companies. From 1991 to 1997, he was president of Broadway Video, Inc., one of New York's leading entertainment companies. Founded by producer Lorne Michaels, Broadway Video is the production company for "Saturday Night Live," "Late Night with Conan O'Brien", "Wayne's World" and many other popular television series and movies. He began his career at Irell and Manella where he became a tax partner. Mr. Engelman is a graduate of Harvard College and Harvard Law School.</w:t>
      </w:r>
    </w:p>
    <w:p>
      <w:pPr>
        <w:spacing w:after="0" w:line="19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believe Mr. Engelman's experience in the media and entertainment industries qualifies him to serve on our board of directors. His extensive experience and insights gained both as an executive at Boomerang Media and Classic Media are a significant contribution to us and the board of directors.</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Geoffrey </w:t>
      </w:r>
      <w:r>
        <w:rPr>
          <w:rFonts w:ascii="Arial" w:cs="Arial" w:eastAsia="Arial" w:hAnsi="Arial"/>
          <w:sz w:val="18"/>
          <w:szCs w:val="18"/>
          <w:color w:val="auto"/>
        </w:rPr>
        <w:t>M Skolnik has served as a director since June 2011. Mr. Skolnik is president of G.M. Skolnik Associates Inc., a firm specializing in turning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around underperforming companies and companies seeking enhanced profits. Mr. Skolnik’s experience has helped companies in the apparel, consumer products, not-for-profit, equipment manufacturing, food, dairy and chemical businesses to enhance their profitability. Mr. Skolnik has had extensive experience as co-owner of a diversified apparel company, Wingspread Corporation and as a senior executive and consultant to both large public companies and smaller entrepreneurial firms. Additionally he served as Chief Operating Officer and Chief Financial Officer of Accessory Network Group, Chief Operating Officer of the Jacques Moret Group, and has held senior management positions with Arrow Shirt Group, Borden International and Worthington Pump Corporation. Mr. Skolnik began his career with Deloitte &amp; Touche and served in Italy for five years, including manager-in-charge of their Rome, Italy office.</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Mr. Skolnik holds a B.S. from Ohio University. He served as an advisor to N.Y.U. Stern School of Business, M.B.A. students and the Department of Computer Studies. Currently he serves on the board of two not-for-profit organizations. Mr. Skolnik is a Certified Public Accountant.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Mr. Skolnik’s financial and public companies' experience qualifies him to serve on our board of directors.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Edo Segal </w:t>
      </w:r>
      <w:r>
        <w:rPr>
          <w:rFonts w:ascii="Arial" w:cs="Arial" w:eastAsia="Arial" w:hAnsi="Arial"/>
          <w:sz w:val="18"/>
          <w:szCs w:val="18"/>
          <w:color w:val="auto"/>
        </w:rPr>
        <w:t>has served as a director since July 2008. Since 1999, Mr. Segal has acted as founder and chief technology officer of The Relegence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 real-time financial news and information search technology company, or Relegence. Relegence was acquired by AOL Time Warner in November 2006. As chief technology officer of Relegence, Mr. Segal has led the expansion of its search technology and served customers such as Credit Suisse, J.P. Morgan, Deutsche Bank, Merrill Lynch, Bloomberg, and Dow Jones. At AOL Time Warner, Mr. Segal served as Vice President of emerging platforms and explored disruptive technologies. Prior to Relegence, Mr. Segal was involved with multiple digital initiatives including Virtual Arts, a company he founded in 1992 which focused on the production of CD-ROM multimedia titles, and later Tink Productions, which focused on game production with publishers such as Electronic Arts. After leaving AOL Time Warner, Mr. Segal established Futurity Ventures, a venture and incubation entity and now serves as its chief executive officer.</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Segal's experience as the founder of a technology company qualifies him to serve on our board of directors. His extensive technology insights are a significant contribution to us and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Mr. Siegel, Mr. Skolnik, Mr. Serlin and Mr. Engelman qualify as independent directors in accordance with the standards set by the NYSE Amex as well as Rule 10A-3 promulgated under the Securities Exchange Act of 1934, as amended, or the Exchange Act. Accordingly, our board of directors is comprised of a majority of independent directors as required by the NYSE Amex.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of the Board of Directors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established three standing committees: (1) the Audit Committee, (2) the Compensation Committee and (3) the Nominating and Corporate Governance Committee. Each committee operates under a charter that has been approved by the board of directors, and which is available on our website at http://ir.vringo.com.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has established a Compensation Committee, comprised of Mr. Siegel, who is independent and serves as chairman of the Compensation Committee.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59"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The Compensation Committee is authorized to:</w:t>
      </w:r>
    </w:p>
    <w:p>
      <w:pPr>
        <w:spacing w:after="0" w:line="225" w:lineRule="exact"/>
        <w:rPr>
          <w:sz w:val="20"/>
          <w:szCs w:val="20"/>
          <w:color w:val="auto"/>
        </w:rPr>
      </w:pPr>
    </w:p>
    <w:p>
      <w:pPr>
        <w:ind w:left="1620" w:hanging="640"/>
        <w:spacing w:after="0"/>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 and recommend the compensation arrangements for management, including the compensation for our chief executive officer;</w:t>
      </w:r>
    </w:p>
    <w:p>
      <w:pPr>
        <w:spacing w:after="0" w:line="248" w:lineRule="exact"/>
        <w:rPr>
          <w:rFonts w:ascii="Arial" w:cs="Arial" w:eastAsia="Arial" w:hAnsi="Arial"/>
          <w:sz w:val="16"/>
          <w:szCs w:val="16"/>
          <w:color w:val="auto"/>
        </w:rPr>
      </w:pPr>
    </w:p>
    <w:p>
      <w:pPr>
        <w:ind w:left="1620" w:hanging="640"/>
        <w:spacing w:after="0" w:line="27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of attracting and retaining superior talent, rewarding individual performance and achieving our financial goals;</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 our stock incentive plans; and</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prepare the report of the Compensation Committee that SEC rules require to be included in our annual meeting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board of directors has established an Audit Committee, comprised of Mr. Serlin and Mr. Skolnik, both of whom are independent directors. Mr. Serlin serves as chairman of the Audit Committee. Our board of directors has determined that both Mr. Serlin and Mr. Skolnik are "audit committee financial experts" as defined in Item 407(d)(5)(ii) of Regulation S-K.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is authorized to:</w:t>
      </w:r>
    </w:p>
    <w:p>
      <w:pPr>
        <w:spacing w:after="0" w:line="225" w:lineRule="exact"/>
        <w:rPr>
          <w:sz w:val="20"/>
          <w:szCs w:val="20"/>
          <w:color w:val="auto"/>
        </w:rPr>
      </w:pPr>
    </w:p>
    <w:p>
      <w:pPr>
        <w:ind w:left="1620" w:hanging="64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 and retain the independent auditors to conduct the annual audit of our books and records;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and pre-approve the independent auditor's audit and non-audit services rendered;</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 the audit fees to be paid;</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accounting and financial controls with the independent auditors and our financial and accounting staff;</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and approve transactions between us and our directors, officers and affiliates;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recognize and prevent prohibited non-audit services;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procedures for complaints received by us regarding accounting matters;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 internal audit functions;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prepare the report of the Audit Committee that SEC rules require to be included in our annual meeting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board of directors has established a Nominating and Corporate Governance Committee, comprised of Mr. Siegel who is an independent director and serves as chairman of the Nominating and Corporate Governance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is authorized to:</w:t>
      </w:r>
    </w:p>
    <w:p>
      <w:pPr>
        <w:spacing w:after="0" w:line="225" w:lineRule="exact"/>
        <w:rPr>
          <w:sz w:val="20"/>
          <w:szCs w:val="20"/>
          <w:color w:val="auto"/>
        </w:rPr>
      </w:pPr>
    </w:p>
    <w:p>
      <w:pPr>
        <w:ind w:left="1620" w:hanging="64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w:t>
      </w:r>
    </w:p>
    <w:p>
      <w:pPr>
        <w:spacing w:after="0" w:line="225" w:lineRule="exact"/>
        <w:rPr>
          <w:rFonts w:ascii="Arial" w:cs="Arial" w:eastAsia="Arial" w:hAnsi="Arial"/>
          <w:sz w:val="18"/>
          <w:szCs w:val="18"/>
          <w:color w:val="auto"/>
        </w:rPr>
      </w:pPr>
    </w:p>
    <w:p>
      <w:pPr>
        <w:ind w:left="1620" w:hanging="640"/>
        <w:spacing w:after="0" w:line="277"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recommendations to the board of directors as to the structure, composition and functioning of the board of directors and its committees.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1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Board Leadership Structure, Executive Sessions of Non-Management Directors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Perlman currently serves as our Chief Executive Officer and Mr. Siegel, a non-management director, serves as chairman of our board of directors. The board of directors has chosen to separate the chief executive officer and chairman positions because it believes that (i) independent oversight of management is an important component of an effective board and (ii) this structure benefits the interests of all stockholders. If the board convenes for a special meeting, the non-management directors will meet in executive session if circumstances warrant. Mr. Siegel will preside over executive sessions of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oversees our business and considers the risks associated with our business strategy and decisions. The board currently implements its risk oversight function as a whole. Upon the formation of each of the board committees, the committees will also provide risk oversight and report any material risks to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We have adopted a code of ethics that applies to our officers, directors and employees. We have filed copies of our code of ethics and our board committee charters as exhibits to our registration statement filing with the SEC. A copy of the code of ethics is accessible on our website at </w:t>
      </w:r>
      <w:r>
        <w:rPr>
          <w:rFonts w:ascii="Arial" w:cs="Arial" w:eastAsia="Arial" w:hAnsi="Arial"/>
          <w:sz w:val="18"/>
          <w:szCs w:val="18"/>
          <w:u w:val="single" w:color="auto"/>
          <w:color w:val="auto"/>
        </w:rPr>
        <w:t>http://ir.vringo.com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Securities Exchange Act of 1934, as amended (the “Exchange Act”), requires our directors, executive officers and holders of more than 10% of our common stock to file with the SEC initial reports of ownership and reports of changes in the ownership of our common stock and other equity securities. Such persons are required to furnish us copies of all Section 16(a) filings.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solely upon a review of the copies of the forms furnished to us, we believe that our officers, directors and holders of more than 10% of our common stock complied with all applicable filing requirements during the fiscal year ended December 31, 2011 except as set forth below:</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3, 2011 Form 4/As were filed by Jonathan Medved, Andrew Perlman, Seth Siegel and John Engelman to amend filings of their respective June 21, 2010 IPO Units purchases, in order to reflect the warrant portions of those Units. The Form 4/A relating to the same for Edo Segal was filed subsequently on February 15, 2012. On August 23, 2011, a Form 4 was filed by Jonathan Medved for an option exercise on July 12, 2011. On September 26, 2011 a Form 3 was filed by Geoffrey Skolnik relating to his joining as a director on June 22,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compensation awarded to, earned or paid by us to our Chief Executive Officer and other named executive officers for the fiscal years ended December 31, 2011 and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8"/>
                <w:szCs w:val="18"/>
                <w:color w:val="auto"/>
              </w:rPr>
            </w:pPr>
          </w:p>
        </w:tc>
        <w:tc>
          <w:tcPr>
            <w:tcW w:w="9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Year</w:t>
            </w:r>
          </w:p>
        </w:tc>
        <w:tc>
          <w:tcPr>
            <w:tcW w:w="2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Salary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Option</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3"/>
              </w:rPr>
              <w:t>awards ($) (2)</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80" w:type="dxa"/>
            <w:vAlign w:val="bottom"/>
            <w:shd w:val="clear" w:color="auto" w:fill="CCFFCC"/>
          </w:tcPr>
          <w:p>
            <w:pPr>
              <w:ind w:left="180"/>
              <w:spacing w:after="0" w:line="123" w:lineRule="exact"/>
              <w:rPr>
                <w:sz w:val="20"/>
                <w:szCs w:val="20"/>
                <w:color w:val="auto"/>
              </w:rPr>
            </w:pPr>
            <w:r>
              <w:rPr>
                <w:rFonts w:ascii="Arial" w:cs="Arial" w:eastAsia="Arial" w:hAnsi="Arial"/>
                <w:sz w:val="14"/>
                <w:szCs w:val="14"/>
                <w:color w:val="auto"/>
              </w:rPr>
              <w:t>Jonathan Medved (3)</w:t>
            </w:r>
          </w:p>
        </w:tc>
        <w:tc>
          <w:tcPr>
            <w:tcW w:w="100" w:type="dxa"/>
            <w:vAlign w:val="bottom"/>
            <w:shd w:val="clear" w:color="auto" w:fill="CCFFCC"/>
          </w:tcPr>
          <w:p>
            <w:pPr>
              <w:spacing w:after="0"/>
              <w:rPr>
                <w:sz w:val="10"/>
                <w:szCs w:val="10"/>
                <w:color w:val="auto"/>
              </w:rPr>
            </w:pPr>
          </w:p>
        </w:tc>
        <w:tc>
          <w:tcPr>
            <w:tcW w:w="1180" w:type="dxa"/>
            <w:vAlign w:val="bottom"/>
            <w:gridSpan w:val="2"/>
            <w:shd w:val="clear" w:color="auto" w:fill="CCFFCC"/>
          </w:tcPr>
          <w:p>
            <w:pPr>
              <w:jc w:val="right"/>
              <w:ind w:right="220"/>
              <w:spacing w:after="0" w:line="123" w:lineRule="exact"/>
              <w:rPr>
                <w:sz w:val="20"/>
                <w:szCs w:val="20"/>
                <w:color w:val="auto"/>
              </w:rPr>
            </w:pPr>
            <w:r>
              <w:rPr>
                <w:rFonts w:ascii="Arial" w:cs="Arial" w:eastAsia="Arial" w:hAnsi="Arial"/>
                <w:sz w:val="14"/>
                <w:szCs w:val="14"/>
                <w:color w:val="auto"/>
              </w:rPr>
              <w:t>2011</w:t>
            </w:r>
          </w:p>
        </w:tc>
        <w:tc>
          <w:tcPr>
            <w:tcW w:w="12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215,255</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220"/>
              <w:spacing w:after="0" w:line="123"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line="123"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104,177(5)</w:t>
            </w:r>
          </w:p>
        </w:tc>
        <w:tc>
          <w:tcPr>
            <w:tcW w:w="20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319,432</w:t>
            </w:r>
          </w:p>
        </w:tc>
        <w:tc>
          <w:tcPr>
            <w:tcW w:w="0" w:type="dxa"/>
            <w:vAlign w:val="bottom"/>
          </w:tcPr>
          <w:p>
            <w:pPr>
              <w:spacing w:after="0"/>
              <w:rPr>
                <w:sz w:val="1"/>
                <w:szCs w:val="1"/>
                <w:color w:val="auto"/>
              </w:rPr>
            </w:pPr>
          </w:p>
        </w:tc>
      </w:tr>
      <w:tr>
        <w:trPr>
          <w:trHeight w:val="167"/>
        </w:trPr>
        <w:tc>
          <w:tcPr>
            <w:tcW w:w="4780" w:type="dxa"/>
            <w:vAlign w:val="bottom"/>
            <w:shd w:val="clear" w:color="auto" w:fill="CCFFCC"/>
          </w:tcPr>
          <w:p>
            <w:pPr>
              <w:ind w:left="340"/>
              <w:spacing w:after="0"/>
              <w:rPr>
                <w:sz w:val="20"/>
                <w:szCs w:val="20"/>
                <w:color w:val="auto"/>
              </w:rPr>
            </w:pPr>
            <w:r>
              <w:rPr>
                <w:rFonts w:ascii="Arial" w:cs="Arial" w:eastAsia="Arial" w:hAnsi="Arial"/>
                <w:sz w:val="14"/>
                <w:szCs w:val="14"/>
                <w:i w:val="1"/>
                <w:iCs w:val="1"/>
                <w:color w:val="auto"/>
              </w:rPr>
              <w:t>Former Chief Executive Officer</w:t>
            </w:r>
          </w:p>
        </w:tc>
        <w:tc>
          <w:tcPr>
            <w:tcW w:w="128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2010</w:t>
            </w:r>
          </w:p>
        </w:tc>
        <w:tc>
          <w:tcPr>
            <w:tcW w:w="12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213,531</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1,476,000</w:t>
            </w:r>
          </w:p>
        </w:tc>
        <w:tc>
          <w:tcPr>
            <w:tcW w:w="2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90,802(5)</w:t>
            </w: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1,780,333</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80" w:type="dxa"/>
            <w:vAlign w:val="bottom"/>
            <w:shd w:val="clear" w:color="auto" w:fill="CCFFCC"/>
          </w:tcPr>
          <w:p>
            <w:pPr>
              <w:ind w:left="180"/>
              <w:spacing w:after="0" w:line="130" w:lineRule="exact"/>
              <w:rPr>
                <w:sz w:val="20"/>
                <w:szCs w:val="20"/>
                <w:color w:val="auto"/>
              </w:rPr>
            </w:pPr>
            <w:r>
              <w:rPr>
                <w:rFonts w:ascii="Arial" w:cs="Arial" w:eastAsia="Arial" w:hAnsi="Arial"/>
                <w:sz w:val="14"/>
                <w:szCs w:val="14"/>
                <w:color w:val="auto"/>
              </w:rPr>
              <w:t>Andrew Perlman</w:t>
            </w:r>
          </w:p>
        </w:tc>
        <w:tc>
          <w:tcPr>
            <w:tcW w:w="1280" w:type="dxa"/>
            <w:vAlign w:val="bottom"/>
            <w:gridSpan w:val="3"/>
            <w:shd w:val="clear" w:color="auto" w:fill="CCFFCC"/>
          </w:tcPr>
          <w:p>
            <w:pPr>
              <w:jc w:val="right"/>
              <w:ind w:right="220"/>
              <w:spacing w:after="0" w:line="130" w:lineRule="exact"/>
              <w:rPr>
                <w:sz w:val="20"/>
                <w:szCs w:val="20"/>
                <w:color w:val="auto"/>
              </w:rPr>
            </w:pPr>
            <w:r>
              <w:rPr>
                <w:rFonts w:ascii="Arial" w:cs="Arial" w:eastAsia="Arial" w:hAnsi="Arial"/>
                <w:sz w:val="14"/>
                <w:szCs w:val="14"/>
                <w:color w:val="auto"/>
              </w:rPr>
              <w:t>2011</w:t>
            </w:r>
          </w:p>
        </w:tc>
        <w:tc>
          <w:tcPr>
            <w:tcW w:w="12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188,269</w:t>
            </w:r>
          </w:p>
        </w:tc>
        <w:tc>
          <w:tcPr>
            <w:tcW w:w="18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line="130" w:lineRule="exact"/>
              <w:rPr>
                <w:sz w:val="20"/>
                <w:szCs w:val="20"/>
                <w:color w:val="auto"/>
              </w:rPr>
            </w:pPr>
            <w:r>
              <w:rPr>
                <w:rFonts w:ascii="Arial" w:cs="Arial" w:eastAsia="Arial" w:hAnsi="Arial"/>
                <w:sz w:val="14"/>
                <w:szCs w:val="14"/>
                <w:color w:val="auto"/>
              </w:rPr>
              <w:t>156,325</w:t>
            </w:r>
          </w:p>
        </w:tc>
        <w:tc>
          <w:tcPr>
            <w:tcW w:w="1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344,594</w:t>
            </w:r>
          </w:p>
        </w:tc>
        <w:tc>
          <w:tcPr>
            <w:tcW w:w="0" w:type="dxa"/>
            <w:vAlign w:val="bottom"/>
          </w:tcPr>
          <w:p>
            <w:pPr>
              <w:spacing w:after="0"/>
              <w:rPr>
                <w:sz w:val="1"/>
                <w:szCs w:val="1"/>
                <w:color w:val="auto"/>
              </w:rPr>
            </w:pPr>
          </w:p>
        </w:tc>
      </w:tr>
      <w:tr>
        <w:trPr>
          <w:trHeight w:val="167"/>
        </w:trPr>
        <w:tc>
          <w:tcPr>
            <w:tcW w:w="4780" w:type="dxa"/>
            <w:vAlign w:val="bottom"/>
            <w:shd w:val="clear" w:color="auto" w:fill="CCFFCC"/>
          </w:tcPr>
          <w:p>
            <w:pPr>
              <w:ind w:left="340"/>
              <w:spacing w:after="0"/>
              <w:rPr>
                <w:sz w:val="20"/>
                <w:szCs w:val="20"/>
                <w:color w:val="auto"/>
              </w:rPr>
            </w:pPr>
            <w:r>
              <w:rPr>
                <w:rFonts w:ascii="Arial" w:cs="Arial" w:eastAsia="Arial" w:hAnsi="Arial"/>
                <w:sz w:val="14"/>
                <w:szCs w:val="14"/>
                <w:i w:val="1"/>
                <w:iCs w:val="1"/>
                <w:color w:val="auto"/>
              </w:rPr>
              <w:t>Chief Executive Officer and Director</w:t>
            </w:r>
          </w:p>
        </w:tc>
        <w:tc>
          <w:tcPr>
            <w:tcW w:w="128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2010</w:t>
            </w:r>
          </w:p>
        </w:tc>
        <w:tc>
          <w:tcPr>
            <w:tcW w:w="12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142,885</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279,900</w:t>
            </w:r>
          </w:p>
        </w:tc>
        <w:tc>
          <w:tcPr>
            <w:tcW w:w="14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422,785</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80" w:type="dxa"/>
            <w:vAlign w:val="bottom"/>
            <w:shd w:val="clear" w:color="auto" w:fill="CCFFCC"/>
          </w:tcPr>
          <w:p>
            <w:pPr>
              <w:ind w:left="180"/>
              <w:spacing w:after="0" w:line="130" w:lineRule="exact"/>
              <w:rPr>
                <w:sz w:val="20"/>
                <w:szCs w:val="20"/>
                <w:color w:val="auto"/>
              </w:rPr>
            </w:pPr>
            <w:r>
              <w:rPr>
                <w:rFonts w:ascii="Arial" w:cs="Arial" w:eastAsia="Arial" w:hAnsi="Arial"/>
                <w:sz w:val="14"/>
                <w:szCs w:val="14"/>
                <w:color w:val="auto"/>
              </w:rPr>
              <w:t>Ellen Cohl</w:t>
            </w:r>
          </w:p>
        </w:tc>
        <w:tc>
          <w:tcPr>
            <w:tcW w:w="1280" w:type="dxa"/>
            <w:vAlign w:val="bottom"/>
            <w:gridSpan w:val="3"/>
            <w:shd w:val="clear" w:color="auto" w:fill="CCFFCC"/>
          </w:tcPr>
          <w:p>
            <w:pPr>
              <w:jc w:val="right"/>
              <w:ind w:right="220"/>
              <w:spacing w:after="0" w:line="130" w:lineRule="exact"/>
              <w:rPr>
                <w:sz w:val="20"/>
                <w:szCs w:val="20"/>
                <w:color w:val="auto"/>
              </w:rPr>
            </w:pPr>
            <w:r>
              <w:rPr>
                <w:rFonts w:ascii="Arial" w:cs="Arial" w:eastAsia="Arial" w:hAnsi="Arial"/>
                <w:sz w:val="14"/>
                <w:szCs w:val="14"/>
                <w:color w:val="auto"/>
              </w:rPr>
              <w:t>2011</w:t>
            </w:r>
          </w:p>
        </w:tc>
        <w:tc>
          <w:tcPr>
            <w:tcW w:w="12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127,988</w:t>
            </w:r>
          </w:p>
        </w:tc>
        <w:tc>
          <w:tcPr>
            <w:tcW w:w="18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line="130" w:lineRule="exact"/>
              <w:rPr>
                <w:sz w:val="20"/>
                <w:szCs w:val="20"/>
                <w:color w:val="auto"/>
              </w:rPr>
            </w:pPr>
            <w:r>
              <w:rPr>
                <w:rFonts w:ascii="Arial" w:cs="Arial" w:eastAsia="Arial" w:hAnsi="Arial"/>
                <w:sz w:val="14"/>
                <w:szCs w:val="14"/>
                <w:color w:val="auto"/>
              </w:rPr>
              <w:t>58,180</w:t>
            </w:r>
          </w:p>
        </w:tc>
        <w:tc>
          <w:tcPr>
            <w:tcW w:w="1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36,841(6)</w:t>
            </w:r>
          </w:p>
        </w:tc>
        <w:tc>
          <w:tcPr>
            <w:tcW w:w="20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223,009</w:t>
            </w:r>
          </w:p>
        </w:tc>
        <w:tc>
          <w:tcPr>
            <w:tcW w:w="0" w:type="dxa"/>
            <w:vAlign w:val="bottom"/>
          </w:tcPr>
          <w:p>
            <w:pPr>
              <w:spacing w:after="0"/>
              <w:rPr>
                <w:sz w:val="1"/>
                <w:szCs w:val="1"/>
                <w:color w:val="auto"/>
              </w:rPr>
            </w:pPr>
          </w:p>
        </w:tc>
      </w:tr>
      <w:tr>
        <w:trPr>
          <w:trHeight w:val="167"/>
        </w:trPr>
        <w:tc>
          <w:tcPr>
            <w:tcW w:w="4780" w:type="dxa"/>
            <w:vAlign w:val="bottom"/>
            <w:shd w:val="clear" w:color="auto" w:fill="CCFFCC"/>
          </w:tcPr>
          <w:p>
            <w:pPr>
              <w:ind w:left="340"/>
              <w:spacing w:after="0"/>
              <w:rPr>
                <w:sz w:val="20"/>
                <w:szCs w:val="20"/>
                <w:color w:val="auto"/>
              </w:rPr>
            </w:pPr>
            <w:r>
              <w:rPr>
                <w:rFonts w:ascii="Arial" w:cs="Arial" w:eastAsia="Arial" w:hAnsi="Arial"/>
                <w:sz w:val="14"/>
                <w:szCs w:val="14"/>
                <w:i w:val="1"/>
                <w:iCs w:val="1"/>
                <w:color w:val="auto"/>
              </w:rPr>
              <w:t>Chief Financial Officer</w:t>
            </w:r>
          </w:p>
        </w:tc>
        <w:tc>
          <w:tcPr>
            <w:tcW w:w="128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2010</w:t>
            </w:r>
          </w:p>
        </w:tc>
        <w:tc>
          <w:tcPr>
            <w:tcW w:w="12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106,540</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73,800</w:t>
            </w:r>
          </w:p>
        </w:tc>
        <w:tc>
          <w:tcPr>
            <w:tcW w:w="14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31,276(6)</w:t>
            </w: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211,616</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80" w:type="dxa"/>
            <w:vAlign w:val="bottom"/>
            <w:shd w:val="clear" w:color="auto" w:fill="CCFFCC"/>
          </w:tcPr>
          <w:p>
            <w:pPr>
              <w:ind w:left="180"/>
              <w:spacing w:after="0" w:line="130" w:lineRule="exact"/>
              <w:rPr>
                <w:sz w:val="20"/>
                <w:szCs w:val="20"/>
                <w:color w:val="auto"/>
              </w:rPr>
            </w:pPr>
            <w:r>
              <w:rPr>
                <w:rFonts w:ascii="Arial" w:cs="Arial" w:eastAsia="Arial" w:hAnsi="Arial"/>
                <w:sz w:val="14"/>
                <w:szCs w:val="14"/>
                <w:color w:val="auto"/>
              </w:rPr>
              <w:t>Stuart Frohlich (4)</w:t>
            </w:r>
          </w:p>
        </w:tc>
        <w:tc>
          <w:tcPr>
            <w:tcW w:w="1280" w:type="dxa"/>
            <w:vAlign w:val="bottom"/>
            <w:gridSpan w:val="3"/>
            <w:shd w:val="clear" w:color="auto" w:fill="CCFFCC"/>
          </w:tcPr>
          <w:p>
            <w:pPr>
              <w:jc w:val="right"/>
              <w:ind w:right="220"/>
              <w:spacing w:after="0" w:line="130" w:lineRule="exact"/>
              <w:rPr>
                <w:sz w:val="20"/>
                <w:szCs w:val="20"/>
                <w:color w:val="auto"/>
              </w:rPr>
            </w:pPr>
            <w:r>
              <w:rPr>
                <w:rFonts w:ascii="Arial" w:cs="Arial" w:eastAsia="Arial" w:hAnsi="Arial"/>
                <w:sz w:val="14"/>
                <w:szCs w:val="14"/>
                <w:color w:val="auto"/>
              </w:rPr>
              <w:t>2011</w:t>
            </w:r>
          </w:p>
        </w:tc>
        <w:tc>
          <w:tcPr>
            <w:tcW w:w="12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87,273</w:t>
            </w:r>
          </w:p>
        </w:tc>
        <w:tc>
          <w:tcPr>
            <w:tcW w:w="18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31,097(7)</w:t>
            </w:r>
          </w:p>
        </w:tc>
        <w:tc>
          <w:tcPr>
            <w:tcW w:w="20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118,370</w:t>
            </w:r>
          </w:p>
        </w:tc>
        <w:tc>
          <w:tcPr>
            <w:tcW w:w="0" w:type="dxa"/>
            <w:vAlign w:val="bottom"/>
          </w:tcPr>
          <w:p>
            <w:pPr>
              <w:spacing w:after="0"/>
              <w:rPr>
                <w:sz w:val="1"/>
                <w:szCs w:val="1"/>
                <w:color w:val="auto"/>
              </w:rPr>
            </w:pPr>
          </w:p>
        </w:tc>
      </w:tr>
      <w:tr>
        <w:trPr>
          <w:trHeight w:val="167"/>
        </w:trPr>
        <w:tc>
          <w:tcPr>
            <w:tcW w:w="4780" w:type="dxa"/>
            <w:vAlign w:val="bottom"/>
            <w:shd w:val="clear" w:color="auto" w:fill="CCFFCC"/>
          </w:tcPr>
          <w:p>
            <w:pPr>
              <w:ind w:left="340"/>
              <w:spacing w:after="0"/>
              <w:rPr>
                <w:sz w:val="20"/>
                <w:szCs w:val="20"/>
                <w:color w:val="auto"/>
              </w:rPr>
            </w:pPr>
            <w:r>
              <w:rPr>
                <w:rFonts w:ascii="Arial" w:cs="Arial" w:eastAsia="Arial" w:hAnsi="Arial"/>
                <w:sz w:val="14"/>
                <w:szCs w:val="14"/>
                <w:i w:val="1"/>
                <w:iCs w:val="1"/>
                <w:color w:val="auto"/>
              </w:rPr>
              <w:t>Chief Operating Officer</w:t>
            </w:r>
          </w:p>
        </w:tc>
        <w:tc>
          <w:tcPr>
            <w:tcW w:w="128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2010</w:t>
            </w:r>
          </w:p>
        </w:tc>
        <w:tc>
          <w:tcPr>
            <w:tcW w:w="12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129,693</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210,600</w:t>
            </w:r>
          </w:p>
        </w:tc>
        <w:tc>
          <w:tcPr>
            <w:tcW w:w="14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43,893(7)</w:t>
            </w: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384,186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upon an average exchange rate of 3.58 and 3.73 between the NIS and U.S. Dollar for 2011 and 2010, respectively.</w:t>
      </w:r>
    </w:p>
    <w:p>
      <w:pPr>
        <w:spacing w:after="0" w:line="23"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For the assumptions made in the valuation of our equity awards see Note 11 to the accompanying consolidated financial statements.</w:t>
      </w:r>
    </w:p>
    <w:p>
      <w:pPr>
        <w:jc w:val="both"/>
        <w:ind w:left="580" w:hanging="572"/>
        <w:spacing w:after="0" w:line="281"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Subsequent to the balance sheet date, in March 2012, we entered into a separation agreement with our former Chief Executive Officer, Jonathan Medved. According to the terms of the separation agreement, Mr. Medved will be entitled to receive salary and benefits during a ninety day notice period and a nine month severance period, and continue to vest stock options after his termination. In addition, options granted to Mr. Medved at $0.01 will fully vest as of June 21, 2012 and the expiration date for exercising all options vested on or before June 21, 2013 is extended to September 21, 2013. Furthermore, granted Mr. Medved an additional 100,000 options at $1.65, subject to good faith compliance upon separation from us. These options will vest over a 3 year period. Refer also to Note 17 to the accompanying consolidated financial statements.</w:t>
      </w:r>
    </w:p>
    <w:p>
      <w:pPr>
        <w:spacing w:after="0" w:line="4"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July 31, 2011, Stuart Frohlich resigned his position as Chief Operating Officer of Vringo, Inc. As part of his separation agreement, 20,000 of his $0.01 options to purchase shares of our common stock were accelerated.</w:t>
      </w:r>
    </w:p>
    <w:p>
      <w:pPr>
        <w:ind w:left="580" w:hanging="572"/>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w:t>
      </w:r>
    </w:p>
    <w:p>
      <w:pPr>
        <w:spacing w:after="0" w:line="32" w:lineRule="exact"/>
        <w:rPr>
          <w:rFonts w:ascii="Arial" w:cs="Arial" w:eastAsia="Arial" w:hAnsi="Arial"/>
          <w:sz w:val="16"/>
          <w:szCs w:val="16"/>
          <w:color w:val="auto"/>
        </w:rPr>
      </w:pPr>
    </w:p>
    <w:p>
      <w:pPr>
        <w:jc w:val="both"/>
        <w:ind w:left="580" w:firstLine="9"/>
        <w:spacing w:after="0" w:line="281" w:lineRule="auto"/>
        <w:tabs>
          <w:tab w:leader="none" w:pos="828"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disability insurance (Ovdan Kosher Avoda) and (d) statutory national insurance (Bituach Leumi) in the aggregate total amount of $67,580 in 2011 and $58,324 in 2010. In addition, includes payments associated with possession of company-leased vehicle in the amount of $19,578 in 2011 and $18,735 in 2010. Additionally, includes life insurance (Keyman insurance) in the aggregate amount of $17,019 in 2011 and $14,103 in 2010.</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w:t>
      </w:r>
    </w:p>
    <w:p>
      <w:pPr>
        <w:spacing w:after="0" w:line="32" w:lineRule="exact"/>
        <w:rPr>
          <w:rFonts w:ascii="Arial" w:cs="Arial" w:eastAsia="Arial" w:hAnsi="Arial"/>
          <w:sz w:val="16"/>
          <w:szCs w:val="16"/>
          <w:color w:val="auto"/>
        </w:rPr>
      </w:pPr>
    </w:p>
    <w:p>
      <w:pPr>
        <w:ind w:left="580" w:firstLine="9"/>
        <w:spacing w:after="0" w:line="265" w:lineRule="auto"/>
        <w:tabs>
          <w:tab w:leader="none" w:pos="827"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disability insurance (Ovdan Kosher Avoda) and (d) statutory national insurance (Bituach Leumi) in the aggregate total amount of $30,898 in 2011 and $26,177 in 2010. Additionally, includes local travel reimbursement in the aggregate amount of $5,943 in 2011 and $5,099 in 2010.</w:t>
      </w:r>
    </w:p>
    <w:p>
      <w:pPr>
        <w:ind w:left="580" w:hanging="572"/>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w:t>
      </w:r>
    </w:p>
    <w:p>
      <w:pPr>
        <w:spacing w:after="0" w:line="32" w:lineRule="exact"/>
        <w:rPr>
          <w:rFonts w:ascii="Arial" w:cs="Arial" w:eastAsia="Arial" w:hAnsi="Arial"/>
          <w:sz w:val="16"/>
          <w:szCs w:val="16"/>
          <w:color w:val="auto"/>
        </w:rPr>
      </w:pPr>
    </w:p>
    <w:p>
      <w:pPr>
        <w:ind w:left="580" w:firstLine="9"/>
        <w:spacing w:after="0" w:line="261" w:lineRule="auto"/>
        <w:tabs>
          <w:tab w:leader="none" w:pos="82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disability insurance (Ovdan Kosher Avoda) and (d) statutory national insurance (Bituach Leumi) in the aggregate total amount of $19,938 in 2011 and $31,187in 2010.</w:t>
      </w:r>
    </w:p>
    <w:p>
      <w:pPr>
        <w:sectPr>
          <w:pgSz w:w="11900" w:h="16838" w:orient="portrait"/>
          <w:cols w:equalWidth="0" w:num="1">
            <w:col w:w="11420"/>
          </w:cols>
          <w:pgMar w:left="240" w:top="877" w:right="239" w:bottom="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In addition, includes payments associated with possession of company-leased vehicle in the amount of $11,159 in 2011 and $12,706 in 2010.</w:t>
      </w:r>
    </w:p>
    <w:p>
      <w:pPr>
        <w:sectPr>
          <w:pgSz w:w="11900" w:h="16838" w:orient="portrait"/>
          <w:cols w:equalWidth="0" w:num="1">
            <w:col w:w="10160"/>
          </w:cols>
          <w:pgMar w:left="820" w:top="125" w:right="91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29210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60"/>
          </w:cols>
          <w:pgMar w:left="820" w:top="125" w:right="91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Jonathan Medved Separation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2012, we signed a separation agreement with our former CEO, Jonathan Medved. According to the terms of the separation agreement, and consistent with Mr. Medved’s employment agreement and amendment hereto, Mr. Medved will be entitled to receive salary and benefits during a ninety day notice period and a nine month severance period, and continue to vest stock options after his termination. In addition, options granted to Mr. Medved at $0.01 will fully vest as of June 21, 2012 and the expiration date for exercising all options vested on or before June 21, 2013 is extended to September 21, 2013. Furthermore, granted Mr. Medved an additional 100,000 options at $1.65, subject to good faith compliance upon separation from us. These options will vest over a 3 year period. Refer also to Note 17 to the accompanying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Perlman Employment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Andrew Perlman entered into an employment agreement with us dated March 18, 2010. Pursuant to the terms of his employment agreement, Mr. Perlman's term of employment is at the will of the parties and may be terminated by either party for any reason or for no reason. In the event Mr. Perlman terminates his employment without good reason (as defined in the employment agreement), he must provide us with three months advance notice of such termination. In the event he fails to give the requisite notice, he will forfeit the unvested portion of his stock options and his vested stock options will cease to be exercisable subsequent to the termination date.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term of his employment, Mr. Perlman's annual base salary is $175,000. In addition, he is eligible for an additional compensation in an amount to be determined by the board of directors, and receives $5,000 at the end of each quarter as an advance for such additional compensation. Upon a Change of Control (as defined in his employment agreement), fifty percent of the unvested portion of his option grants priced at $0.01 and $5.50 will automatically and immediately become fully vested, also refer to Note 17 to accompanying consolidated financial statements.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2012, Mr. Perlman was appointed as our Chief Executive Officer. In connection with Mr. Perlman’s new position, the Board agreed to following revised employment terms: Mr. Perlman will be paid $250,000 per year, he will be entitled to severance, equal to his one year salary, to be paid in the event he ceases to be our Chief Executive Officer pursuant to a change of control. In addition, the Board of Directors approved the grant of options to purchase 450,000 shares at an exercise price of $1.65 per share. We and Mr. Perlman expect to enter into an amendment to his employment agreement to formalize the foregoing terms.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employment agreement requires Mr. Perlman to assign inventions and other intellectual property which he conceives or reduces to practice during his employment to us and to maintain our confidential information during employment and thereafter. Mr. Perlman is also subject to a non-competition and a non-solicitation provision that extends for a period of twelve months following termination of 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Ellen Cohl Employment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Ellen Cohl entered into an employment agreement with us on October 20, 2010, to act as our principal financial officer. Pursuant to the terms of her employment agreement, Mrs. Cohl's term of employment is at the will of the parties and may be terminated by either party for any reason or for no reason by giving advance written notice of 90 days. Notwithstanding the foregoing, Mrs. Cohl may be dismissed immediately, without prior notice, and with rights to receive no further compensation pursuant to this employment agreement upon the occurrence of any event in which severance payments, in whole or in part, may be denied to Mrs. Cohl pursuant to Israeli law. Such events include, without limitation: (i) indictment for an offense constituting a felony or involving moral turpitude, theft or embezzlement, whether or not involving the company; (ii) Mrs. Cohl's breach of her confidentiality or non-competition obligations pursuant to her employment agreement; or (iii) an act of bad faith by Mrs. Cohl towards the company or any other breach of a fiduciary duty towards the company or any other breach of her employment agreement.</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term of her employment, Mrs. Cohl receives a gross monthly salary of NIS 35,000, or an aggregate of NIS 420,000 per year (approximately $118,000 as of December 31, 2010). In January 2011, Mrs. Cohl's gross monthly salary was increased to NIS 40,000. Mrs. Cohl shall be reimbursed for all pre-approved expenses, and travel expenses, incurred in connection with her duties pursuant to the employment agreement.</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purposes of examining entitlement to severance payments under law and under her agreement, Mrs. Cohl's tenure commenced on her employment start date of October 1, 2009. To fulfill obligations to pay severance in certain circumstances pursuant to Israeli law, a Manager's Policy has been established for Mrs. Cohl and an amount equal to 15.83% of Mrs. Cohl's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Mrs. Cohl's employment agreement, the Manager's Policy will be transferred to her personally. The Manager's Policy would not be transferred to Mrs. Cohl in certain circumstances, including breach of confidentiality and non-competition provisions or the breach of fiduciary duties. During the term of Mrs. Cohl's employment agreement, an amount equal to 7.5% of her base salary will be deposited into a Further Education Fund recognized by Israeli income tax authorities. Our contributions under this Section 5.4 will continue only up to the applicable tax-exempt “ceiling” under the income tax regulations in effect from time to time. The funds may be released to Mrs. Cohl upon her written request.</w:t>
      </w:r>
    </w:p>
    <w:p>
      <w:pPr>
        <w:spacing w:after="0" w:line="19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employment agreement requires Mrs. Cohl to assign inventions and other intellectual property which she conceives or reduces to practice during employment to us and to maintain our confidential information during employment and thereafter. Mrs. Cohl is also subject to a non-competition and a non-solicitation provision that extends for a period of 12 months following termination of her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1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Outstanding Equity Awards at 2011 Fiscal Year End</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table below sets forth information regarding outstanding equity awards held by our named executive officers as of December 31, 2011, granted under our 2006 Stock Option Plan. We have omitted from this table the columns pertaining to stock awards because they are inapplicable.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91"/>
              </w:rPr>
              <w:t>Option awards</w:t>
            </w: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1"/>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3"/>
              </w:rPr>
              <w:t>Number of</w:t>
            </w:r>
          </w:p>
        </w:tc>
        <w:tc>
          <w:tcPr>
            <w:tcW w:w="136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securities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underlying</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Option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unexercised</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unexercised</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exercise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Vesting</w:t>
            </w:r>
          </w:p>
        </w:tc>
        <w:tc>
          <w:tcPr>
            <w:tcW w:w="10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options (#)</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options (#)</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price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commencement</w:t>
            </w:r>
          </w:p>
        </w:tc>
        <w:tc>
          <w:tcPr>
            <w:tcW w:w="10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expiration</w:t>
            </w:r>
          </w:p>
        </w:tc>
      </w:tr>
      <w:tr>
        <w:trPr>
          <w:trHeight w:val="234"/>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exercisable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un-exercisable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date</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date</w:t>
            </w:r>
          </w:p>
        </w:tc>
        <w:tc>
          <w:tcPr>
            <w:tcW w:w="260" w:type="dxa"/>
            <w:vAlign w:val="bottom"/>
          </w:tcPr>
          <w:p>
            <w:pPr>
              <w:spacing w:after="0"/>
              <w:rPr>
                <w:sz w:val="20"/>
                <w:szCs w:val="20"/>
                <w:color w:val="auto"/>
              </w:rPr>
            </w:pPr>
          </w:p>
        </w:tc>
      </w:tr>
      <w:tr>
        <w:trPr>
          <w:trHeight w:val="210"/>
        </w:trPr>
        <w:tc>
          <w:tcPr>
            <w:tcW w:w="43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Jonathan Medved (1)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20,833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3.00</w:t>
            </w: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9/16/2007</w:t>
            </w:r>
          </w:p>
        </w:tc>
        <w:tc>
          <w:tcPr>
            <w:tcW w:w="1800" w:type="dxa"/>
            <w:vAlign w:val="bottom"/>
            <w:gridSpan w:val="3"/>
            <w:shd w:val="clear" w:color="auto" w:fill="CCFFCC"/>
          </w:tcPr>
          <w:p>
            <w:pPr>
              <w:ind w:left="820"/>
              <w:spacing w:after="0"/>
              <w:rPr>
                <w:sz w:val="20"/>
                <w:szCs w:val="20"/>
                <w:color w:val="auto"/>
              </w:rPr>
            </w:pPr>
            <w:r>
              <w:rPr>
                <w:rFonts w:ascii="Arial" w:cs="Arial" w:eastAsia="Arial" w:hAnsi="Arial"/>
                <w:sz w:val="18"/>
                <w:szCs w:val="18"/>
                <w:color w:val="auto"/>
                <w:w w:val="94"/>
              </w:rPr>
              <w:t>9/21/2013(4)</w:t>
            </w:r>
          </w:p>
        </w:tc>
      </w:tr>
      <w:tr>
        <w:trPr>
          <w:trHeight w:val="216"/>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Jonathan Medved (1)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4,018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6/25/2009</w:t>
            </w:r>
          </w:p>
        </w:tc>
        <w:tc>
          <w:tcPr>
            <w:tcW w:w="1800" w:type="dxa"/>
            <w:vAlign w:val="bottom"/>
            <w:gridSpan w:val="3"/>
          </w:tcPr>
          <w:p>
            <w:pPr>
              <w:ind w:left="820"/>
              <w:spacing w:after="0"/>
              <w:rPr>
                <w:sz w:val="20"/>
                <w:szCs w:val="20"/>
                <w:color w:val="auto"/>
              </w:rPr>
            </w:pPr>
            <w:r>
              <w:rPr>
                <w:rFonts w:ascii="Arial" w:cs="Arial" w:eastAsia="Arial" w:hAnsi="Arial"/>
                <w:sz w:val="18"/>
                <w:szCs w:val="18"/>
                <w:color w:val="auto"/>
                <w:w w:val="94"/>
              </w:rPr>
              <w:t>9/21/2013(4)</w:t>
            </w:r>
          </w:p>
        </w:tc>
      </w:tr>
      <w:tr>
        <w:trPr>
          <w:trHeight w:val="216"/>
        </w:trPr>
        <w:tc>
          <w:tcPr>
            <w:tcW w:w="43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Jonathan Medved (3)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266,667</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0.01</w:t>
            </w: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6/22/2010</w:t>
            </w:r>
          </w:p>
        </w:tc>
        <w:tc>
          <w:tcPr>
            <w:tcW w:w="1800" w:type="dxa"/>
            <w:vAlign w:val="bottom"/>
            <w:gridSpan w:val="3"/>
            <w:shd w:val="clear" w:color="auto" w:fill="CCFFCC"/>
          </w:tcPr>
          <w:p>
            <w:pPr>
              <w:ind w:left="820"/>
              <w:spacing w:after="0"/>
              <w:rPr>
                <w:sz w:val="20"/>
                <w:szCs w:val="20"/>
                <w:color w:val="auto"/>
              </w:rPr>
            </w:pPr>
            <w:r>
              <w:rPr>
                <w:rFonts w:ascii="Arial" w:cs="Arial" w:eastAsia="Arial" w:hAnsi="Arial"/>
                <w:sz w:val="18"/>
                <w:szCs w:val="18"/>
                <w:color w:val="auto"/>
                <w:w w:val="94"/>
              </w:rPr>
              <w:t>9/21/2012(4)</w:t>
            </w:r>
          </w:p>
        </w:tc>
      </w:tr>
      <w:tr>
        <w:trPr>
          <w:trHeight w:val="216"/>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Jonathan Medved (2)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6/22/2010</w:t>
            </w:r>
          </w:p>
        </w:tc>
        <w:tc>
          <w:tcPr>
            <w:tcW w:w="1800" w:type="dxa"/>
            <w:vAlign w:val="bottom"/>
            <w:gridSpan w:val="3"/>
          </w:tcPr>
          <w:p>
            <w:pPr>
              <w:ind w:left="820"/>
              <w:spacing w:after="0"/>
              <w:rPr>
                <w:sz w:val="20"/>
                <w:szCs w:val="20"/>
                <w:color w:val="auto"/>
              </w:rPr>
            </w:pPr>
            <w:r>
              <w:rPr>
                <w:rFonts w:ascii="Arial" w:cs="Arial" w:eastAsia="Arial" w:hAnsi="Arial"/>
                <w:sz w:val="18"/>
                <w:szCs w:val="18"/>
                <w:color w:val="auto"/>
              </w:rPr>
              <w:t>9/21/2013</w:t>
            </w:r>
          </w:p>
        </w:tc>
      </w:tr>
      <w:tr>
        <w:trPr>
          <w:trHeight w:val="216"/>
        </w:trPr>
        <w:tc>
          <w:tcPr>
            <w:tcW w:w="43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Andrew Perlman (1)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4,167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3.00</w:t>
            </w: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7/30/2007</w:t>
            </w:r>
          </w:p>
        </w:tc>
        <w:tc>
          <w:tcPr>
            <w:tcW w:w="1800" w:type="dxa"/>
            <w:vAlign w:val="bottom"/>
            <w:gridSpan w:val="3"/>
            <w:shd w:val="clear" w:color="auto" w:fill="CCFFCC"/>
          </w:tcPr>
          <w:p>
            <w:pPr>
              <w:ind w:left="820"/>
              <w:spacing w:after="0"/>
              <w:rPr>
                <w:sz w:val="20"/>
                <w:szCs w:val="20"/>
                <w:color w:val="auto"/>
              </w:rPr>
            </w:pPr>
            <w:r>
              <w:rPr>
                <w:rFonts w:ascii="Arial" w:cs="Arial" w:eastAsia="Arial" w:hAnsi="Arial"/>
                <w:sz w:val="18"/>
                <w:szCs w:val="18"/>
                <w:color w:val="auto"/>
              </w:rPr>
              <w:t>7/30/2013</w:t>
            </w:r>
          </w:p>
        </w:tc>
      </w:tr>
      <w:tr>
        <w:trPr>
          <w:trHeight w:val="216"/>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Andrew Perlman (1)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4.50</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1/20/2008</w:t>
            </w:r>
          </w:p>
        </w:tc>
        <w:tc>
          <w:tcPr>
            <w:tcW w:w="1800" w:type="dxa"/>
            <w:vAlign w:val="bottom"/>
            <w:gridSpan w:val="3"/>
          </w:tcPr>
          <w:p>
            <w:pPr>
              <w:ind w:left="820"/>
              <w:spacing w:after="0"/>
              <w:rPr>
                <w:sz w:val="20"/>
                <w:szCs w:val="20"/>
                <w:color w:val="auto"/>
              </w:rPr>
            </w:pPr>
            <w:r>
              <w:rPr>
                <w:rFonts w:ascii="Arial" w:cs="Arial" w:eastAsia="Arial" w:hAnsi="Arial"/>
                <w:sz w:val="18"/>
                <w:szCs w:val="18"/>
                <w:color w:val="auto"/>
              </w:rPr>
              <w:t>1/20/2014</w:t>
            </w:r>
          </w:p>
        </w:tc>
      </w:tr>
      <w:tr>
        <w:trPr>
          <w:trHeight w:val="216"/>
        </w:trPr>
        <w:tc>
          <w:tcPr>
            <w:tcW w:w="43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Andrew Perlman (1)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1,490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677</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w:t>
            </w: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2/14/2009</w:t>
            </w:r>
          </w:p>
        </w:tc>
        <w:tc>
          <w:tcPr>
            <w:tcW w:w="1800" w:type="dxa"/>
            <w:vAlign w:val="bottom"/>
            <w:gridSpan w:val="3"/>
            <w:shd w:val="clear" w:color="auto" w:fill="CCFFCC"/>
          </w:tcPr>
          <w:p>
            <w:pPr>
              <w:ind w:left="820"/>
              <w:spacing w:after="0"/>
              <w:rPr>
                <w:sz w:val="20"/>
                <w:szCs w:val="20"/>
                <w:color w:val="auto"/>
              </w:rPr>
            </w:pPr>
            <w:r>
              <w:rPr>
                <w:rFonts w:ascii="Arial" w:cs="Arial" w:eastAsia="Arial" w:hAnsi="Arial"/>
                <w:sz w:val="18"/>
                <w:szCs w:val="18"/>
                <w:color w:val="auto"/>
              </w:rPr>
              <w:t>2/14/2015</w:t>
            </w:r>
          </w:p>
        </w:tc>
      </w:tr>
      <w:tr>
        <w:trPr>
          <w:trHeight w:val="216"/>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Andrew Perlman (3)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46,667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6/22/2010</w:t>
            </w:r>
          </w:p>
        </w:tc>
        <w:tc>
          <w:tcPr>
            <w:tcW w:w="1800" w:type="dxa"/>
            <w:vAlign w:val="bottom"/>
            <w:gridSpan w:val="3"/>
          </w:tcPr>
          <w:p>
            <w:pPr>
              <w:ind w:left="820"/>
              <w:spacing w:after="0"/>
              <w:rPr>
                <w:sz w:val="20"/>
                <w:szCs w:val="20"/>
                <w:color w:val="auto"/>
              </w:rPr>
            </w:pPr>
            <w:r>
              <w:rPr>
                <w:rFonts w:ascii="Arial" w:cs="Arial" w:eastAsia="Arial" w:hAnsi="Arial"/>
                <w:sz w:val="18"/>
                <w:szCs w:val="18"/>
                <w:color w:val="auto"/>
              </w:rPr>
              <w:t>3/17/2016</w:t>
            </w:r>
          </w:p>
        </w:tc>
      </w:tr>
      <w:tr>
        <w:trPr>
          <w:trHeight w:val="216"/>
        </w:trPr>
        <w:tc>
          <w:tcPr>
            <w:tcW w:w="43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Andrew Perlman (2)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33,750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56,250</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5.50</w:t>
            </w: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6/22/2010</w:t>
            </w:r>
          </w:p>
        </w:tc>
        <w:tc>
          <w:tcPr>
            <w:tcW w:w="1800" w:type="dxa"/>
            <w:vAlign w:val="bottom"/>
            <w:gridSpan w:val="3"/>
            <w:shd w:val="clear" w:color="auto" w:fill="CCFFCC"/>
          </w:tcPr>
          <w:p>
            <w:pPr>
              <w:ind w:left="820"/>
              <w:spacing w:after="0"/>
              <w:rPr>
                <w:sz w:val="20"/>
                <w:szCs w:val="20"/>
                <w:color w:val="auto"/>
              </w:rPr>
            </w:pPr>
            <w:r>
              <w:rPr>
                <w:rFonts w:ascii="Arial" w:cs="Arial" w:eastAsia="Arial" w:hAnsi="Arial"/>
                <w:sz w:val="18"/>
                <w:szCs w:val="18"/>
                <w:color w:val="auto"/>
              </w:rPr>
              <w:t>3/17/2016</w:t>
            </w:r>
          </w:p>
        </w:tc>
      </w:tr>
      <w:tr>
        <w:trPr>
          <w:trHeight w:val="216"/>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Andrew Perlman(3)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46,667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9/30/2010</w:t>
            </w:r>
          </w:p>
        </w:tc>
        <w:tc>
          <w:tcPr>
            <w:tcW w:w="1800" w:type="dxa"/>
            <w:vAlign w:val="bottom"/>
            <w:gridSpan w:val="3"/>
          </w:tcPr>
          <w:p>
            <w:pPr>
              <w:ind w:left="820"/>
              <w:spacing w:after="0"/>
              <w:rPr>
                <w:sz w:val="20"/>
                <w:szCs w:val="20"/>
                <w:color w:val="auto"/>
              </w:rPr>
            </w:pPr>
            <w:r>
              <w:rPr>
                <w:rFonts w:ascii="Arial" w:cs="Arial" w:eastAsia="Arial" w:hAnsi="Arial"/>
                <w:sz w:val="18"/>
                <w:szCs w:val="18"/>
                <w:color w:val="auto"/>
              </w:rPr>
              <w:t>1/31/2017</w:t>
            </w:r>
          </w:p>
        </w:tc>
      </w:tr>
      <w:tr>
        <w:trPr>
          <w:trHeight w:val="216"/>
        </w:trPr>
        <w:tc>
          <w:tcPr>
            <w:tcW w:w="43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Andrew Perlman(3)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30,000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60,000</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5.50</w:t>
            </w: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9/30/2010</w:t>
            </w:r>
          </w:p>
        </w:tc>
        <w:tc>
          <w:tcPr>
            <w:tcW w:w="1800" w:type="dxa"/>
            <w:vAlign w:val="bottom"/>
            <w:gridSpan w:val="3"/>
            <w:shd w:val="clear" w:color="auto" w:fill="CCFFCC"/>
          </w:tcPr>
          <w:p>
            <w:pPr>
              <w:ind w:left="820"/>
              <w:spacing w:after="0"/>
              <w:rPr>
                <w:sz w:val="20"/>
                <w:szCs w:val="20"/>
                <w:color w:val="auto"/>
              </w:rPr>
            </w:pPr>
            <w:r>
              <w:rPr>
                <w:rFonts w:ascii="Arial" w:cs="Arial" w:eastAsia="Arial" w:hAnsi="Arial"/>
                <w:sz w:val="18"/>
                <w:szCs w:val="18"/>
                <w:color w:val="auto"/>
              </w:rPr>
              <w:t>1/31/2017</w:t>
            </w:r>
          </w:p>
        </w:tc>
      </w:tr>
      <w:tr>
        <w:trPr>
          <w:trHeight w:val="216"/>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Ellen Cohl(3)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9/30/2010</w:t>
            </w:r>
          </w:p>
        </w:tc>
        <w:tc>
          <w:tcPr>
            <w:tcW w:w="1800" w:type="dxa"/>
            <w:vAlign w:val="bottom"/>
            <w:gridSpan w:val="3"/>
          </w:tcPr>
          <w:p>
            <w:pPr>
              <w:ind w:left="820"/>
              <w:spacing w:after="0"/>
              <w:rPr>
                <w:sz w:val="20"/>
                <w:szCs w:val="20"/>
                <w:color w:val="auto"/>
              </w:rPr>
            </w:pPr>
            <w:r>
              <w:rPr>
                <w:rFonts w:ascii="Arial" w:cs="Arial" w:eastAsia="Arial" w:hAnsi="Arial"/>
                <w:sz w:val="18"/>
                <w:szCs w:val="18"/>
                <w:color w:val="auto"/>
              </w:rPr>
              <w:t>1/31/2017</w:t>
            </w:r>
          </w:p>
        </w:tc>
      </w:tr>
      <w:tr>
        <w:trPr>
          <w:trHeight w:val="216"/>
        </w:trPr>
        <w:tc>
          <w:tcPr>
            <w:tcW w:w="43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Ellen Cohl(3)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6,250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13,750</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5.50</w:t>
            </w: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9/30/2010</w:t>
            </w:r>
          </w:p>
        </w:tc>
        <w:tc>
          <w:tcPr>
            <w:tcW w:w="1800" w:type="dxa"/>
            <w:vAlign w:val="bottom"/>
            <w:gridSpan w:val="3"/>
            <w:shd w:val="clear" w:color="auto" w:fill="CCFFCC"/>
          </w:tcPr>
          <w:p>
            <w:pPr>
              <w:ind w:left="820"/>
              <w:spacing w:after="0"/>
              <w:rPr>
                <w:sz w:val="20"/>
                <w:szCs w:val="20"/>
                <w:color w:val="auto"/>
              </w:rPr>
            </w:pPr>
            <w:r>
              <w:rPr>
                <w:rFonts w:ascii="Arial" w:cs="Arial" w:eastAsia="Arial" w:hAnsi="Arial"/>
                <w:sz w:val="18"/>
                <w:szCs w:val="18"/>
                <w:color w:val="auto"/>
              </w:rPr>
              <w:t>1/31/2017</w:t>
            </w:r>
          </w:p>
        </w:tc>
      </w:tr>
      <w:tr>
        <w:trPr>
          <w:trHeight w:val="216"/>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Ellen Cohl (2)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6/22/2010</w:t>
            </w:r>
          </w:p>
        </w:tc>
        <w:tc>
          <w:tcPr>
            <w:tcW w:w="1800" w:type="dxa"/>
            <w:vAlign w:val="bottom"/>
            <w:gridSpan w:val="3"/>
          </w:tcPr>
          <w:p>
            <w:pPr>
              <w:ind w:left="820"/>
              <w:spacing w:after="0"/>
              <w:rPr>
                <w:sz w:val="20"/>
                <w:szCs w:val="20"/>
                <w:color w:val="auto"/>
              </w:rPr>
            </w:pPr>
            <w:r>
              <w:rPr>
                <w:rFonts w:ascii="Arial" w:cs="Arial" w:eastAsia="Arial" w:hAnsi="Arial"/>
                <w:sz w:val="18"/>
                <w:szCs w:val="18"/>
                <w:color w:val="auto"/>
              </w:rPr>
              <w:t>3/17/2016</w:t>
            </w:r>
          </w:p>
        </w:tc>
      </w:tr>
      <w:tr>
        <w:trPr>
          <w:trHeight w:val="216"/>
        </w:trPr>
        <w:tc>
          <w:tcPr>
            <w:tcW w:w="43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Ellen Cohl (2)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15,000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25,000</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5.50</w:t>
            </w: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6/22/2010</w:t>
            </w:r>
          </w:p>
        </w:tc>
        <w:tc>
          <w:tcPr>
            <w:tcW w:w="1800" w:type="dxa"/>
            <w:vAlign w:val="bottom"/>
            <w:gridSpan w:val="3"/>
            <w:shd w:val="clear" w:color="auto" w:fill="CCFFCC"/>
          </w:tcPr>
          <w:p>
            <w:pPr>
              <w:ind w:left="820"/>
              <w:spacing w:after="0"/>
              <w:rPr>
                <w:sz w:val="20"/>
                <w:szCs w:val="20"/>
                <w:color w:val="auto"/>
              </w:rPr>
            </w:pPr>
            <w:r>
              <w:rPr>
                <w:rFonts w:ascii="Arial" w:cs="Arial" w:eastAsia="Arial" w:hAnsi="Arial"/>
                <w:sz w:val="18"/>
                <w:szCs w:val="18"/>
                <w:color w:val="auto"/>
              </w:rPr>
              <w:t>3/17/2016</w:t>
            </w:r>
          </w:p>
        </w:tc>
      </w:tr>
    </w:tbl>
    <w:p>
      <w:pPr>
        <w:spacing w:after="0" w:line="202" w:lineRule="exact"/>
        <w:rPr>
          <w:sz w:val="20"/>
          <w:szCs w:val="20"/>
          <w:color w:val="auto"/>
        </w:rPr>
      </w:pPr>
    </w:p>
    <w:p>
      <w:pPr>
        <w:jc w:val="both"/>
        <w:ind w:left="580" w:hanging="572"/>
        <w:spacing w:after="0" w:line="256"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twelve equal quarterly increments (6.25% per quarter) over the subsequent three years, subject to the optionee's continuous service status on the relevant vesting date.</w:t>
      </w:r>
    </w:p>
    <w:p>
      <w:pPr>
        <w:jc w:val="both"/>
        <w:ind w:left="580" w:hanging="572"/>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equal annual increments (25% per year) over the subsequent three years, subject to the optionee's continuous service status on the relevant vesting date.</w:t>
      </w:r>
    </w:p>
    <w:p>
      <w:pPr>
        <w:spacing w:after="0" w:line="1"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33% of the options awards vest in arrears on the date which is twelve months after the applicable vesting commencement date, subject to the optionee's continuous service status on such date. The remaining 67% of the options vest in two equal annual increments (33% per year) over the subsequent two years, subject to the optionee's continuous service status on the relevant vesting date.</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option expiration dates per separation agreement signed in March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additional option grants related subsequent events, also refer to Note 17 to the accompanying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Israeli law, our subsidiary is required to make severance payments to dismissed employees and employees leaving employment in certain other circumstances, based on the most recent monthly salary for each year of an employee's service. All of the subsidiary's employees have signed agreements with the subsidiary limiting its severance liability to actual deposits in the above mentioned severance plans, pursuant to Section 14 of the Severance Payment Law of 1963. Also, refer to Note 7 of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Option Plan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October 30, 2006, we adopted the 2006 Stock Option Plan, pursuant to which 880 thousand shares of common stock were reserved for issuance. On July 30, 2007, we amended and restated the original plan in its entirety by adopting Amendment No. 1 to Stock Option Plan (the "Stock Option Plan"), which increased the number of common stock reserved for issuance to 2.79 million. In January 2010, the number of common stock reserved for issuance upon the exercise of options was increased to 14.14 million. The awards issuable under the Option Plan include incentive stock options, nonqualified stock options and other options. The Option Plan is administered by our board of directors or a committee appointed by our board of directors, who have the discretion to determine the terms and conditions of awards issued thereunder, including the exercise price and vesting period. The options are exercisable for six years from the effective date. The Option Plan provides for grants or sales of common stock options to employees, directors and consultants.</w:t>
      </w:r>
    </w:p>
    <w:p>
      <w:pPr>
        <w:spacing w:after="0" w:line="16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As of December 31, 2011, we have outstanding options to purchase an aggregate of 2,228,400 shares of our common stock at a weighted exercise price of $3.16 per share pursuant to the Option Plan. Of these outstanding options, 1,577,189 are issued to our current directors and officers.</w:t>
      </w:r>
    </w:p>
    <w:p>
      <w:pPr>
        <w:spacing w:after="0" w:line="147"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In January 2012, the Board approved a one year acceleration of option vesting for all option holders, should we be subject to a change of control in a merger and/or acquisition transaction.</w:t>
      </w:r>
    </w:p>
    <w:p>
      <w:pPr>
        <w:spacing w:after="0" w:line="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January and February, 2012, our Board approved the granting of 70,000, fully vested options to management and consultants at an exercise price of $0.01 per share. The Board also approved the granting of 734,500 options at an exercise price of $0.96 to its management, employees and consultants. These options will vest over four years (according to the applicable schedule of each optionee). Total value of the options granted is $467 thousand.</w:t>
      </w:r>
    </w:p>
    <w:p>
      <w:pPr>
        <w:spacing w:after="0" w:line="15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additional information regarding our outstanding options, and related subsequent events, refer to Notes 11 and 17 to the accompanying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the compensation of persons who served as a member of our Board of Directors during all or part of 2011, other than Mr. Medved and Andrew Perlman whose compensations is discussed under "Executive Compensation" above and neither of whom is separately compensated for Board service.</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w:t>
            </w:r>
          </w:p>
        </w:tc>
        <w:tc>
          <w:tcPr>
            <w:tcW w:w="22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All other</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960" w:type="dxa"/>
            <w:vAlign w:val="bottom"/>
          </w:tcPr>
          <w:p>
            <w:pPr>
              <w:ind w:left="226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 xml:space="preserve">Awards </w:t>
            </w: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 (1)</w:t>
            </w:r>
          </w:p>
        </w:tc>
        <w:tc>
          <w:tcPr>
            <w:tcW w:w="160" w:type="dxa"/>
            <w:vAlign w:val="bottom"/>
          </w:tcPr>
          <w:p>
            <w:pPr>
              <w:spacing w:after="0"/>
              <w:rPr>
                <w:sz w:val="20"/>
                <w:szCs w:val="20"/>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 xml:space="preserve">compensation </w:t>
            </w: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w:t>
            </w:r>
          </w:p>
        </w:tc>
        <w:tc>
          <w:tcPr>
            <w:tcW w:w="1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 ($)</w:t>
            </w:r>
          </w:p>
        </w:tc>
      </w:tr>
      <w:tr>
        <w:trPr>
          <w:trHeight w:val="20"/>
        </w:trPr>
        <w:tc>
          <w:tcPr>
            <w:tcW w:w="4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Seth Siegel (2)</w:t>
            </w:r>
          </w:p>
        </w:tc>
        <w:tc>
          <w:tcPr>
            <w:tcW w:w="2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105,431</w:t>
            </w:r>
          </w:p>
        </w:tc>
        <w:tc>
          <w:tcPr>
            <w:tcW w:w="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105,431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Philip Serlin (3)</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Edo Segal (4)</w:t>
            </w:r>
          </w:p>
        </w:tc>
        <w:tc>
          <w:tcPr>
            <w:tcW w:w="2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52,563</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52,563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Ralph Simon (5)</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John Engelman (6)</w:t>
            </w:r>
          </w:p>
        </w:tc>
        <w:tc>
          <w:tcPr>
            <w:tcW w:w="2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29,871</w:t>
            </w:r>
          </w:p>
        </w:tc>
        <w:tc>
          <w:tcPr>
            <w:tcW w:w="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39,871</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Geoffrey M. Skolnik (7)</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6,610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6,610</w:t>
            </w:r>
          </w:p>
        </w:tc>
      </w:tr>
    </w:tbl>
    <w:p>
      <w:pPr>
        <w:spacing w:after="0" w:line="187" w:lineRule="exact"/>
        <w:rPr>
          <w:sz w:val="20"/>
          <w:szCs w:val="20"/>
          <w:color w:val="auto"/>
        </w:rPr>
      </w:pPr>
    </w:p>
    <w:p>
      <w:pPr>
        <w:ind w:left="460" w:right="200" w:hanging="452"/>
        <w:spacing w:after="0" w:line="25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Note 11 of the consolidated financial statements for the year ended December 31, 2011, for the assumptions made in the valuation of the equity awards.</w:t>
      </w:r>
    </w:p>
    <w:p>
      <w:pPr>
        <w:spacing w:after="0" w:line="1" w:lineRule="exact"/>
        <w:rPr>
          <w:rFonts w:ascii="Arial" w:cs="Arial" w:eastAsia="Arial" w:hAnsi="Arial"/>
          <w:sz w:val="18"/>
          <w:szCs w:val="18"/>
          <w:color w:val="auto"/>
        </w:rPr>
      </w:pPr>
    </w:p>
    <w:p>
      <w:pPr>
        <w:ind w:left="460" w:right="64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Siegel performs his duties as Board Chairman and as member of the Compensation Committee and Nominating and Corporate Governance Committee, on a volunteer basis. As of December 31, 2011, 313,333 options were outstanding, of which 117,500 were exercisable.</w:t>
      </w:r>
    </w:p>
    <w:p>
      <w:pPr>
        <w:spacing w:after="0" w:line="1" w:lineRule="exact"/>
        <w:rPr>
          <w:rFonts w:ascii="Arial" w:cs="Arial" w:eastAsia="Arial" w:hAnsi="Arial"/>
          <w:sz w:val="16"/>
          <w:szCs w:val="16"/>
          <w:color w:val="auto"/>
        </w:rPr>
      </w:pPr>
    </w:p>
    <w:p>
      <w:pPr>
        <w:ind w:left="460" w:right="78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payment to Mr. Serlin for Board services and for Audit Committee Chairmanship. As of December 31, 2011, 45,000 options were outstanding, of which 15,625 were exercisable.</w:t>
      </w:r>
    </w:p>
    <w:p>
      <w:pPr>
        <w:ind w:left="460" w:right="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fees paid to two corporations under Mr. Segal's control. As of December 31, 2011, 100,000 options were outstanding, of which 47,083 were exercisable.</w:t>
      </w:r>
    </w:p>
    <w:p>
      <w:pPr>
        <w:ind w:left="460" w:right="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payment to Mr. Simon for Board services and for membership on both the Compensation Committee and Nominating and Corporate Governance Committee, through October 1, 2011. As of October 1, 2011, Mr. Simon has left the Board of Directors to serve on the Advisory Board. As of December 31, 2011, 59,334 options were outstanding, of which 21,042 were exercisable.</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fee earned by Mr. Engelman for Board services through December 31, 2011. As of December 31, 2011, 42,500 options were outstanding, of which 10,625 were exercisable.</w:t>
      </w:r>
    </w:p>
    <w:p>
      <w:pPr>
        <w:ind w:left="460" w:right="38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fee earned by Mr. Skolnik for Board services from June 22, 2011 through December 31, 2011. As of December 31, 2011, there were no options outstanding.</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reimburse each member of our Board of Directors for reasonable travel and other expenses in connection with attending meetings of the Board of Directors.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085" w:gutter="0" w:footer="0" w:header="0"/>
        </w:sectPr>
      </w:pPr>
    </w:p>
    <w:bookmarkStart w:id="40" w:name="page41"/>
    <w:bookmarkEnd w:id="40"/>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and accompanying footnotes set forth certain information as of March 30, 2012, with respect to the ownership of our common stock by:</w:t>
      </w:r>
    </w:p>
    <w:p>
      <w:pPr>
        <w:spacing w:after="0" w:line="170" w:lineRule="exact"/>
        <w:rPr>
          <w:sz w:val="20"/>
          <w:szCs w:val="20"/>
          <w:color w:val="auto"/>
        </w:rPr>
      </w:pPr>
    </w:p>
    <w:p>
      <w:pPr>
        <w:ind w:left="2600" w:hanging="647"/>
        <w:spacing w:after="0"/>
        <w:tabs>
          <w:tab w:leader="none" w:pos="2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person or group who beneficially owns more than 5% of our common stock;</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our directors and officers; and</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directors and officers as a group.</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person is deemed to be the beneficial owner of securities that can be acquired within sixty days from March 30, 2012, as a result of the exercise of options and warrants. Accordingly, common stock issuable upon exercise of options and warrants that are currently exercisable or exercisable within sixty days of March 30, 2012, have been included in the table with respect to the beneficial ownership of the person or entity owning the options and warrants, but not with respect to any other persons or entities.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percentage of ownership for each holder is based on 13,861,423 shares of common stock outstanding on March 30, 2012, plus any presently exercisable stock options and warrants held by each such holder, and options and warrants held by each such holder that will become exercisable within sixty days after March 30,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2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8"/>
              </w:rPr>
              <w:t>Shares of Common Stock</w:t>
            </w:r>
          </w:p>
        </w:tc>
        <w:tc>
          <w:tcPr>
            <w:tcW w:w="8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Beneficially</w:t>
            </w:r>
          </w:p>
        </w:tc>
        <w:tc>
          <w:tcPr>
            <w:tcW w:w="8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8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Name and Address of beneficial owner (1)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Owned (2) (3) (4)</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 (5)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222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1,242,828</w:t>
            </w:r>
          </w:p>
        </w:tc>
        <w:tc>
          <w:tcPr>
            <w:tcW w:w="14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Iroquois Master Fund Ltd.</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641 Lexington Ave 26FL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New York, NY 10022</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Seth M. Siegel</w:t>
            </w:r>
          </w:p>
        </w:tc>
        <w:tc>
          <w:tcPr>
            <w:tcW w:w="222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313,478</w:t>
            </w:r>
          </w:p>
        </w:tc>
        <w:tc>
          <w:tcPr>
            <w:tcW w:w="14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Andrew Perlman</w:t>
            </w:r>
          </w:p>
        </w:tc>
        <w:tc>
          <w:tcPr>
            <w:tcW w:w="2220" w:type="dxa"/>
            <w:vAlign w:val="bottom"/>
            <w:gridSpan w:val="4"/>
          </w:tcPr>
          <w:p>
            <w:pPr>
              <w:jc w:val="right"/>
              <w:ind w:right="200"/>
              <w:spacing w:after="0"/>
              <w:rPr>
                <w:sz w:val="20"/>
                <w:szCs w:val="20"/>
                <w:color w:val="auto"/>
              </w:rPr>
            </w:pPr>
            <w:r>
              <w:rPr>
                <w:rFonts w:ascii="Arial" w:cs="Arial" w:eastAsia="Arial" w:hAnsi="Arial"/>
                <w:sz w:val="18"/>
                <w:szCs w:val="18"/>
                <w:color w:val="auto"/>
              </w:rPr>
              <w:t>184,334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John Engelman</w:t>
            </w:r>
          </w:p>
        </w:tc>
        <w:tc>
          <w:tcPr>
            <w:tcW w:w="222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92,008</w:t>
            </w:r>
          </w:p>
        </w:tc>
        <w:tc>
          <w:tcPr>
            <w:tcW w:w="14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Geoffrey Skolnik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Edo Segal</w:t>
            </w:r>
          </w:p>
        </w:tc>
        <w:tc>
          <w:tcPr>
            <w:tcW w:w="222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64,435</w:t>
            </w:r>
          </w:p>
        </w:tc>
        <w:tc>
          <w:tcPr>
            <w:tcW w:w="14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Philip Serlin</w:t>
            </w:r>
          </w:p>
        </w:tc>
        <w:tc>
          <w:tcPr>
            <w:tcW w:w="2220" w:type="dxa"/>
            <w:vAlign w:val="bottom"/>
            <w:gridSpan w:val="4"/>
          </w:tcPr>
          <w:p>
            <w:pPr>
              <w:jc w:val="right"/>
              <w:ind w:right="200"/>
              <w:spacing w:after="0"/>
              <w:rPr>
                <w:sz w:val="20"/>
                <w:szCs w:val="20"/>
                <w:color w:val="auto"/>
              </w:rPr>
            </w:pPr>
            <w:r>
              <w:rPr>
                <w:rFonts w:ascii="Arial" w:cs="Arial" w:eastAsia="Arial" w:hAnsi="Arial"/>
                <w:sz w:val="18"/>
                <w:szCs w:val="18"/>
                <w:color w:val="auto"/>
              </w:rPr>
              <w:t>17,813</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Ellen Cohl</w:t>
            </w:r>
          </w:p>
        </w:tc>
        <w:tc>
          <w:tcPr>
            <w:tcW w:w="222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60,000</w:t>
            </w:r>
          </w:p>
        </w:tc>
        <w:tc>
          <w:tcPr>
            <w:tcW w:w="14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All current directors and officers as a group (7 individuals):</w:t>
            </w:r>
          </w:p>
        </w:tc>
        <w:tc>
          <w:tcPr>
            <w:tcW w:w="240" w:type="dxa"/>
            <w:vAlign w:val="bottom"/>
            <w:gridSpan w:val="2"/>
            <w:shd w:val="clear" w:color="auto" w:fill="CCFFCC"/>
          </w:tcPr>
          <w:p>
            <w:pPr>
              <w:spacing w:after="0"/>
              <w:rPr>
                <w:sz w:val="20"/>
                <w:szCs w:val="20"/>
                <w:color w:val="auto"/>
              </w:rPr>
            </w:pPr>
          </w:p>
        </w:tc>
        <w:tc>
          <w:tcPr>
            <w:tcW w:w="1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732,068</w:t>
            </w:r>
          </w:p>
        </w:tc>
        <w:tc>
          <w:tcPr>
            <w:tcW w:w="14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0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the individuals is c/o Vringo Inc., 44 W. 28th Street New York, New York, 10001</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Assumes the full exercise of all options and warrants held by the principal stockholders that are exercisable within 60 days of March 30, 2012.</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ownership is direct beneficial ownership, except for 19,165 shares held in a trust controlled by Seth Siegel.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information included on Form 3, Form 4, Form 4/A or Schedule 13G filed with the SEC.</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Percentage of common stock excludes the exercise of all options and warrants held by the holder that are not exercisable within 60 days.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is a description of transactions that we entered into with our executive officers, directors or 5% stockholders during the past two years. We believe that all of the transactions described below were made on terms no less favorable to us than could have been obtained from unaffiliated third parties. All future related party transactions will be approved by our audit committee or a majority of our independent directors who do not have an interest in the transaction and who will have access, at our expense, to our independent legal counsel.</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2010, Mr. Goldfarb, our co-founder and former officer of the Subsidiary, held approximately 6.0% of our outstanding shares of common stock, respectively. In the year ended December 31, 2010, we paid Mr. Goldfarb for consulting services provided to us, through Degel Software Limited (“Degel”) a total amount of $221 thousand. In January 2011, Mr. Goldfarb entered into a separation agreement with us, as part of which, the vesting of 60 thousand options with an exercise price of $0.01 was accelerated. In addition, pursuant to the separation agreement, we paid Mr. Goldfarb, through Degel, a total amount of $125 thousand.</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intellectual property counsel is Heidi Brun, the wife of our co-founder, and former officer of the Subsidiary, Mr. David Goldfarb. For the years ended December 31, 2011 and 2010, we paid Heidi Brun, through a law firm which she represents, approximately $66 thousand and $95 thousand, respectively. In addition, until March 31, 2011, our Subsidiary sub-leased part of its office space from Heidi Brun Associates. Total rent paid to Heidi Brun Associates in the year ended December 31, 2011 and 2010 was approximately $4 thousand and $16 thousand, respectively.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Edo Segal, who serves on our board of directors, is the chief executive officer of two consulting firms which we paid approximately $53 thousand and $112 thousand during the years ended December 31, 2011 and 2010, respectively.</w:t>
      </w:r>
    </w:p>
    <w:p>
      <w:pPr>
        <w:sectPr>
          <w:pgSz w:w="11900" w:h="16838" w:orient="portrait"/>
          <w:cols w:equalWidth="0" w:num="1">
            <w:col w:w="11420"/>
          </w:cols>
          <w:pgMar w:left="240" w:top="878" w:right="239" w:bottom="0" w:gutter="0" w:footer="0" w:header="0"/>
        </w:sectPr>
      </w:pPr>
    </w:p>
    <w:bookmarkStart w:id="41" w:name="page42"/>
    <w:bookmarkEnd w:id="41"/>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Our auditors from inception and through the year ended December 31, 2011 were Somekh Chaikin, Certified Public Accountants (Israel), a member firm of KPMG International. All of the services described in the following fee table were pre-approved by our Audit Committee.</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aggregate fees billed to us for the fiscal years ended December 31, 2011 and 2010 by Somekh Chaikin, a member firm of KPMG International:</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8140" w:type="dxa"/>
            <w:vAlign w:val="bottom"/>
            <w:shd w:val="clear" w:color="auto" w:fill="CCFFCC"/>
          </w:tcPr>
          <w:p>
            <w:pPr>
              <w:spacing w:after="0"/>
              <w:rPr>
                <w:sz w:val="20"/>
                <w:szCs w:val="20"/>
                <w:color w:val="auto"/>
              </w:rPr>
            </w:pPr>
            <w:r>
              <w:rPr>
                <w:rFonts w:ascii="Arial" w:cs="Arial" w:eastAsia="Arial" w:hAnsi="Arial"/>
                <w:sz w:val="18"/>
                <w:szCs w:val="18"/>
                <w:color w:val="auto"/>
              </w:rPr>
              <w:t>Audit Fees (1)</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172,000</w:t>
            </w:r>
          </w:p>
        </w:tc>
        <w:tc>
          <w:tcPr>
            <w:tcW w:w="120" w:type="dxa"/>
            <w:vAlign w:val="bottom"/>
            <w:shd w:val="clear" w:color="auto" w:fill="CCFFCC"/>
          </w:tcPr>
          <w:p>
            <w:pPr>
              <w:spacing w:after="0"/>
              <w:rPr>
                <w:sz w:val="18"/>
                <w:szCs w:val="18"/>
                <w:color w:val="auto"/>
              </w:rPr>
            </w:pPr>
          </w:p>
        </w:tc>
        <w:tc>
          <w:tcPr>
            <w:tcW w:w="3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422,000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Audit Related Fees (2)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44,000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Tax Fees (3)</w:t>
            </w:r>
          </w:p>
        </w:tc>
        <w:tc>
          <w:tcPr>
            <w:tcW w:w="260" w:type="dxa"/>
            <w:vAlign w:val="bottom"/>
            <w:tcBorders>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814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224,000</w:t>
            </w:r>
          </w:p>
        </w:tc>
        <w:tc>
          <w:tcPr>
            <w:tcW w:w="12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424,500</w:t>
            </w:r>
          </w:p>
        </w:tc>
      </w:tr>
      <w:tr>
        <w:trPr>
          <w:trHeight w:val="20"/>
        </w:trPr>
        <w:tc>
          <w:tcPr>
            <w:tcW w:w="8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20" w:hanging="512"/>
        <w:spacing w:after="0" w:line="259"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category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 In addition, fees paid in 2010, include amounts of $210,000 paid in connection with our IPO and $71,000 paid as issuance cost in connection with our IPO.</w:t>
      </w:r>
    </w:p>
    <w:p>
      <w:pPr>
        <w:spacing w:after="0" w:line="186" w:lineRule="exact"/>
        <w:rPr>
          <w:rFonts w:ascii="Arial" w:cs="Arial" w:eastAsia="Arial" w:hAnsi="Arial"/>
          <w:sz w:val="18"/>
          <w:szCs w:val="18"/>
          <w:color w:val="auto"/>
        </w:rPr>
      </w:pPr>
    </w:p>
    <w:p>
      <w:pPr>
        <w:ind w:left="580" w:hanging="518"/>
        <w:spacing w:after="0"/>
        <w:tabs>
          <w:tab w:leader="none" w:pos="5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This category includes audit related fees. In particular, 2011 fees include $44,000 paid in connection with merger and acquisition activities.</w:t>
      </w:r>
    </w:p>
    <w:p>
      <w:pPr>
        <w:spacing w:after="0" w:line="236" w:lineRule="exact"/>
        <w:rPr>
          <w:rFonts w:ascii="Arial" w:cs="Arial" w:eastAsia="Arial" w:hAnsi="Arial"/>
          <w:sz w:val="17"/>
          <w:szCs w:val="17"/>
          <w:color w:val="auto"/>
        </w:rPr>
      </w:pPr>
    </w:p>
    <w:p>
      <w:pPr>
        <w:ind w:left="600" w:hanging="511"/>
        <w:spacing w:after="0"/>
        <w:tabs>
          <w:tab w:leader="none" w:pos="600" w:val="left"/>
        </w:tabs>
        <w:numPr>
          <w:ilvl w:val="3"/>
          <w:numId w:val="20"/>
        </w:numPr>
        <w:rPr>
          <w:rFonts w:ascii="Arial" w:cs="Arial" w:eastAsia="Arial" w:hAnsi="Arial"/>
          <w:sz w:val="18"/>
          <w:szCs w:val="18"/>
          <w:color w:val="auto"/>
        </w:rPr>
      </w:pPr>
      <w:r>
        <w:rPr>
          <w:rFonts w:ascii="Arial" w:cs="Arial" w:eastAsia="Arial" w:hAnsi="Arial"/>
          <w:sz w:val="18"/>
          <w:szCs w:val="18"/>
          <w:color w:val="auto"/>
        </w:rPr>
        <w:t>Tax fees represent the aggregate fees billed for tax compliance, tax advice, and tax planning.</w:t>
      </w:r>
    </w:p>
    <w:p>
      <w:pPr>
        <w:spacing w:after="0" w:line="225" w:lineRule="exact"/>
        <w:rPr>
          <w:rFonts w:ascii="Arial" w:cs="Arial" w:eastAsia="Arial" w:hAnsi="Arial"/>
          <w:sz w:val="18"/>
          <w:szCs w:val="18"/>
          <w:color w:val="auto"/>
        </w:rPr>
      </w:pPr>
    </w:p>
    <w:p>
      <w:pPr>
        <w:jc w:val="both"/>
        <w:ind w:left="520" w:hanging="467"/>
        <w:spacing w:after="0" w:line="257" w:lineRule="auto"/>
        <w:tabs>
          <w:tab w:leader="none" w:pos="520" w:val="left"/>
        </w:tabs>
        <w:numPr>
          <w:ilvl w:val="2"/>
          <w:numId w:val="20"/>
        </w:numPr>
        <w:rPr>
          <w:rFonts w:ascii="Arial" w:cs="Arial" w:eastAsia="Arial" w:hAnsi="Arial"/>
          <w:sz w:val="18"/>
          <w:szCs w:val="18"/>
          <w:color w:val="auto"/>
        </w:rPr>
      </w:pPr>
      <w:r>
        <w:rPr>
          <w:rFonts w:ascii="Arial" w:cs="Arial" w:eastAsia="Arial" w:hAnsi="Arial"/>
          <w:sz w:val="18"/>
          <w:szCs w:val="18"/>
          <w:color w:val="auto"/>
        </w:rPr>
        <w:t>Consistent with SEC policies and guidelines regarding audit independence, the Audit Committee is responsible for the pre-approval of all audit and permissible non-audit services provided by our principal independent accountants on a case-by-case basis. Our Audit Committee has established a policy regarding approval of all audit and permissible non-audit services provided by our principal independent accountants. Our Audit Committee pre-approves these services by category and service. Our Audit Committee has pre-approved all of the services provided by our principal independent accountants in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audit and non-audit services provided by KPMG International to us must be pre-approved in advance by our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following the signature page of this Annual Report on Form 10-K.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80" w:type="dxa"/>
            <w:vAlign w:val="bottom"/>
            <w:tcBorders>
              <w:bottom w:val="single" w:sz="8" w:color="CCFFCC"/>
            </w:tcBorders>
          </w:tcPr>
          <w:p>
            <w:pPr>
              <w:spacing w:after="0"/>
              <w:rPr>
                <w:sz w:val="20"/>
                <w:szCs w:val="20"/>
                <w:color w:val="auto"/>
              </w:rPr>
            </w:pPr>
          </w:p>
        </w:tc>
        <w:tc>
          <w:tcPr>
            <w:tcW w:w="4800" w:type="dxa"/>
            <w:vAlign w:val="bottom"/>
            <w:tcBorders>
              <w:bottom w:val="single" w:sz="8" w:color="CCFFCC"/>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4800" w:type="dxa"/>
            <w:vAlign w:val="bottom"/>
            <w:shd w:val="clear" w:color="auto" w:fill="CCFFCC"/>
          </w:tcPr>
          <w:p>
            <w:pPr>
              <w:spacing w:after="0"/>
              <w:rPr>
                <w:sz w:val="18"/>
                <w:szCs w:val="18"/>
                <w:color w:val="auto"/>
              </w:rPr>
            </w:pPr>
          </w:p>
        </w:tc>
        <w:tc>
          <w:tcPr>
            <w:tcW w:w="1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8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w:t>
            </w:r>
          </w:p>
        </w:tc>
        <w:tc>
          <w:tcPr>
            <w:tcW w:w="4800" w:type="dxa"/>
            <w:vAlign w:val="bottom"/>
            <w:shd w:val="clear" w:color="auto" w:fill="CCFFCC"/>
          </w:tcPr>
          <w:p>
            <w:pPr>
              <w:spacing w:after="0"/>
              <w:rPr>
                <w:sz w:val="18"/>
                <w:szCs w:val="18"/>
                <w:color w:val="auto"/>
              </w:rPr>
            </w:pPr>
          </w:p>
        </w:tc>
        <w:tc>
          <w:tcPr>
            <w:tcW w:w="1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F-3-F-4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8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Operations</w:t>
            </w:r>
          </w:p>
        </w:tc>
        <w:tc>
          <w:tcPr>
            <w:tcW w:w="4800" w:type="dxa"/>
            <w:vAlign w:val="bottom"/>
            <w:shd w:val="clear" w:color="auto" w:fill="CCFFCC"/>
          </w:tcPr>
          <w:p>
            <w:pPr>
              <w:spacing w:after="0"/>
              <w:rPr>
                <w:sz w:val="18"/>
                <w:szCs w:val="18"/>
                <w:color w:val="auto"/>
              </w:rPr>
            </w:pPr>
          </w:p>
        </w:tc>
        <w:tc>
          <w:tcPr>
            <w:tcW w:w="1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8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Statements of Changes in Stockholders' Equity (Deficit)</w:t>
            </w:r>
          </w:p>
        </w:tc>
        <w:tc>
          <w:tcPr>
            <w:tcW w:w="4800" w:type="dxa"/>
            <w:vAlign w:val="bottom"/>
            <w:shd w:val="clear" w:color="auto" w:fill="CCFFCC"/>
          </w:tcPr>
          <w:p>
            <w:pPr>
              <w:spacing w:after="0"/>
              <w:rPr>
                <w:sz w:val="18"/>
                <w:szCs w:val="18"/>
                <w:color w:val="auto"/>
              </w:rPr>
            </w:pPr>
          </w:p>
        </w:tc>
        <w:tc>
          <w:tcPr>
            <w:tcW w:w="1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F-6-F-7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8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4800" w:type="dxa"/>
            <w:vAlign w:val="bottom"/>
            <w:shd w:val="clear" w:color="auto" w:fill="CCFFCC"/>
          </w:tcPr>
          <w:p>
            <w:pPr>
              <w:spacing w:after="0"/>
              <w:rPr>
                <w:sz w:val="18"/>
                <w:szCs w:val="18"/>
                <w:color w:val="auto"/>
              </w:rPr>
            </w:pPr>
          </w:p>
        </w:tc>
        <w:tc>
          <w:tcPr>
            <w:tcW w:w="1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8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Notes to the Consolidated Financial Statements</w:t>
            </w:r>
          </w:p>
        </w:tc>
        <w:tc>
          <w:tcPr>
            <w:tcW w:w="4800" w:type="dxa"/>
            <w:vAlign w:val="bottom"/>
            <w:shd w:val="clear" w:color="auto" w:fill="CCFFCC"/>
          </w:tcPr>
          <w:p>
            <w:pPr>
              <w:spacing w:after="0"/>
              <w:rPr>
                <w:sz w:val="18"/>
                <w:szCs w:val="18"/>
                <w:color w:val="auto"/>
              </w:rPr>
            </w:pPr>
          </w:p>
        </w:tc>
        <w:tc>
          <w:tcPr>
            <w:tcW w:w="1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F-10-F-25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 (a Development Stage Company):</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audited the accompanying consolidated balance sheets of Vringo, Inc. (a Development Stage Company) and Subsidiary (collectively "the Company") as of December 31, 2011 and 2010 and the related consolidated statements of operations, changes in stockholders' equity (deficit) and cash flows for each of the years in the two-year period ended December 31, 2011, and for the cumulative period from January 9, 2006 (inception of operations) through December 31, 2011. These consolidated financial statements are the responsibility of the Company's management. Our responsibility is to express an opinion on these consolidated financial statements based on our audits.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Vringo, Inc. (a Development Stage Company) and Subsidiary as of December 31, 2011 and 2010 and the results of their operations and their cash flows for each of the years in the two-year period ended December 31, 2011, and for the cumulative period from January 9, 2006 (inception of operations) through December 31, 2011, in conformity with U.S. generally accepted accounting principles.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deficit in stockholders' equity that raise substantial doubt about its ability to continue as a going concern. Management's plans in regard to these matters are described in Note 1. The consolidated financial statements do not include any adjustments that might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96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Note</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1,190</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Short-term deposit (restricted)</w:t>
            </w: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341</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187</w:t>
            </w:r>
          </w:p>
        </w:tc>
        <w:tc>
          <w:tcPr>
            <w:tcW w:w="1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1,718</w:t>
            </w:r>
          </w:p>
        </w:tc>
        <w:tc>
          <w:tcPr>
            <w:tcW w:w="1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Long-term deposit</w:t>
            </w:r>
          </w:p>
        </w:tc>
        <w:tc>
          <w:tcPr>
            <w:tcW w:w="30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Deferred tax assets—long-term</w:t>
            </w:r>
          </w:p>
        </w:tc>
        <w:tc>
          <w:tcPr>
            <w:tcW w:w="56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1,895</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02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Note</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7"/>
              </w:rPr>
              <w:t>December 31, 2011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December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U.S.$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Deferred tax liabilities, net</w:t>
            </w:r>
            <w:r>
              <w:rPr>
                <w:rFonts w:ascii="Arial" w:cs="Arial" w:eastAsia="Arial" w:hAnsi="Arial"/>
                <w:sz w:val="18"/>
                <w:szCs w:val="18"/>
                <w:b w:val="1"/>
                <w:bCs w:val="1"/>
                <w:color w:val="auto"/>
              </w:rPr>
              <w:t>—</w:t>
            </w:r>
            <w:r>
              <w:rPr>
                <w:rFonts w:ascii="Arial" w:cs="Arial" w:eastAsia="Arial" w:hAnsi="Arial"/>
                <w:sz w:val="18"/>
                <w:szCs w:val="18"/>
                <w:color w:val="auto"/>
              </w:rPr>
              <w:t>short-term</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67</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7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428</w:t>
            </w:r>
          </w:p>
        </w:tc>
        <w:tc>
          <w:tcPr>
            <w:tcW w:w="20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Accrued employee compensation</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Accrued short-term severance pay</w:t>
            </w:r>
          </w:p>
        </w:tc>
        <w:tc>
          <w:tcPr>
            <w:tcW w:w="7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w:t>
            </w:r>
          </w:p>
        </w:tc>
        <w:tc>
          <w:tcPr>
            <w:tcW w:w="16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Current maturities of venture loan</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current liabilities</w:t>
            </w:r>
          </w:p>
        </w:tc>
        <w:tc>
          <w:tcPr>
            <w:tcW w:w="48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CCFFCC"/>
            </w:tcBorders>
            <w:shd w:val="clear" w:color="auto" w:fill="CCFFCC"/>
          </w:tcPr>
          <w:p>
            <w:pPr>
              <w:spacing w:after="0"/>
              <w:rPr>
                <w:sz w:val="18"/>
                <w:szCs w:val="18"/>
                <w:color w:val="auto"/>
              </w:rPr>
            </w:pP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723</w:t>
            </w:r>
          </w:p>
        </w:tc>
        <w:tc>
          <w:tcPr>
            <w:tcW w:w="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Accrued severance pay</w:t>
            </w:r>
          </w:p>
        </w:tc>
        <w:tc>
          <w:tcPr>
            <w:tcW w:w="7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165</w:t>
            </w:r>
          </w:p>
        </w:tc>
        <w:tc>
          <w:tcPr>
            <w:tcW w:w="20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Venture loan</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Derivative liabilities on account of warrants</w:t>
            </w:r>
          </w:p>
        </w:tc>
        <w:tc>
          <w:tcPr>
            <w:tcW w:w="74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10,11</w:t>
            </w: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2,172</w:t>
            </w:r>
          </w:p>
        </w:tc>
        <w:tc>
          <w:tcPr>
            <w:tcW w:w="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Total long-term liabilities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2,337</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Commitments and contingencies</w:t>
            </w:r>
          </w:p>
        </w:tc>
        <w:tc>
          <w:tcPr>
            <w:tcW w:w="7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w:t>
            </w:r>
          </w:p>
        </w:tc>
        <w:tc>
          <w:tcPr>
            <w:tcW w:w="146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Deficit in stockholders' equity</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Preferred stock, $0.01 par value per share; 5,000,000 authorized; none issued and</w:t>
            </w:r>
          </w:p>
        </w:tc>
        <w:tc>
          <w:tcPr>
            <w:tcW w:w="4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680" w:type="dxa"/>
            <w:vAlign w:val="bottom"/>
            <w:gridSpan w:val="3"/>
            <w:vMerge w:val="restart"/>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outstanding as of December 31, 2011 and 2010, respectively</w:t>
            </w:r>
          </w:p>
        </w:tc>
        <w:tc>
          <w:tcPr>
            <w:tcW w:w="48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680" w:type="dxa"/>
            <w:vAlign w:val="bottom"/>
            <w:gridSpan w:val="3"/>
            <w:vMerge w:val="continue"/>
            <w:shd w:val="clear" w:color="auto" w:fill="CCFFCC"/>
          </w:tcPr>
          <w:p>
            <w:pPr>
              <w:spacing w:after="0"/>
              <w:rPr>
                <w:sz w:val="20"/>
                <w:szCs w:val="20"/>
                <w:color w:val="auto"/>
              </w:rPr>
            </w:pP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$0.01 par value per share 28,000,000 authorized; 9,954,516 and</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gridSpan w:val="3"/>
          </w:tcPr>
          <w:p>
            <w:pPr>
              <w:spacing w:after="0"/>
              <w:rPr>
                <w:sz w:val="20"/>
                <w:szCs w:val="20"/>
                <w:color w:val="auto"/>
              </w:rPr>
            </w:pPr>
            <w:r>
              <w:rPr>
                <w:rFonts w:ascii="Arial" w:cs="Arial" w:eastAsia="Arial" w:hAnsi="Arial"/>
                <w:sz w:val="18"/>
                <w:szCs w:val="18"/>
                <w:color w:val="auto"/>
              </w:rPr>
              <w:t>5,405,080 issued and outstanding as of December 31, 2011 and 2010, respectively</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36,281</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Deficit accumulated during the development stage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(37,546)</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(30,067)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4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(1,165)</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FFCC"/>
            </w:tcBorders>
            <w:gridSpan w:val="2"/>
          </w:tcPr>
          <w:p>
            <w:pPr>
              <w:spacing w:after="0"/>
              <w:rPr>
                <w:sz w:val="20"/>
                <w:szCs w:val="20"/>
                <w:color w:val="auto"/>
              </w:rPr>
            </w:pPr>
            <w:r>
              <w:rPr>
                <w:rFonts w:ascii="Arial" w:cs="Arial" w:eastAsia="Arial" w:hAnsi="Arial"/>
                <w:sz w:val="18"/>
                <w:szCs w:val="18"/>
                <w:b w:val="1"/>
                <w:bCs w:val="1"/>
                <w:color w:val="auto"/>
              </w:rPr>
              <w:t>Total liabilities and deficit in stockholders' equity</w:t>
            </w:r>
          </w:p>
        </w:tc>
        <w:tc>
          <w:tcPr>
            <w:tcW w:w="48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1,895</w:t>
            </w:r>
          </w:p>
        </w:tc>
        <w:tc>
          <w:tcPr>
            <w:tcW w:w="20" w:type="dxa"/>
            <w:vAlign w:val="bottom"/>
            <w:tcBorders>
              <w:top w:val="single" w:sz="8" w:color="CCFFCC"/>
              <w:bottom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60" w:firstLine="8"/>
        <w:spacing w:after="0" w:line="573" w:lineRule="auto"/>
        <w:tabs>
          <w:tab w:leader="none" w:pos="32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Amounts recorded as of December 31, 2011 and 2010 include $10 and $20 to a related party, respectively. The accompanying notes form an integral part of these consolidated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from inception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1"/>
              </w:rPr>
              <w:t>For the year ended December 31,</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9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Note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718</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211</w:t>
            </w: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Borders>
              <w:top w:val="single" w:sz="8" w:color="CCFFCC"/>
            </w:tcBorders>
          </w:tcPr>
          <w:p>
            <w:pPr>
              <w:spacing w:after="0"/>
              <w:rPr>
                <w:sz w:val="18"/>
                <w:szCs w:val="18"/>
                <w:color w:val="auto"/>
              </w:rPr>
            </w:pPr>
          </w:p>
        </w:tc>
        <w:tc>
          <w:tcPr>
            <w:tcW w:w="940" w:type="dxa"/>
            <w:vAlign w:val="bottom"/>
            <w:tcBorders>
              <w:top w:val="single" w:sz="8" w:color="CCFFCC"/>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2,017</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2,503</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Marketing</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2,193</w:t>
            </w:r>
          </w:p>
        </w:tc>
        <w:tc>
          <w:tcPr>
            <w:tcW w:w="1240" w:type="dxa"/>
            <w:vAlign w:val="bottom"/>
          </w:tcPr>
          <w:p>
            <w:pPr>
              <w:jc w:val="right"/>
              <w:spacing w:after="0"/>
              <w:rPr>
                <w:sz w:val="20"/>
                <w:szCs w:val="20"/>
                <w:color w:val="auto"/>
              </w:rPr>
            </w:pPr>
            <w:r>
              <w:rPr>
                <w:rFonts w:ascii="Arial" w:cs="Arial" w:eastAsia="Arial" w:hAnsi="Arial"/>
                <w:sz w:val="18"/>
                <w:szCs w:val="18"/>
                <w:color w:val="auto"/>
              </w:rPr>
              <w:t>2,183</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2,777</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1,840</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shd w:val="clear" w:color="auto" w:fill="CCFFCC"/>
          </w:tcPr>
          <w:p>
            <w:pPr>
              <w:spacing w:after="0" w:line="20" w:lineRule="exact"/>
              <w:rPr>
                <w:sz w:val="1"/>
                <w:szCs w:val="1"/>
                <w:color w:val="auto"/>
              </w:rPr>
            </w:pPr>
          </w:p>
        </w:tc>
        <w:tc>
          <w:tcPr>
            <w:tcW w:w="9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7,142</w:t>
            </w:r>
          </w:p>
        </w:tc>
        <w:tc>
          <w:tcPr>
            <w:tcW w:w="1240" w:type="dxa"/>
            <w:vAlign w:val="bottom"/>
          </w:tcPr>
          <w:p>
            <w:pPr>
              <w:jc w:val="right"/>
              <w:spacing w:after="0"/>
              <w:rPr>
                <w:sz w:val="20"/>
                <w:szCs w:val="20"/>
                <w:color w:val="auto"/>
              </w:rPr>
            </w:pPr>
            <w:r>
              <w:rPr>
                <w:rFonts w:ascii="Arial" w:cs="Arial" w:eastAsia="Arial" w:hAnsi="Arial"/>
                <w:sz w:val="18"/>
                <w:szCs w:val="18"/>
                <w:color w:val="auto"/>
              </w:rPr>
              <w:t>6,706</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33,217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(6,424)</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(6,495)</w:t>
            </w:r>
          </w:p>
        </w:tc>
        <w:tc>
          <w:tcPr>
            <w:tcW w:w="14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(32,268)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Borders>
              <w:top w:val="single" w:sz="8" w:color="CCFFCC"/>
            </w:tcBorders>
          </w:tcPr>
          <w:p>
            <w:pPr>
              <w:spacing w:after="0"/>
              <w:rPr>
                <w:sz w:val="18"/>
                <w:szCs w:val="18"/>
                <w:color w:val="auto"/>
              </w:rPr>
            </w:pPr>
          </w:p>
        </w:tc>
        <w:tc>
          <w:tcPr>
            <w:tcW w:w="940" w:type="dxa"/>
            <w:vAlign w:val="bottom"/>
            <w:tcBorders>
              <w:top w:val="single" w:sz="8" w:color="CCFFCC"/>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Non-operating income</w:t>
            </w:r>
          </w:p>
        </w:tc>
        <w:tc>
          <w:tcPr>
            <w:tcW w:w="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Non-operating expenses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and amortization of debt discount expense</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(1,525)</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(4,304)</w:t>
            </w:r>
          </w:p>
        </w:tc>
        <w:tc>
          <w:tcPr>
            <w:tcW w:w="14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Gain (loss) on revaluation of warrants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952</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Gain on restructuring of venture loan</w:t>
            </w:r>
          </w:p>
        </w:tc>
        <w:tc>
          <w:tcPr>
            <w:tcW w:w="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963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Loss before taxes on income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(7,389)</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(9,907)</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(37,427)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(90)</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w:t>
            </w:r>
          </w:p>
        </w:tc>
        <w:tc>
          <w:tcPr>
            <w:tcW w:w="14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Borders>
              <w:top w:val="single" w:sz="8" w:color="CCFFCC"/>
            </w:tcBorders>
          </w:tcPr>
          <w:p>
            <w:pPr>
              <w:spacing w:after="0"/>
              <w:rPr>
                <w:sz w:val="18"/>
                <w:szCs w:val="18"/>
                <w:color w:val="auto"/>
              </w:rPr>
            </w:pPr>
          </w:p>
        </w:tc>
        <w:tc>
          <w:tcPr>
            <w:tcW w:w="940" w:type="dxa"/>
            <w:vAlign w:val="bottom"/>
            <w:tcBorders>
              <w:top w:val="single" w:sz="8" w:color="CCFFCC"/>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(7,479)</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(9,942)</w:t>
            </w:r>
          </w:p>
        </w:tc>
        <w:tc>
          <w:tcPr>
            <w:tcW w:w="14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(37,546)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520" w:type="dxa"/>
            <w:vAlign w:val="bottom"/>
            <w:gridSpan w:val="2"/>
          </w:tcPr>
          <w:p>
            <w:pPr>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(1.17)</w:t>
            </w:r>
          </w:p>
        </w:tc>
        <w:tc>
          <w:tcPr>
            <w:tcW w:w="14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(3.15)</w:t>
            </w:r>
          </w:p>
        </w:tc>
        <w:tc>
          <w:tcPr>
            <w:tcW w:w="14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2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number of shares used in computing basic and dilutive</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6,372,659</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net loss per common share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3,154,489</w:t>
            </w:r>
          </w:p>
        </w:tc>
        <w:tc>
          <w:tcPr>
            <w:tcW w:w="2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1,853,077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expenses in the total amount of $53, $450 and $1,103 to related parties for the years ended 2011 and 2010 and for the cumulative period from inception until December 31, 2011,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Deficit</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center"/>
              <w:ind w:left="168"/>
              <w:spacing w:after="0"/>
              <w:rPr>
                <w:sz w:val="20"/>
                <w:szCs w:val="20"/>
                <w:color w:val="auto"/>
              </w:rPr>
            </w:pPr>
            <w:r>
              <w:rPr>
                <w:rFonts w:ascii="Arial" w:cs="Arial" w:eastAsia="Arial" w:hAnsi="Arial"/>
                <w:sz w:val="14"/>
                <w:szCs w:val="14"/>
                <w:b w:val="1"/>
                <w:bCs w:val="1"/>
                <w:color w:val="auto"/>
                <w:w w:val="89"/>
              </w:rPr>
              <w:t>Series A</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accumulated</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convertible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during the</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preferred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development</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Common stock</w:t>
            </w:r>
          </w:p>
        </w:tc>
        <w:tc>
          <w:tcPr>
            <w:tcW w:w="240" w:type="dxa"/>
            <w:vAlign w:val="bottom"/>
          </w:tcPr>
          <w:p>
            <w:pPr>
              <w:spacing w:after="0"/>
              <w:rPr>
                <w:sz w:val="14"/>
                <w:szCs w:val="14"/>
                <w:color w:val="auto"/>
              </w:rPr>
            </w:pPr>
          </w:p>
        </w:tc>
        <w:tc>
          <w:tcPr>
            <w:tcW w:w="1020" w:type="dxa"/>
            <w:vAlign w:val="bottom"/>
          </w:tcPr>
          <w:p>
            <w:pPr>
              <w:jc w:val="center"/>
              <w:ind w:left="188"/>
              <w:spacing w:after="0"/>
              <w:rPr>
                <w:sz w:val="20"/>
                <w:szCs w:val="20"/>
                <w:color w:val="auto"/>
              </w:rPr>
            </w:pPr>
            <w:r>
              <w:rPr>
                <w:rFonts w:ascii="Arial" w:cs="Arial" w:eastAsia="Arial" w:hAnsi="Arial"/>
                <w:sz w:val="14"/>
                <w:szCs w:val="14"/>
                <w:b w:val="1"/>
                <w:bCs w:val="1"/>
                <w:color w:val="auto"/>
                <w:w w:val="87"/>
              </w:rPr>
              <w:t>stock</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paid-in capital</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stage</w:t>
            </w: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ind w:left="268"/>
              <w:spacing w:after="0" w:line="142" w:lineRule="exact"/>
              <w:rPr>
                <w:sz w:val="20"/>
                <w:szCs w:val="20"/>
                <w:color w:val="auto"/>
              </w:rPr>
            </w:pPr>
            <w:r>
              <w:rPr>
                <w:rFonts w:ascii="Arial" w:cs="Arial" w:eastAsia="Arial" w:hAnsi="Arial"/>
                <w:sz w:val="14"/>
                <w:szCs w:val="14"/>
                <w:b w:val="1"/>
                <w:bCs w:val="1"/>
                <w:color w:val="auto"/>
                <w:w w:val="91"/>
              </w:rPr>
              <w:t>U.S.$</w:t>
            </w: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center"/>
              <w:ind w:left="188"/>
              <w:spacing w:after="0" w:line="142" w:lineRule="exact"/>
              <w:rPr>
                <w:sz w:val="20"/>
                <w:szCs w:val="20"/>
                <w:color w:val="auto"/>
              </w:rPr>
            </w:pPr>
            <w:r>
              <w:rPr>
                <w:rFonts w:ascii="Arial" w:cs="Arial" w:eastAsia="Arial" w:hAnsi="Arial"/>
                <w:sz w:val="14"/>
                <w:szCs w:val="14"/>
                <w:b w:val="1"/>
                <w:bCs w:val="1"/>
                <w:color w:val="auto"/>
                <w:w w:val="91"/>
              </w:rPr>
              <w:t>U.S.$</w:t>
            </w:r>
          </w:p>
        </w:tc>
        <w:tc>
          <w:tcPr>
            <w:tcW w:w="24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U.S.$</w:t>
            </w:r>
          </w:p>
        </w:tc>
        <w:tc>
          <w:tcPr>
            <w:tcW w:w="22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U.S.$</w:t>
            </w:r>
          </w:p>
        </w:tc>
        <w:tc>
          <w:tcPr>
            <w:tcW w:w="20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Balance as of January 9, 2006 (inception)</w:t>
            </w:r>
          </w:p>
        </w:tc>
        <w:tc>
          <w:tcPr>
            <w:tcW w:w="3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2"/>
                <w:szCs w:val="12"/>
                <w:color w:val="auto"/>
              </w:rPr>
            </w:pPr>
          </w:p>
        </w:tc>
        <w:tc>
          <w:tcPr>
            <w:tcW w:w="146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FFCC"/>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Issuance of common stock</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0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Issuance of series A convertible preferred stock, net of issuance costs</w:t>
            </w:r>
          </w:p>
        </w:tc>
        <w:tc>
          <w:tcPr>
            <w:tcW w:w="3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of $33</w:t>
            </w:r>
          </w:p>
        </w:tc>
        <w:tc>
          <w:tcPr>
            <w:tcW w:w="3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2,321</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Stock dividend</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7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(44)</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Grants of stock options, net of forfeitures—employees</w:t>
            </w:r>
          </w:p>
        </w:tc>
        <w:tc>
          <w:tcPr>
            <w:tcW w:w="3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Grants of stock options, net of forfeitures—non employees</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loss for the period</w:t>
            </w:r>
          </w:p>
        </w:tc>
        <w:tc>
          <w:tcPr>
            <w:tcW w:w="940" w:type="dxa"/>
            <w:vAlign w:val="bottom"/>
            <w:shd w:val="clear" w:color="auto" w:fill="CCFFCC"/>
          </w:tcPr>
          <w:p>
            <w:pPr>
              <w:spacing w:after="0"/>
              <w:rPr>
                <w:sz w:val="12"/>
                <w:szCs w:val="12"/>
                <w:color w:val="auto"/>
              </w:rPr>
            </w:pPr>
          </w:p>
        </w:tc>
        <w:tc>
          <w:tcPr>
            <w:tcW w:w="3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2"/>
                <w:szCs w:val="12"/>
                <w:color w:val="auto"/>
              </w:rPr>
            </w:pPr>
          </w:p>
        </w:tc>
        <w:tc>
          <w:tcPr>
            <w:tcW w:w="1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(1,481)</w:t>
            </w:r>
          </w:p>
        </w:tc>
        <w:tc>
          <w:tcPr>
            <w:tcW w:w="13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(1,481)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as of December 31, 2006</w:t>
            </w:r>
          </w:p>
        </w:tc>
        <w:tc>
          <w:tcPr>
            <w:tcW w:w="94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rPr>
              <w:t>20</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Arial" w:cs="Arial" w:eastAsia="Arial" w:hAnsi="Arial"/>
                <w:sz w:val="14"/>
                <w:szCs w:val="14"/>
                <w:color w:val="auto"/>
              </w:rPr>
              <w:t>24</w:t>
            </w:r>
          </w:p>
        </w:tc>
        <w:tc>
          <w:tcPr>
            <w:tcW w:w="26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Arial" w:cs="Arial" w:eastAsia="Arial" w:hAnsi="Arial"/>
                <w:sz w:val="14"/>
                <w:szCs w:val="14"/>
                <w:color w:val="auto"/>
              </w:rPr>
              <w:t>2,288</w:t>
            </w:r>
          </w:p>
        </w:tc>
        <w:tc>
          <w:tcPr>
            <w:tcW w:w="220" w:type="dxa"/>
            <w:vAlign w:val="bottom"/>
          </w:tcPr>
          <w:p>
            <w:pPr>
              <w:spacing w:after="0"/>
              <w:rPr>
                <w:sz w:val="12"/>
                <w:szCs w:val="12"/>
                <w:color w:val="auto"/>
              </w:rPr>
            </w:pPr>
          </w:p>
        </w:tc>
        <w:tc>
          <w:tcPr>
            <w:tcW w:w="14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(1,481)</w:t>
            </w:r>
          </w:p>
        </w:tc>
        <w:tc>
          <w:tcPr>
            <w:tcW w:w="13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97"/>
              </w:rPr>
              <w:t>Issuance of common stock as part of conversion of convertible loan</w:t>
            </w:r>
          </w:p>
        </w:tc>
        <w:tc>
          <w:tcPr>
            <w:tcW w:w="940" w:type="dxa"/>
            <w:vAlign w:val="bottom"/>
            <w:tcBorders>
              <w:top w:val="single" w:sz="8" w:color="auto"/>
            </w:tcBorders>
            <w:shd w:val="clear" w:color="auto" w:fill="CCFFCC"/>
          </w:tcPr>
          <w:p>
            <w:pPr>
              <w:spacing w:after="0"/>
              <w:rPr>
                <w:sz w:val="12"/>
                <w:szCs w:val="12"/>
                <w:color w:val="auto"/>
              </w:rPr>
            </w:pPr>
          </w:p>
        </w:tc>
        <w:tc>
          <w:tcPr>
            <w:tcW w:w="3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w:t>
            </w:r>
          </w:p>
        </w:tc>
        <w:tc>
          <w:tcPr>
            <w:tcW w:w="240" w:type="dxa"/>
            <w:vAlign w:val="bottom"/>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138</w:t>
            </w:r>
          </w:p>
        </w:tc>
        <w:tc>
          <w:tcPr>
            <w:tcW w:w="220" w:type="dxa"/>
            <w:vAlign w:val="bottom"/>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2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140</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Discounts to temporary equity</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Amortization of discounts to temporary equity</w:t>
            </w:r>
          </w:p>
        </w:tc>
        <w:tc>
          <w:tcPr>
            <w:tcW w:w="3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Grants of stock options, net of forfeitures—employees</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98</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Grants of stock options, net of forfeitures—non employees</w:t>
            </w:r>
          </w:p>
        </w:tc>
        <w:tc>
          <w:tcPr>
            <w:tcW w:w="3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Net loss for the year</w:t>
            </w:r>
          </w:p>
        </w:tc>
        <w:tc>
          <w:tcPr>
            <w:tcW w:w="9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(5,163)</w:t>
            </w: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0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Balance as of December 31, 2007</w:t>
            </w:r>
          </w:p>
        </w:tc>
        <w:tc>
          <w:tcPr>
            <w:tcW w:w="940" w:type="dxa"/>
            <w:vAlign w:val="bottom"/>
            <w:shd w:val="clear" w:color="auto" w:fill="CCFFCC"/>
          </w:tcPr>
          <w:p>
            <w:pPr>
              <w:spacing w:after="0"/>
              <w:rPr>
                <w:sz w:val="12"/>
                <w:szCs w:val="12"/>
                <w:color w:val="auto"/>
              </w:rPr>
            </w:pPr>
          </w:p>
        </w:tc>
        <w:tc>
          <w:tcPr>
            <w:tcW w:w="3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22</w:t>
            </w: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24</w:t>
            </w:r>
          </w:p>
        </w:tc>
        <w:tc>
          <w:tcPr>
            <w:tcW w:w="260" w:type="dxa"/>
            <w:vAlign w:val="bottom"/>
            <w:shd w:val="clear" w:color="auto" w:fill="CCFFCC"/>
          </w:tcPr>
          <w:p>
            <w:pPr>
              <w:spacing w:after="0"/>
              <w:rPr>
                <w:sz w:val="12"/>
                <w:szCs w:val="12"/>
                <w:color w:val="auto"/>
              </w:rPr>
            </w:pPr>
          </w:p>
        </w:tc>
        <w:tc>
          <w:tcPr>
            <w:tcW w:w="12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2,578</w:t>
            </w:r>
          </w:p>
        </w:tc>
        <w:tc>
          <w:tcPr>
            <w:tcW w:w="220" w:type="dxa"/>
            <w:vAlign w:val="bottom"/>
            <w:shd w:val="clear" w:color="auto" w:fill="CCFFCC"/>
          </w:tcPr>
          <w:p>
            <w:pPr>
              <w:spacing w:after="0"/>
              <w:rPr>
                <w:sz w:val="12"/>
                <w:szCs w:val="12"/>
                <w:color w:val="auto"/>
              </w:rPr>
            </w:pPr>
          </w:p>
        </w:tc>
        <w:tc>
          <w:tcPr>
            <w:tcW w:w="1440" w:type="dxa"/>
            <w:vAlign w:val="bottom"/>
            <w:gridSpan w:val="2"/>
            <w:shd w:val="clear" w:color="auto" w:fill="CCFFCC"/>
          </w:tcPr>
          <w:p>
            <w:pPr>
              <w:jc w:val="right"/>
              <w:ind w:right="160"/>
              <w:spacing w:after="0" w:line="142" w:lineRule="exact"/>
              <w:rPr>
                <w:sz w:val="20"/>
                <w:szCs w:val="20"/>
                <w:color w:val="auto"/>
              </w:rPr>
            </w:pPr>
            <w:r>
              <w:rPr>
                <w:rFonts w:ascii="Arial" w:cs="Arial" w:eastAsia="Arial" w:hAnsi="Arial"/>
                <w:sz w:val="14"/>
                <w:szCs w:val="14"/>
                <w:color w:val="auto"/>
              </w:rPr>
              <w:t>(6,644)</w:t>
            </w:r>
          </w:p>
        </w:tc>
        <w:tc>
          <w:tcPr>
            <w:tcW w:w="136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(4,020)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CCFFCC"/>
            </w:tcBorders>
          </w:tcPr>
          <w:p>
            <w:pPr>
              <w:spacing w:after="0" w:line="142" w:lineRule="exact"/>
              <w:rPr>
                <w:sz w:val="20"/>
                <w:szCs w:val="20"/>
                <w:color w:val="auto"/>
              </w:rPr>
            </w:pPr>
            <w:r>
              <w:rPr>
                <w:rFonts w:ascii="Arial" w:cs="Arial" w:eastAsia="Arial" w:hAnsi="Arial"/>
                <w:sz w:val="14"/>
                <w:szCs w:val="14"/>
                <w:color w:val="auto"/>
              </w:rPr>
              <w:t>Issuance of warrants</w:t>
            </w:r>
          </w:p>
        </w:tc>
        <w:tc>
          <w:tcPr>
            <w:tcW w:w="9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FFCC"/>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360</w:t>
            </w:r>
          </w:p>
        </w:tc>
        <w:tc>
          <w:tcPr>
            <w:tcW w:w="220" w:type="dxa"/>
            <w:vAlign w:val="bottom"/>
            <w:tcBorders>
              <w:top w:val="single" w:sz="8" w:color="CCFFCC"/>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FFCC"/>
            </w:tcBorders>
          </w:tcPr>
          <w:p>
            <w:pPr>
              <w:spacing w:after="0"/>
              <w:rPr>
                <w:sz w:val="12"/>
                <w:szCs w:val="12"/>
                <w:color w:val="auto"/>
              </w:rPr>
            </w:pPr>
          </w:p>
        </w:tc>
        <w:tc>
          <w:tcPr>
            <w:tcW w:w="1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360</w:t>
            </w: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Amortization of discounts to temporary equity</w:t>
            </w:r>
          </w:p>
        </w:tc>
        <w:tc>
          <w:tcPr>
            <w:tcW w:w="3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Grants of stock options, net of forfeitures—employees</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Grants of stock options, net of forfeitures—non employees</w:t>
            </w:r>
          </w:p>
        </w:tc>
        <w:tc>
          <w:tcPr>
            <w:tcW w:w="3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Net loss for the year</w:t>
            </w:r>
          </w:p>
        </w:tc>
        <w:tc>
          <w:tcPr>
            <w:tcW w:w="9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(7,332)</w:t>
            </w: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Consideration for less than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left="197"/>
              <w:spacing w:after="0"/>
              <w:rPr>
                <w:sz w:val="20"/>
                <w:szCs w:val="20"/>
                <w:color w:val="auto"/>
              </w:rPr>
            </w:pPr>
            <w:r>
              <w:rPr>
                <w:rFonts w:ascii="Arial" w:cs="Arial" w:eastAsia="Arial" w:hAnsi="Arial"/>
                <w:sz w:val="13"/>
                <w:szCs w:val="13"/>
                <w:b w:val="1"/>
                <w:bCs w:val="1"/>
                <w:color w:val="auto"/>
                <w:w w:val="84"/>
              </w:rPr>
              <w:t>Series A</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left="197"/>
              <w:spacing w:after="0"/>
              <w:rPr>
                <w:sz w:val="20"/>
                <w:szCs w:val="20"/>
                <w:color w:val="auto"/>
              </w:rPr>
            </w:pPr>
            <w:r>
              <w:rPr>
                <w:rFonts w:ascii="Arial" w:cs="Arial" w:eastAsia="Arial" w:hAnsi="Arial"/>
                <w:sz w:val="13"/>
                <w:szCs w:val="13"/>
                <w:b w:val="1"/>
                <w:bCs w:val="1"/>
                <w:color w:val="auto"/>
                <w:w w:val="86"/>
              </w:rPr>
              <w:t>convertible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during the</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left="197"/>
              <w:spacing w:after="0"/>
              <w:rPr>
                <w:sz w:val="20"/>
                <w:szCs w:val="20"/>
                <w:color w:val="auto"/>
              </w:rPr>
            </w:pPr>
            <w:r>
              <w:rPr>
                <w:rFonts w:ascii="Arial" w:cs="Arial" w:eastAsia="Arial" w:hAnsi="Arial"/>
                <w:sz w:val="13"/>
                <w:szCs w:val="13"/>
                <w:b w:val="1"/>
                <w:bCs w:val="1"/>
                <w:color w:val="auto"/>
                <w:w w:val="91"/>
              </w:rPr>
              <w:t>preferred</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4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development</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060" w:type="dxa"/>
            <w:vAlign w:val="bottom"/>
          </w:tcPr>
          <w:p>
            <w:pPr>
              <w:jc w:val="center"/>
              <w:ind w:left="157"/>
              <w:spacing w:after="0"/>
              <w:rPr>
                <w:sz w:val="20"/>
                <w:szCs w:val="20"/>
                <w:color w:val="auto"/>
              </w:rPr>
            </w:pPr>
            <w:r>
              <w:rPr>
                <w:rFonts w:ascii="Arial" w:cs="Arial" w:eastAsia="Arial" w:hAnsi="Arial"/>
                <w:sz w:val="13"/>
                <w:szCs w:val="13"/>
                <w:b w:val="1"/>
                <w:bCs w:val="1"/>
                <w:color w:val="auto"/>
                <w:w w:val="85"/>
              </w:rPr>
              <w:t>Common stock</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left="197"/>
              <w:spacing w:after="0"/>
              <w:rPr>
                <w:sz w:val="20"/>
                <w:szCs w:val="20"/>
                <w:color w:val="auto"/>
              </w:rPr>
            </w:pPr>
            <w:r>
              <w:rPr>
                <w:rFonts w:ascii="Arial" w:cs="Arial" w:eastAsia="Arial" w:hAnsi="Arial"/>
                <w:sz w:val="13"/>
                <w:szCs w:val="13"/>
                <w:b w:val="1"/>
                <w:bCs w:val="1"/>
                <w:color w:val="auto"/>
                <w:w w:val="82"/>
              </w:rPr>
              <w:t>stock</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paid-in capital</w:t>
            </w:r>
          </w:p>
        </w:tc>
        <w:tc>
          <w:tcPr>
            <w:tcW w:w="14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6"/>
              </w:rPr>
              <w:t>stage</w:t>
            </w:r>
          </w:p>
        </w:tc>
        <w:tc>
          <w:tcPr>
            <w:tcW w:w="13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center"/>
              <w:ind w:left="157"/>
              <w:spacing w:after="0" w:line="129" w:lineRule="exact"/>
              <w:rPr>
                <w:sz w:val="20"/>
                <w:szCs w:val="20"/>
                <w:color w:val="auto"/>
              </w:rPr>
            </w:pPr>
            <w:r>
              <w:rPr>
                <w:rFonts w:ascii="Arial" w:cs="Arial" w:eastAsia="Arial" w:hAnsi="Arial"/>
                <w:sz w:val="13"/>
                <w:szCs w:val="13"/>
                <w:b w:val="1"/>
                <w:bCs w:val="1"/>
                <w:color w:val="auto"/>
                <w:w w:val="85"/>
              </w:rPr>
              <w:t>U.S.$</w:t>
            </w:r>
          </w:p>
        </w:tc>
        <w:tc>
          <w:tcPr>
            <w:tcW w:w="220" w:type="dxa"/>
            <w:vAlign w:val="bottom"/>
            <w:tcBorders>
              <w:top w:val="single" w:sz="8" w:color="auto"/>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top w:val="single" w:sz="8" w:color="auto"/>
              <w:bottom w:val="single" w:sz="8" w:color="auto"/>
            </w:tcBorders>
          </w:tcPr>
          <w:p>
            <w:pPr>
              <w:jc w:val="center"/>
              <w:ind w:left="197"/>
              <w:spacing w:after="0" w:line="129" w:lineRule="exact"/>
              <w:rPr>
                <w:sz w:val="20"/>
                <w:szCs w:val="20"/>
                <w:color w:val="auto"/>
              </w:rPr>
            </w:pPr>
            <w:r>
              <w:rPr>
                <w:rFonts w:ascii="Arial" w:cs="Arial" w:eastAsia="Arial" w:hAnsi="Arial"/>
                <w:sz w:val="13"/>
                <w:szCs w:val="13"/>
                <w:b w:val="1"/>
                <w:bCs w:val="1"/>
                <w:color w:val="auto"/>
                <w:w w:val="85"/>
              </w:rPr>
              <w:t>U.S.$</w:t>
            </w:r>
          </w:p>
        </w:tc>
        <w:tc>
          <w:tcPr>
            <w:tcW w:w="240" w:type="dxa"/>
            <w:vAlign w:val="bottom"/>
            <w:tcBorders>
              <w:top w:val="single" w:sz="8" w:color="auto"/>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5"/>
              </w:rPr>
              <w:t>U.S.$</w:t>
            </w:r>
          </w:p>
        </w:tc>
        <w:tc>
          <w:tcPr>
            <w:tcW w:w="22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U.S.$</w:t>
            </w:r>
          </w:p>
        </w:tc>
        <w:tc>
          <w:tcPr>
            <w:tcW w:w="200" w:type="dxa"/>
            <w:vAlign w:val="bottom"/>
          </w:tcPr>
          <w:p>
            <w:pPr>
              <w:spacing w:after="0"/>
              <w:rPr>
                <w:sz w:val="11"/>
                <w:szCs w:val="11"/>
                <w:color w:val="auto"/>
              </w:rPr>
            </w:pPr>
          </w:p>
        </w:tc>
        <w:tc>
          <w:tcPr>
            <w:tcW w:w="1260" w:type="dxa"/>
            <w:vAlign w:val="bottom"/>
            <w:tcBorders>
              <w:top w:val="single" w:sz="8" w:color="auto"/>
              <w:bottom w:val="single" w:sz="8" w:color="auto"/>
            </w:tcBorders>
          </w:tcPr>
          <w:p>
            <w:pPr>
              <w:jc w:val="right"/>
              <w:ind w:right="417"/>
              <w:spacing w:after="0" w:line="129"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shd w:val="clear" w:color="auto" w:fill="CCFFCC"/>
          </w:tcPr>
          <w:p>
            <w:pPr>
              <w:spacing w:after="0" w:line="129" w:lineRule="exact"/>
              <w:rPr>
                <w:sz w:val="20"/>
                <w:szCs w:val="20"/>
                <w:color w:val="auto"/>
              </w:rPr>
            </w:pPr>
            <w:r>
              <w:rPr>
                <w:rFonts w:ascii="Arial" w:cs="Arial" w:eastAsia="Arial" w:hAnsi="Arial"/>
                <w:sz w:val="13"/>
                <w:szCs w:val="13"/>
                <w:b w:val="1"/>
                <w:bCs w:val="1"/>
                <w:color w:val="auto"/>
              </w:rPr>
              <w:t>Balance as of December 31, 2008</w:t>
            </w: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22</w:t>
            </w:r>
          </w:p>
        </w:tc>
        <w:tc>
          <w:tcPr>
            <w:tcW w:w="240" w:type="dxa"/>
            <w:vAlign w:val="bottom"/>
            <w:tcBorders>
              <w:left w:val="single" w:sz="8" w:color="CCFFCC"/>
            </w:tcBorders>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240" w:type="dxa"/>
            <w:vAlign w:val="bottom"/>
            <w:shd w:val="clear" w:color="auto" w:fill="CCFFCC"/>
          </w:tcPr>
          <w:p>
            <w:pPr>
              <w:ind w:left="120"/>
              <w:spacing w:after="0" w:line="129" w:lineRule="exact"/>
              <w:rPr>
                <w:sz w:val="20"/>
                <w:szCs w:val="20"/>
                <w:color w:val="auto"/>
              </w:rPr>
            </w:pPr>
            <w:r>
              <w:rPr>
                <w:rFonts w:ascii="Arial" w:cs="Arial" w:eastAsia="Arial" w:hAnsi="Arial"/>
                <w:sz w:val="12"/>
                <w:szCs w:val="12"/>
                <w:color w:val="auto"/>
                <w:w w:val="74"/>
              </w:rPr>
              <w:t>24</w:t>
            </w:r>
          </w:p>
        </w:tc>
        <w:tc>
          <w:tcPr>
            <w:tcW w:w="260" w:type="dxa"/>
            <w:vAlign w:val="bottom"/>
            <w:shd w:val="clear" w:color="auto" w:fill="CCFFCC"/>
          </w:tcPr>
          <w:p>
            <w:pPr>
              <w:spacing w:after="0"/>
              <w:rPr>
                <w:sz w:val="11"/>
                <w:szCs w:val="11"/>
                <w:color w:val="auto"/>
              </w:rPr>
            </w:pPr>
          </w:p>
        </w:tc>
        <w:tc>
          <w:tcPr>
            <w:tcW w:w="124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2,960</w:t>
            </w:r>
          </w:p>
        </w:tc>
        <w:tc>
          <w:tcPr>
            <w:tcW w:w="220" w:type="dxa"/>
            <w:vAlign w:val="bottom"/>
            <w:shd w:val="clear" w:color="auto" w:fill="CCFFCC"/>
          </w:tcPr>
          <w:p>
            <w:pPr>
              <w:spacing w:after="0"/>
              <w:rPr>
                <w:sz w:val="11"/>
                <w:szCs w:val="11"/>
                <w:color w:val="auto"/>
              </w:rPr>
            </w:pPr>
          </w:p>
        </w:tc>
        <w:tc>
          <w:tcPr>
            <w:tcW w:w="1440" w:type="dxa"/>
            <w:vAlign w:val="bottom"/>
            <w:gridSpan w:val="2"/>
            <w:shd w:val="clear" w:color="auto" w:fill="CCFFCC"/>
          </w:tcPr>
          <w:p>
            <w:pPr>
              <w:jc w:val="right"/>
              <w:ind w:right="160"/>
              <w:spacing w:after="0" w:line="129" w:lineRule="exact"/>
              <w:rPr>
                <w:sz w:val="20"/>
                <w:szCs w:val="20"/>
                <w:color w:val="auto"/>
              </w:rPr>
            </w:pPr>
            <w:r>
              <w:rPr>
                <w:rFonts w:ascii="Arial" w:cs="Arial" w:eastAsia="Arial" w:hAnsi="Arial"/>
                <w:sz w:val="13"/>
                <w:szCs w:val="13"/>
                <w:color w:val="auto"/>
              </w:rPr>
              <w:t>(13,976)</w:t>
            </w:r>
          </w:p>
        </w:tc>
        <w:tc>
          <w:tcPr>
            <w:tcW w:w="1360" w:type="dxa"/>
            <w:vAlign w:val="bottom"/>
            <w:gridSpan w:val="2"/>
            <w:shd w:val="clear" w:color="auto" w:fill="CCFFCC"/>
          </w:tcPr>
          <w:p>
            <w:pPr>
              <w:jc w:val="right"/>
              <w:ind w:right="60"/>
              <w:spacing w:after="0" w:line="129" w:lineRule="exact"/>
              <w:rPr>
                <w:sz w:val="20"/>
                <w:szCs w:val="20"/>
                <w:color w:val="auto"/>
              </w:rPr>
            </w:pPr>
            <w:r>
              <w:rPr>
                <w:rFonts w:ascii="Arial" w:cs="Arial" w:eastAsia="Arial" w:hAnsi="Arial"/>
                <w:sz w:val="13"/>
                <w:szCs w:val="13"/>
                <w:color w:val="auto"/>
              </w:rPr>
              <w:t>(10,970)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Borders>
              <w:left w:val="single" w:sz="8" w:color="CCFFCC"/>
            </w:tcBorders>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4100" w:type="dxa"/>
            <w:vAlign w:val="bottom"/>
          </w:tcPr>
          <w:p>
            <w:pPr>
              <w:spacing w:after="0" w:line="129" w:lineRule="exact"/>
              <w:rPr>
                <w:sz w:val="20"/>
                <w:szCs w:val="20"/>
                <w:color w:val="auto"/>
              </w:rPr>
            </w:pPr>
            <w:r>
              <w:rPr>
                <w:rFonts w:ascii="Arial" w:cs="Arial" w:eastAsia="Arial" w:hAnsi="Arial"/>
                <w:sz w:val="13"/>
                <w:szCs w:val="13"/>
                <w:color w:val="auto"/>
              </w:rPr>
              <w:t>Issuance of warrants</w:t>
            </w:r>
          </w:p>
        </w:tc>
        <w:tc>
          <w:tcPr>
            <w:tcW w:w="106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gridSpan w:val="2"/>
          </w:tcPr>
          <w:p>
            <w:pPr>
              <w:ind w:left="120"/>
              <w:spacing w:after="0" w:line="129" w:lineRule="exact"/>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60</w:t>
            </w:r>
          </w:p>
        </w:tc>
        <w:tc>
          <w:tcPr>
            <w:tcW w:w="144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Loan modification</w:t>
            </w:r>
          </w:p>
        </w:tc>
        <w:tc>
          <w:tcPr>
            <w:tcW w:w="1480" w:type="dxa"/>
            <w:vAlign w:val="bottom"/>
            <w:gridSpan w:val="3"/>
            <w:shd w:val="clear" w:color="auto" w:fill="CCFFCC"/>
          </w:tcPr>
          <w:p>
            <w:pPr>
              <w:jc w:val="right"/>
              <w:ind w:right="119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500</w:t>
            </w:r>
          </w:p>
        </w:tc>
        <w:tc>
          <w:tcPr>
            <w:tcW w:w="14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tcPr>
          <w:p>
            <w:pPr>
              <w:spacing w:after="0" w:line="135" w:lineRule="exact"/>
              <w:rPr>
                <w:sz w:val="20"/>
                <w:szCs w:val="20"/>
                <w:color w:val="auto"/>
              </w:rPr>
            </w:pPr>
            <w:r>
              <w:rPr>
                <w:rFonts w:ascii="Arial" w:cs="Arial" w:eastAsia="Arial" w:hAnsi="Arial"/>
                <w:sz w:val="13"/>
                <w:szCs w:val="13"/>
                <w:color w:val="auto"/>
              </w:rPr>
              <w:t>Amortization of discounts to temporary equity</w:t>
            </w:r>
          </w:p>
        </w:tc>
        <w:tc>
          <w:tcPr>
            <w:tcW w:w="1480" w:type="dxa"/>
            <w:vAlign w:val="bottom"/>
            <w:gridSpan w:val="3"/>
          </w:tcPr>
          <w:p>
            <w:pPr>
              <w:jc w:val="right"/>
              <w:ind w:right="119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w:t>
            </w:r>
          </w:p>
        </w:tc>
        <w:tc>
          <w:tcPr>
            <w:tcW w:w="14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Grants of stock options, net of forfeitures—employees</w:t>
            </w:r>
          </w:p>
        </w:tc>
        <w:tc>
          <w:tcPr>
            <w:tcW w:w="1480" w:type="dxa"/>
            <w:vAlign w:val="bottom"/>
            <w:gridSpan w:val="3"/>
            <w:shd w:val="clear" w:color="auto" w:fill="CCFFCC"/>
          </w:tcPr>
          <w:p>
            <w:pPr>
              <w:jc w:val="right"/>
              <w:ind w:right="119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178</w:t>
            </w:r>
          </w:p>
        </w:tc>
        <w:tc>
          <w:tcPr>
            <w:tcW w:w="14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tcPr>
          <w:p>
            <w:pPr>
              <w:spacing w:after="0" w:line="135" w:lineRule="exact"/>
              <w:rPr>
                <w:sz w:val="20"/>
                <w:szCs w:val="20"/>
                <w:color w:val="auto"/>
              </w:rPr>
            </w:pPr>
            <w:r>
              <w:rPr>
                <w:rFonts w:ascii="Arial" w:cs="Arial" w:eastAsia="Arial" w:hAnsi="Arial"/>
                <w:sz w:val="13"/>
                <w:szCs w:val="13"/>
                <w:color w:val="auto"/>
              </w:rPr>
              <w:t>Grants of stock options, net of forfeiture—non employees</w:t>
            </w:r>
          </w:p>
        </w:tc>
        <w:tc>
          <w:tcPr>
            <w:tcW w:w="1480" w:type="dxa"/>
            <w:vAlign w:val="bottom"/>
            <w:gridSpan w:val="3"/>
          </w:tcPr>
          <w:p>
            <w:pPr>
              <w:jc w:val="right"/>
              <w:ind w:right="119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w:t>
            </w:r>
          </w:p>
        </w:tc>
        <w:tc>
          <w:tcPr>
            <w:tcW w:w="14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loss for the year</w:t>
            </w: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left w:val="single" w:sz="8" w:color="CCFFCC"/>
            </w:tcBorders>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4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(6,149)</w:t>
            </w:r>
          </w:p>
        </w:tc>
        <w:tc>
          <w:tcPr>
            <w:tcW w:w="13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(6,149)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Borders>
              <w:left w:val="single" w:sz="8" w:color="CCFFCC"/>
            </w:tcBorders>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410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as of December 31, 2009</w:t>
            </w:r>
          </w:p>
        </w:tc>
        <w:tc>
          <w:tcPr>
            <w:tcW w:w="106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Arial" w:cs="Arial" w:eastAsia="Arial" w:hAnsi="Arial"/>
                <w:sz w:val="13"/>
                <w:szCs w:val="13"/>
                <w:color w:val="auto"/>
              </w:rPr>
              <w:t>22</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ind w:left="120"/>
              <w:spacing w:after="0" w:line="129" w:lineRule="exact"/>
              <w:rPr>
                <w:sz w:val="20"/>
                <w:szCs w:val="20"/>
                <w:color w:val="auto"/>
              </w:rPr>
            </w:pPr>
            <w:r>
              <w:rPr>
                <w:rFonts w:ascii="Arial" w:cs="Arial" w:eastAsia="Arial" w:hAnsi="Arial"/>
                <w:sz w:val="12"/>
                <w:szCs w:val="12"/>
                <w:color w:val="auto"/>
                <w:w w:val="74"/>
              </w:rPr>
              <w:t>24</w:t>
            </w: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3"/>
                <w:szCs w:val="13"/>
                <w:color w:val="auto"/>
              </w:rPr>
              <w:t>3,701</w:t>
            </w:r>
          </w:p>
        </w:tc>
        <w:tc>
          <w:tcPr>
            <w:tcW w:w="220" w:type="dxa"/>
            <w:vAlign w:val="bottom"/>
          </w:tcPr>
          <w:p>
            <w:pPr>
              <w:spacing w:after="0"/>
              <w:rPr>
                <w:sz w:val="11"/>
                <w:szCs w:val="11"/>
                <w:color w:val="auto"/>
              </w:rPr>
            </w:pPr>
          </w:p>
        </w:tc>
        <w:tc>
          <w:tcPr>
            <w:tcW w:w="144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(20,125)</w:t>
            </w:r>
          </w:p>
        </w:tc>
        <w:tc>
          <w:tcPr>
            <w:tcW w:w="136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(16,378)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41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Issuance of common stock, net of issuance costs of $1,768</w:t>
            </w: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24</w:t>
            </w:r>
          </w:p>
        </w:tc>
        <w:tc>
          <w:tcPr>
            <w:tcW w:w="240" w:type="dxa"/>
            <w:vAlign w:val="bottom"/>
            <w:tcBorders>
              <w:left w:val="single" w:sz="8" w:color="CCFFCC"/>
            </w:tcBorders>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ind w:left="120"/>
              <w:spacing w:after="0" w:line="129"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CFFCC"/>
          </w:tcPr>
          <w:p>
            <w:pPr>
              <w:jc w:val="right"/>
              <w:ind w:right="220"/>
              <w:spacing w:after="0" w:line="129" w:lineRule="exact"/>
              <w:rPr>
                <w:sz w:val="20"/>
                <w:szCs w:val="20"/>
                <w:color w:val="auto"/>
              </w:rPr>
            </w:pPr>
            <w:r>
              <w:rPr>
                <w:rFonts w:ascii="Arial" w:cs="Arial" w:eastAsia="Arial" w:hAnsi="Arial"/>
                <w:sz w:val="13"/>
                <w:szCs w:val="13"/>
                <w:color w:val="auto"/>
              </w:rPr>
              <w:t>9,239</w:t>
            </w:r>
          </w:p>
        </w:tc>
        <w:tc>
          <w:tcPr>
            <w:tcW w:w="1440" w:type="dxa"/>
            <w:vAlign w:val="bottom"/>
            <w:gridSpan w:val="2"/>
            <w:shd w:val="clear" w:color="auto" w:fill="CCFFCC"/>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3"/>
                <w:szCs w:val="13"/>
                <w:color w:val="auto"/>
              </w:rPr>
              <w:t>9,263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tcPr>
          <w:p>
            <w:pPr>
              <w:spacing w:after="0" w:line="135" w:lineRule="exact"/>
              <w:rPr>
                <w:sz w:val="20"/>
                <w:szCs w:val="20"/>
                <w:color w:val="auto"/>
              </w:rPr>
            </w:pPr>
            <w:r>
              <w:rPr>
                <w:rFonts w:ascii="Arial" w:cs="Arial" w:eastAsia="Arial" w:hAnsi="Arial"/>
                <w:sz w:val="13"/>
                <w:szCs w:val="13"/>
                <w:color w:val="auto"/>
              </w:rPr>
              <w:t>Exchange of series A convertible preferred stock for common stock</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(24)</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Conversion of Bridge notes</w:t>
            </w:r>
          </w:p>
        </w:tc>
        <w:tc>
          <w:tcPr>
            <w:tcW w:w="2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w:t>
            </w:r>
          </w:p>
        </w:tc>
        <w:tc>
          <w:tcPr>
            <w:tcW w:w="240" w:type="dxa"/>
            <w:vAlign w:val="bottom"/>
            <w:tcBorders>
              <w:left w:val="single" w:sz="8" w:color="CCFFCC"/>
            </w:tcBorders>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2,536</w:t>
            </w:r>
          </w:p>
        </w:tc>
        <w:tc>
          <w:tcPr>
            <w:tcW w:w="14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2,545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tcPr>
          <w:p>
            <w:pPr>
              <w:spacing w:after="0" w:line="135" w:lineRule="exact"/>
              <w:rPr>
                <w:sz w:val="20"/>
                <w:szCs w:val="20"/>
                <w:color w:val="auto"/>
              </w:rPr>
            </w:pPr>
            <w:r>
              <w:rPr>
                <w:rFonts w:ascii="Arial" w:cs="Arial" w:eastAsia="Arial" w:hAnsi="Arial"/>
                <w:sz w:val="13"/>
                <w:szCs w:val="13"/>
                <w:color w:val="auto"/>
              </w:rPr>
              <w:t>Amortization of discounts to temporary equity</w:t>
            </w:r>
          </w:p>
        </w:tc>
        <w:tc>
          <w:tcPr>
            <w:tcW w:w="1480" w:type="dxa"/>
            <w:vAlign w:val="bottom"/>
            <w:gridSpan w:val="3"/>
          </w:tcPr>
          <w:p>
            <w:pPr>
              <w:jc w:val="right"/>
              <w:ind w:right="119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4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Grants of stock options, net of forfeitures—employees</w:t>
            </w:r>
          </w:p>
        </w:tc>
        <w:tc>
          <w:tcPr>
            <w:tcW w:w="1480" w:type="dxa"/>
            <w:vAlign w:val="bottom"/>
            <w:gridSpan w:val="3"/>
            <w:shd w:val="clear" w:color="auto" w:fill="CCFFCC"/>
          </w:tcPr>
          <w:p>
            <w:pPr>
              <w:jc w:val="right"/>
              <w:ind w:right="119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883</w:t>
            </w:r>
          </w:p>
        </w:tc>
        <w:tc>
          <w:tcPr>
            <w:tcW w:w="14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883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tcPr>
          <w:p>
            <w:pPr>
              <w:spacing w:after="0" w:line="135" w:lineRule="exact"/>
              <w:rPr>
                <w:sz w:val="20"/>
                <w:szCs w:val="20"/>
                <w:color w:val="auto"/>
              </w:rPr>
            </w:pPr>
            <w:r>
              <w:rPr>
                <w:rFonts w:ascii="Arial" w:cs="Arial" w:eastAsia="Arial" w:hAnsi="Arial"/>
                <w:sz w:val="13"/>
                <w:szCs w:val="13"/>
                <w:color w:val="auto"/>
              </w:rPr>
              <w:t>Grants of stock options, net of forfeitures—non employees</w:t>
            </w:r>
          </w:p>
        </w:tc>
        <w:tc>
          <w:tcPr>
            <w:tcW w:w="1480" w:type="dxa"/>
            <w:vAlign w:val="bottom"/>
            <w:gridSpan w:val="3"/>
          </w:tcPr>
          <w:p>
            <w:pPr>
              <w:jc w:val="right"/>
              <w:ind w:right="119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w:t>
            </w:r>
          </w:p>
        </w:tc>
        <w:tc>
          <w:tcPr>
            <w:tcW w:w="14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Exercise of warrants to charity</w:t>
            </w:r>
          </w:p>
        </w:tc>
        <w:tc>
          <w:tcPr>
            <w:tcW w:w="1480" w:type="dxa"/>
            <w:vAlign w:val="bottom"/>
            <w:gridSpan w:val="3"/>
            <w:shd w:val="clear" w:color="auto" w:fill="CCFFCC"/>
          </w:tcPr>
          <w:p>
            <w:pPr>
              <w:jc w:val="right"/>
              <w:ind w:right="119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w:t>
            </w:r>
          </w:p>
        </w:tc>
        <w:tc>
          <w:tcPr>
            <w:tcW w:w="14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tcPr>
          <w:p>
            <w:pPr>
              <w:spacing w:after="0" w:line="135" w:lineRule="exact"/>
              <w:rPr>
                <w:sz w:val="20"/>
                <w:szCs w:val="20"/>
                <w:color w:val="auto"/>
              </w:rPr>
            </w:pPr>
            <w:r>
              <w:rPr>
                <w:rFonts w:ascii="Arial" w:cs="Arial" w:eastAsia="Arial" w:hAnsi="Arial"/>
                <w:sz w:val="13"/>
                <w:szCs w:val="13"/>
                <w:color w:val="auto"/>
              </w:rPr>
              <w:t>Grants of warrants to lead investors</w:t>
            </w:r>
          </w:p>
        </w:tc>
        <w:tc>
          <w:tcPr>
            <w:tcW w:w="1480" w:type="dxa"/>
            <w:vAlign w:val="bottom"/>
            <w:gridSpan w:val="3"/>
          </w:tcPr>
          <w:p>
            <w:pPr>
              <w:jc w:val="right"/>
              <w:ind w:right="119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1,342</w:t>
            </w:r>
          </w:p>
        </w:tc>
        <w:tc>
          <w:tcPr>
            <w:tcW w:w="14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Grants of warrants to charity</w:t>
            </w:r>
          </w:p>
        </w:tc>
        <w:tc>
          <w:tcPr>
            <w:tcW w:w="1480" w:type="dxa"/>
            <w:vAlign w:val="bottom"/>
            <w:gridSpan w:val="3"/>
            <w:shd w:val="clear" w:color="auto" w:fill="CCFFCC"/>
          </w:tcPr>
          <w:p>
            <w:pPr>
              <w:jc w:val="right"/>
              <w:ind w:right="119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37</w:t>
            </w:r>
          </w:p>
        </w:tc>
        <w:tc>
          <w:tcPr>
            <w:tcW w:w="14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tcPr>
          <w:p>
            <w:pPr>
              <w:spacing w:after="0" w:line="135" w:lineRule="exact"/>
              <w:rPr>
                <w:sz w:val="20"/>
                <w:szCs w:val="20"/>
                <w:color w:val="auto"/>
              </w:rPr>
            </w:pPr>
            <w:r>
              <w:rPr>
                <w:rFonts w:ascii="Arial" w:cs="Arial" w:eastAsia="Arial" w:hAnsi="Arial"/>
                <w:sz w:val="13"/>
                <w:szCs w:val="13"/>
                <w:color w:val="auto"/>
              </w:rPr>
              <w:t>Exercise of stock options</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Exercise of warrants</w:t>
            </w:r>
          </w:p>
        </w:tc>
        <w:tc>
          <w:tcPr>
            <w:tcW w:w="2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w:t>
            </w:r>
          </w:p>
        </w:tc>
        <w:tc>
          <w:tcPr>
            <w:tcW w:w="240" w:type="dxa"/>
            <w:vAlign w:val="bottom"/>
            <w:tcBorders>
              <w:left w:val="single" w:sz="8" w:color="CCFFCC"/>
            </w:tcBorders>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tcPr>
          <w:p>
            <w:pPr>
              <w:spacing w:after="0" w:line="135" w:lineRule="exact"/>
              <w:rPr>
                <w:sz w:val="20"/>
                <w:szCs w:val="20"/>
                <w:color w:val="auto"/>
              </w:rPr>
            </w:pPr>
            <w:r>
              <w:rPr>
                <w:rFonts w:ascii="Arial" w:cs="Arial" w:eastAsia="Arial" w:hAnsi="Arial"/>
                <w:sz w:val="13"/>
                <w:szCs w:val="13"/>
                <w:color w:val="auto"/>
              </w:rPr>
              <w:t>Stock dividend</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w:t>
            </w:r>
          </w:p>
        </w:tc>
        <w:tc>
          <w:tcPr>
            <w:tcW w:w="14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Reverse stock split</w:t>
            </w:r>
          </w:p>
        </w:tc>
        <w:tc>
          <w:tcPr>
            <w:tcW w:w="4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(93)</w:t>
            </w:r>
          </w:p>
        </w:tc>
        <w:tc>
          <w:tcPr>
            <w:tcW w:w="10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93</w:t>
            </w:r>
          </w:p>
        </w:tc>
        <w:tc>
          <w:tcPr>
            <w:tcW w:w="14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tcPr>
          <w:p>
            <w:pPr>
              <w:spacing w:after="0" w:line="135" w:lineRule="exact"/>
              <w:rPr>
                <w:sz w:val="20"/>
                <w:szCs w:val="20"/>
                <w:color w:val="auto"/>
              </w:rPr>
            </w:pPr>
            <w:r>
              <w:rPr>
                <w:rFonts w:ascii="Arial" w:cs="Arial" w:eastAsia="Arial" w:hAnsi="Arial"/>
                <w:sz w:val="13"/>
                <w:szCs w:val="13"/>
                <w:color w:val="auto"/>
              </w:rPr>
              <w:t>Exchange of series B convertible preferred stock for common stock</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46</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11,925</w:t>
            </w:r>
          </w:p>
        </w:tc>
        <w:tc>
          <w:tcPr>
            <w:tcW w:w="14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11,971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loss for the year</w:t>
            </w: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left w:val="single" w:sz="8" w:color="CCFFCC"/>
            </w:tcBorders>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4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(9,942)</w:t>
            </w:r>
          </w:p>
        </w:tc>
        <w:tc>
          <w:tcPr>
            <w:tcW w:w="13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(9,942)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Borders>
              <w:left w:val="single" w:sz="8" w:color="CCFFCC"/>
            </w:tcBorders>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410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as of December 31, 2010</w:t>
            </w:r>
          </w:p>
        </w:tc>
        <w:tc>
          <w:tcPr>
            <w:tcW w:w="106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54</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gridSpan w:val="2"/>
          </w:tcPr>
          <w:p>
            <w:pPr>
              <w:ind w:left="120"/>
              <w:spacing w:after="0" w:line="129" w:lineRule="exact"/>
              <w:rPr>
                <w:sz w:val="20"/>
                <w:szCs w:val="20"/>
                <w:color w:val="auto"/>
              </w:rPr>
            </w:pPr>
            <w:r>
              <w:rPr>
                <w:rFonts w:ascii="Arial" w:cs="Arial" w:eastAsia="Arial" w:hAnsi="Arial"/>
                <w:sz w:val="13"/>
                <w:szCs w:val="13"/>
                <w:b w:val="1"/>
                <w:bCs w:val="1"/>
                <w:color w:val="auto"/>
              </w:rPr>
              <w:t>—</w:t>
            </w:r>
          </w:p>
        </w:tc>
        <w:tc>
          <w:tcPr>
            <w:tcW w:w="1460" w:type="dxa"/>
            <w:vAlign w:val="bottom"/>
            <w:gridSpan w:val="2"/>
          </w:tcPr>
          <w:p>
            <w:pPr>
              <w:jc w:val="right"/>
              <w:ind w:right="220"/>
              <w:spacing w:after="0" w:line="129" w:lineRule="exact"/>
              <w:rPr>
                <w:sz w:val="20"/>
                <w:szCs w:val="20"/>
                <w:color w:val="auto"/>
              </w:rPr>
            </w:pPr>
            <w:r>
              <w:rPr>
                <w:rFonts w:ascii="Arial" w:cs="Arial" w:eastAsia="Arial" w:hAnsi="Arial"/>
                <w:sz w:val="13"/>
                <w:szCs w:val="13"/>
                <w:b w:val="1"/>
                <w:bCs w:val="1"/>
                <w:color w:val="auto"/>
              </w:rPr>
              <w:t>29,774</w:t>
            </w:r>
          </w:p>
        </w:tc>
        <w:tc>
          <w:tcPr>
            <w:tcW w:w="1440" w:type="dxa"/>
            <w:vAlign w:val="bottom"/>
            <w:gridSpan w:val="2"/>
          </w:tcPr>
          <w:p>
            <w:pPr>
              <w:jc w:val="right"/>
              <w:ind w:right="160"/>
              <w:spacing w:after="0" w:line="129" w:lineRule="exact"/>
              <w:rPr>
                <w:sz w:val="20"/>
                <w:szCs w:val="20"/>
                <w:color w:val="auto"/>
              </w:rPr>
            </w:pPr>
            <w:r>
              <w:rPr>
                <w:rFonts w:ascii="Arial" w:cs="Arial" w:eastAsia="Arial" w:hAnsi="Arial"/>
                <w:sz w:val="13"/>
                <w:szCs w:val="13"/>
                <w:b w:val="1"/>
                <w:bCs w:val="1"/>
                <w:color w:val="auto"/>
              </w:rPr>
              <w:t>(30,067)</w:t>
            </w:r>
          </w:p>
        </w:tc>
        <w:tc>
          <w:tcPr>
            <w:tcW w:w="1360" w:type="dxa"/>
            <w:vAlign w:val="bottom"/>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(239)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41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Grants of stock options, net of forfeitures—employees</w:t>
            </w: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Borders>
              <w:left w:val="single" w:sz="8" w:color="CCFFCC"/>
            </w:tcBorders>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ind w:left="120"/>
              <w:spacing w:after="0" w:line="129" w:lineRule="exact"/>
              <w:rPr>
                <w:sz w:val="20"/>
                <w:szCs w:val="20"/>
                <w:color w:val="auto"/>
              </w:rPr>
            </w:pPr>
            <w:r>
              <w:rPr>
                <w:rFonts w:ascii="Arial" w:cs="Arial" w:eastAsia="Arial" w:hAnsi="Arial"/>
                <w:sz w:val="13"/>
                <w:szCs w:val="13"/>
                <w:b w:val="1"/>
                <w:bCs w:val="1"/>
                <w:color w:val="auto"/>
              </w:rPr>
              <w:t>—</w:t>
            </w:r>
          </w:p>
        </w:tc>
        <w:tc>
          <w:tcPr>
            <w:tcW w:w="1460" w:type="dxa"/>
            <w:vAlign w:val="bottom"/>
            <w:gridSpan w:val="2"/>
            <w:shd w:val="clear" w:color="auto" w:fill="CCFFCC"/>
          </w:tcPr>
          <w:p>
            <w:pPr>
              <w:jc w:val="right"/>
              <w:ind w:right="220"/>
              <w:spacing w:after="0" w:line="129" w:lineRule="exact"/>
              <w:rPr>
                <w:sz w:val="20"/>
                <w:szCs w:val="20"/>
                <w:color w:val="auto"/>
              </w:rPr>
            </w:pPr>
            <w:r>
              <w:rPr>
                <w:rFonts w:ascii="Arial" w:cs="Arial" w:eastAsia="Arial" w:hAnsi="Arial"/>
                <w:sz w:val="13"/>
                <w:szCs w:val="13"/>
                <w:b w:val="1"/>
                <w:bCs w:val="1"/>
                <w:color w:val="auto"/>
              </w:rPr>
              <w:t>1,300</w:t>
            </w:r>
          </w:p>
        </w:tc>
        <w:tc>
          <w:tcPr>
            <w:tcW w:w="1440" w:type="dxa"/>
            <w:vAlign w:val="bottom"/>
            <w:gridSpan w:val="2"/>
            <w:shd w:val="clear" w:color="auto" w:fill="CCFFCC"/>
          </w:tcPr>
          <w:p>
            <w:pPr>
              <w:jc w:val="right"/>
              <w:ind w:right="200"/>
              <w:spacing w:after="0" w:line="129" w:lineRule="exact"/>
              <w:rPr>
                <w:sz w:val="20"/>
                <w:szCs w:val="20"/>
                <w:color w:val="auto"/>
              </w:rPr>
            </w:pPr>
            <w:r>
              <w:rPr>
                <w:rFonts w:ascii="Arial" w:cs="Arial" w:eastAsia="Arial" w:hAnsi="Arial"/>
                <w:sz w:val="13"/>
                <w:szCs w:val="13"/>
                <w:b w:val="1"/>
                <w:bCs w:val="1"/>
                <w:color w:val="auto"/>
              </w:rPr>
              <w:t>—</w:t>
            </w:r>
          </w:p>
        </w:tc>
        <w:tc>
          <w:tcPr>
            <w:tcW w:w="136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3"/>
                <w:szCs w:val="13"/>
                <w:b w:val="1"/>
                <w:bCs w:val="1"/>
                <w:color w:val="auto"/>
              </w:rPr>
              <w:t>1,300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tcPr>
          <w:p>
            <w:pPr>
              <w:spacing w:after="0" w:line="135" w:lineRule="exact"/>
              <w:rPr>
                <w:sz w:val="20"/>
                <w:szCs w:val="20"/>
                <w:color w:val="auto"/>
              </w:rPr>
            </w:pPr>
            <w:r>
              <w:rPr>
                <w:rFonts w:ascii="Arial" w:cs="Arial" w:eastAsia="Arial" w:hAnsi="Arial"/>
                <w:sz w:val="13"/>
                <w:szCs w:val="13"/>
                <w:color w:val="auto"/>
              </w:rPr>
              <w:t>Grants of stock options, net of forfeitures—non employees</w:t>
            </w:r>
          </w:p>
        </w:tc>
        <w:tc>
          <w:tcPr>
            <w:tcW w:w="1480" w:type="dxa"/>
            <w:vAlign w:val="bottom"/>
            <w:gridSpan w:val="3"/>
          </w:tcPr>
          <w:p>
            <w:pPr>
              <w:jc w:val="right"/>
              <w:ind w:right="1197"/>
              <w:spacing w:after="0" w:line="135" w:lineRule="exact"/>
              <w:rPr>
                <w:sz w:val="20"/>
                <w:szCs w:val="20"/>
                <w:color w:val="auto"/>
              </w:rPr>
            </w:pPr>
            <w:r>
              <w:rPr>
                <w:rFonts w:ascii="Arial" w:cs="Arial" w:eastAsia="Arial" w:hAnsi="Arial"/>
                <w:sz w:val="13"/>
                <w:szCs w:val="13"/>
                <w:b w:val="1"/>
                <w:bCs w:val="1"/>
                <w:color w:val="auto"/>
              </w:rPr>
              <w:t>—</w:t>
            </w:r>
          </w:p>
        </w:tc>
        <w:tc>
          <w:tcPr>
            <w:tcW w:w="5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131</w:t>
            </w:r>
          </w:p>
        </w:tc>
        <w:tc>
          <w:tcPr>
            <w:tcW w:w="14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w:t>
            </w: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Exercise of warrants</w:t>
            </w:r>
          </w:p>
        </w:tc>
        <w:tc>
          <w:tcPr>
            <w:tcW w:w="2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w:t>
            </w:r>
          </w:p>
        </w:tc>
        <w:tc>
          <w:tcPr>
            <w:tcW w:w="240" w:type="dxa"/>
            <w:vAlign w:val="bottom"/>
            <w:tcBorders>
              <w:left w:val="single" w:sz="8" w:color="CCFFCC"/>
            </w:tcBorders>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14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w:t>
            </w:r>
          </w:p>
        </w:tc>
        <w:tc>
          <w:tcPr>
            <w:tcW w:w="13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tcPr>
          <w:p>
            <w:pPr>
              <w:spacing w:after="0" w:line="135" w:lineRule="exact"/>
              <w:rPr>
                <w:sz w:val="20"/>
                <w:szCs w:val="20"/>
                <w:color w:val="auto"/>
              </w:rPr>
            </w:pPr>
            <w:r>
              <w:rPr>
                <w:rFonts w:ascii="Arial" w:cs="Arial" w:eastAsia="Arial" w:hAnsi="Arial"/>
                <w:sz w:val="13"/>
                <w:szCs w:val="13"/>
                <w:color w:val="auto"/>
              </w:rPr>
              <w:t>Conversion of convertible notes and accrued interest</w:t>
            </w:r>
          </w:p>
        </w:tc>
        <w:tc>
          <w:tcPr>
            <w:tcW w:w="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27</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2,484</w:t>
            </w:r>
          </w:p>
        </w:tc>
        <w:tc>
          <w:tcPr>
            <w:tcW w:w="14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w:t>
            </w: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2,511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Issuance of shares, net of issuance costs of $65</w:t>
            </w:r>
          </w:p>
        </w:tc>
        <w:tc>
          <w:tcPr>
            <w:tcW w:w="2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8</w:t>
            </w:r>
          </w:p>
        </w:tc>
        <w:tc>
          <w:tcPr>
            <w:tcW w:w="240" w:type="dxa"/>
            <w:vAlign w:val="bottom"/>
            <w:tcBorders>
              <w:left w:val="single" w:sz="8" w:color="CCFFCC"/>
            </w:tcBorders>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777</w:t>
            </w:r>
          </w:p>
        </w:tc>
        <w:tc>
          <w:tcPr>
            <w:tcW w:w="14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w:t>
            </w:r>
          </w:p>
        </w:tc>
        <w:tc>
          <w:tcPr>
            <w:tcW w:w="13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785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tcPr>
          <w:p>
            <w:pPr>
              <w:spacing w:after="0" w:line="135" w:lineRule="exact"/>
              <w:rPr>
                <w:sz w:val="20"/>
                <w:szCs w:val="20"/>
                <w:color w:val="auto"/>
              </w:rPr>
            </w:pPr>
            <w:r>
              <w:rPr>
                <w:rFonts w:ascii="Arial" w:cs="Arial" w:eastAsia="Arial" w:hAnsi="Arial"/>
                <w:sz w:val="13"/>
                <w:szCs w:val="13"/>
                <w:color w:val="auto"/>
              </w:rPr>
              <w:t>Issuance of shares to a consultant</w:t>
            </w:r>
          </w:p>
        </w:tc>
        <w:tc>
          <w:tcPr>
            <w:tcW w:w="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293</w:t>
            </w:r>
          </w:p>
        </w:tc>
        <w:tc>
          <w:tcPr>
            <w:tcW w:w="14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w:t>
            </w: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Issuance of shares in connection with restructuring of venture loan</w:t>
            </w:r>
          </w:p>
        </w:tc>
        <w:tc>
          <w:tcPr>
            <w:tcW w:w="2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w:t>
            </w:r>
          </w:p>
        </w:tc>
        <w:tc>
          <w:tcPr>
            <w:tcW w:w="240" w:type="dxa"/>
            <w:vAlign w:val="bottom"/>
            <w:tcBorders>
              <w:left w:val="single" w:sz="8" w:color="CCFFCC"/>
            </w:tcBorders>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210</w:t>
            </w:r>
          </w:p>
        </w:tc>
        <w:tc>
          <w:tcPr>
            <w:tcW w:w="14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w:t>
            </w:r>
          </w:p>
        </w:tc>
        <w:tc>
          <w:tcPr>
            <w:tcW w:w="13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213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tcPr>
          <w:p>
            <w:pPr>
              <w:spacing w:after="0" w:line="135" w:lineRule="exact"/>
              <w:rPr>
                <w:sz w:val="20"/>
                <w:szCs w:val="20"/>
                <w:color w:val="auto"/>
              </w:rPr>
            </w:pPr>
            <w:r>
              <w:rPr>
                <w:rFonts w:ascii="Arial" w:cs="Arial" w:eastAsia="Arial" w:hAnsi="Arial"/>
                <w:sz w:val="13"/>
                <w:szCs w:val="13"/>
                <w:color w:val="auto"/>
              </w:rPr>
              <w:t>Grants of warrants to charity</w:t>
            </w:r>
          </w:p>
        </w:tc>
        <w:tc>
          <w:tcPr>
            <w:tcW w:w="1480" w:type="dxa"/>
            <w:vAlign w:val="bottom"/>
            <w:gridSpan w:val="3"/>
          </w:tcPr>
          <w:p>
            <w:pPr>
              <w:jc w:val="right"/>
              <w:ind w:right="119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5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43</w:t>
            </w:r>
          </w:p>
        </w:tc>
        <w:tc>
          <w:tcPr>
            <w:tcW w:w="14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w:t>
            </w: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Exercise of stock options</w:t>
            </w:r>
          </w:p>
        </w:tc>
        <w:tc>
          <w:tcPr>
            <w:tcW w:w="2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w:t>
            </w:r>
          </w:p>
        </w:tc>
        <w:tc>
          <w:tcPr>
            <w:tcW w:w="240" w:type="dxa"/>
            <w:vAlign w:val="bottom"/>
            <w:tcBorders>
              <w:left w:val="single" w:sz="8" w:color="CCFFCC"/>
            </w:tcBorders>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14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w:t>
            </w:r>
          </w:p>
        </w:tc>
        <w:tc>
          <w:tcPr>
            <w:tcW w:w="13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gridSpan w:val="2"/>
          </w:tcPr>
          <w:p>
            <w:pPr>
              <w:spacing w:after="0" w:line="135" w:lineRule="exact"/>
              <w:rPr>
                <w:sz w:val="20"/>
                <w:szCs w:val="20"/>
                <w:color w:val="auto"/>
              </w:rPr>
            </w:pPr>
            <w:r>
              <w:rPr>
                <w:rFonts w:ascii="Arial" w:cs="Arial" w:eastAsia="Arial" w:hAnsi="Arial"/>
                <w:sz w:val="13"/>
                <w:szCs w:val="13"/>
                <w:color w:val="auto"/>
              </w:rPr>
              <w:t>Beneficial conversion feature recorded in connection with convertible notes</w:t>
            </w:r>
          </w:p>
        </w:tc>
        <w:tc>
          <w:tcPr>
            <w:tcW w:w="1480" w:type="dxa"/>
            <w:vAlign w:val="bottom"/>
            <w:gridSpan w:val="3"/>
          </w:tcPr>
          <w:p>
            <w:pPr>
              <w:jc w:val="right"/>
              <w:ind w:right="1197"/>
              <w:spacing w:after="0" w:line="135" w:lineRule="exact"/>
              <w:rPr>
                <w:sz w:val="20"/>
                <w:szCs w:val="20"/>
                <w:color w:val="auto"/>
              </w:rPr>
            </w:pPr>
            <w:r>
              <w:rPr>
                <w:rFonts w:ascii="Arial" w:cs="Arial" w:eastAsia="Arial" w:hAnsi="Arial"/>
                <w:sz w:val="13"/>
                <w:szCs w:val="13"/>
                <w:b w:val="1"/>
                <w:bCs w:val="1"/>
                <w:color w:val="auto"/>
              </w:rPr>
              <w:t>—</w:t>
            </w:r>
          </w:p>
        </w:tc>
        <w:tc>
          <w:tcPr>
            <w:tcW w:w="5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1,269</w:t>
            </w:r>
          </w:p>
        </w:tc>
        <w:tc>
          <w:tcPr>
            <w:tcW w:w="14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w:t>
            </w: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1,269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loss for the year</w:t>
            </w: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tcBorders>
              <w:left w:val="single" w:sz="8" w:color="CCFFCC"/>
            </w:tcBorders>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144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b w:val="1"/>
                <w:bCs w:val="1"/>
                <w:color w:val="auto"/>
              </w:rPr>
              <w:t>(7,479)</w:t>
            </w:r>
          </w:p>
        </w:tc>
        <w:tc>
          <w:tcPr>
            <w:tcW w:w="13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b w:val="1"/>
                <w:bCs w:val="1"/>
                <w:color w:val="auto"/>
              </w:rPr>
              <w:t>(7,479)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Borders>
              <w:left w:val="single" w:sz="8" w:color="CCFFCC"/>
            </w:tcBorders>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410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as of December 31, 2011</w:t>
            </w:r>
          </w:p>
        </w:tc>
        <w:tc>
          <w:tcPr>
            <w:tcW w:w="106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2"/>
              </w:rPr>
              <w:t>100</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gridSpan w:val="2"/>
          </w:tcPr>
          <w:p>
            <w:pPr>
              <w:ind w:left="120"/>
              <w:spacing w:after="0" w:line="129" w:lineRule="exact"/>
              <w:rPr>
                <w:sz w:val="20"/>
                <w:szCs w:val="20"/>
                <w:color w:val="auto"/>
              </w:rPr>
            </w:pPr>
            <w:r>
              <w:rPr>
                <w:rFonts w:ascii="Arial" w:cs="Arial" w:eastAsia="Arial" w:hAnsi="Arial"/>
                <w:sz w:val="13"/>
                <w:szCs w:val="13"/>
                <w:b w:val="1"/>
                <w:bCs w:val="1"/>
                <w:color w:val="auto"/>
              </w:rPr>
              <w:t>—</w:t>
            </w:r>
          </w:p>
        </w:tc>
        <w:tc>
          <w:tcPr>
            <w:tcW w:w="1460" w:type="dxa"/>
            <w:vAlign w:val="bottom"/>
            <w:gridSpan w:val="2"/>
          </w:tcPr>
          <w:p>
            <w:pPr>
              <w:jc w:val="right"/>
              <w:ind w:right="220"/>
              <w:spacing w:after="0" w:line="129" w:lineRule="exact"/>
              <w:rPr>
                <w:sz w:val="20"/>
                <w:szCs w:val="20"/>
                <w:color w:val="auto"/>
              </w:rPr>
            </w:pPr>
            <w:r>
              <w:rPr>
                <w:rFonts w:ascii="Arial" w:cs="Arial" w:eastAsia="Arial" w:hAnsi="Arial"/>
                <w:sz w:val="13"/>
                <w:szCs w:val="13"/>
                <w:b w:val="1"/>
                <w:bCs w:val="1"/>
                <w:color w:val="auto"/>
              </w:rPr>
              <w:t>36,281</w:t>
            </w:r>
          </w:p>
        </w:tc>
        <w:tc>
          <w:tcPr>
            <w:tcW w:w="1440" w:type="dxa"/>
            <w:vAlign w:val="bottom"/>
            <w:gridSpan w:val="2"/>
          </w:tcPr>
          <w:p>
            <w:pPr>
              <w:jc w:val="right"/>
              <w:ind w:right="160"/>
              <w:spacing w:after="0" w:line="129" w:lineRule="exact"/>
              <w:rPr>
                <w:sz w:val="20"/>
                <w:szCs w:val="20"/>
                <w:color w:val="auto"/>
              </w:rPr>
            </w:pPr>
            <w:r>
              <w:rPr>
                <w:rFonts w:ascii="Arial" w:cs="Arial" w:eastAsia="Arial" w:hAnsi="Arial"/>
                <w:sz w:val="13"/>
                <w:szCs w:val="13"/>
                <w:b w:val="1"/>
                <w:bCs w:val="1"/>
                <w:color w:val="auto"/>
              </w:rPr>
              <w:t>(37,546)</w:t>
            </w:r>
          </w:p>
        </w:tc>
        <w:tc>
          <w:tcPr>
            <w:tcW w:w="1360" w:type="dxa"/>
            <w:vAlign w:val="bottom"/>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(1,165)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Consideration for less than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from inception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96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2"/>
              </w:rPr>
              <w:t>For the year ended December 31,</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to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60" w:type="dxa"/>
            <w:vAlign w:val="bottom"/>
          </w:tcPr>
          <w:p>
            <w:pPr>
              <w:spacing w:after="0"/>
              <w:rPr>
                <w:sz w:val="18"/>
                <w:szCs w:val="18"/>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(7,479)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(9,942)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(37,546)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Adjustments to reconcile net cash flows used in operating activities:</w:t>
            </w: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61</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Change in deferred tax assets and liabilities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accrued severance pay</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(177)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Share-based payment expenses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1,769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2,291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Accrued interest expense</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98</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2,512</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Loss (gain) on revaluation of warrants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402</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(952)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Gain on restructuring of venture loan</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(963)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Interest and amortization of discount in connection with convertible notes</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1,280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Exchange rate (gains) losses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Increase in accounts receivable, prepaid expenses and other current assets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(283)</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payables and accruals</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(141)</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(376)</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(5,380)</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(6,361)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(29,303)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Decrease (increase) in lease deposits</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Proceeds from investment in restricted short-term deposits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2,582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(used in) investing activities</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2,499</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from inception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For the year ended December 31,</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to December 31,</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8"/>
              </w:rPr>
              <w:t>U.S.$</w:t>
            </w:r>
          </w:p>
        </w:tc>
        <w:tc>
          <w:tcPr>
            <w:tcW w:w="5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Receipt of venture loan</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Repayment on account of venture loan</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4"/>
              </w:rPr>
              <w:t>(2,095)</w:t>
            </w:r>
          </w:p>
        </w:tc>
        <w:tc>
          <w:tcPr>
            <w:tcW w:w="1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(757)</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Receipt of convertible notes</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2,500</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Issuance of common stock and warrants, net</w:t>
            </w: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9,263</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Issuance of warrants</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Receipt of convertible loans</w:t>
            </w: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Issuance of convertible preferred stock</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Exercise of common stock options and warrants</w:t>
            </w: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8</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Issuance of common stock, net of issuance expenses</w:t>
            </w:r>
          </w:p>
        </w:tc>
        <w:tc>
          <w:tcPr>
            <w:tcW w:w="10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785</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1,198</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8,520</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31,160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(29)</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Increase (decrease) in cash and cash equivalents</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4"/>
              </w:rPr>
              <w:t>(4,217)</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4,663</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5,407</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744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end of period</w:t>
            </w:r>
          </w:p>
        </w:tc>
        <w:tc>
          <w:tcPr>
            <w:tcW w:w="10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1,190</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5,407</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FFCC"/>
            </w:tcBorders>
          </w:tcPr>
          <w:p>
            <w:pPr>
              <w:spacing w:after="0" w:line="196" w:lineRule="exact"/>
              <w:rPr>
                <w:sz w:val="20"/>
                <w:szCs w:val="20"/>
                <w:color w:val="auto"/>
              </w:rPr>
            </w:pPr>
            <w:r>
              <w:rPr>
                <w:rFonts w:ascii="Arial" w:cs="Arial" w:eastAsia="Arial" w:hAnsi="Arial"/>
                <w:sz w:val="18"/>
                <w:szCs w:val="18"/>
                <w:b w:val="1"/>
                <w:bCs w:val="1"/>
                <w:color w:val="auto"/>
              </w:rPr>
              <w:t>Supplemental disclosure of cash flows information</w:t>
            </w:r>
          </w:p>
        </w:tc>
        <w:tc>
          <w:tcPr>
            <w:tcW w:w="10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Borders>
              <w:top w:val="single" w:sz="8" w:color="CCFFC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paid</w:t>
            </w: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151</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386</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Extinguishment of debt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Allocation of fair value of loan warrants</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Allocation of fair value of conversion warrants</w:t>
            </w: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1,564</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Exchange of series B convertible preferred stock for common stock</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11,971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Exchange of series A convertible preferred stock for common stock</w:t>
            </w: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Conversion of bridge notes into common stock</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2,545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Amortization of discounts to temporary equity</w:t>
            </w: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Issuance of shares in consideration of restructuring of venture loan</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213</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Beneficial conversion feature recorded in connection with convertible notes</w:t>
            </w: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1,269</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Conversion of convertible notes into common stock</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2,511</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Vringo, Inc. (a Development Stage Company)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engaged in developing software platforms and applications for mobile phones. The Company develops and provides a wide variety of mobile video services, including a comprehensive platform that allows users to create, download and share video ringtones. The Company's proprietary ringtone platform includes social networking capability and integration with web systems.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still in the development stage. There is no certainty regarding the Company's ability to complete the development of its products and ensure the success of its marketing. The continuation of the stages of development and the realization of assets related to the planned activities depend on future events, including future financings and achieving operational profitability.</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high-tech industry in which the Company operates is highly competitive and is characterized by the risks of rapidly changing technologies. Penetration into global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June 2010, the Company completed an initial public offering (the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per-share information in these consolidated financial statements have been adjusted to give effect to the reverse stock split. On July 27, 2010, the units were separated into their components and the shares and warrants began to trade separately. Upon separation of the units into shares and warrants, the units ceased trading.</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Despite the foregoing, there is still significant doubt as to the ability of the Company to continue operating as a "going concern". The Company has incurred significant losses since its inception and expects that it will continue to operate at a net loss in the foreseeable future. For the year ended December 31, 2011 and for the cumulative period from inception until December 31, 2011, the Company incurred net losses of $7.5 million and $37.4 million, respectively.</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July 2011, the Company raised an aggregate amount of $2.5 million through the issuance of convertible notes (“Convertible Notes”) in a private placement. On December 1, 2011, the Company raised additional $0.85 million through the issuance of 817,303 additional shares of common stock (“December 2011 financing”). In connection with the December 2011 financing, all Convertible Notes (and accrued interest) were converted into 2,671,026 shares of common stock. In February 2012, the Company entered into agreements with holders (the “Holders”) of certain of its outstanding Special Bridge and Conversion Warrants, pursuant to which the Holders exercised warrants to purchase 3,828,993 shares of our common stock for aggregate proceeds of $3.6 million (“February 2012 warrant exercise”). In addition, certain Holders were granted additional warrants to purchase 2,660,922 shares of common stock of the Company, at an exercise price of $1.76 per share. The total issuance costs were $65 thousand. See also Note 17.</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believes that following the February 2012 warrant exercise, its current cash levels will be sufficient to support its activity into the fourth quarter of 2012. On March 13, 2012, the Company entered into an agreement and Plan of Merger Agreement (“Merger Agreement”), pursuant to which Innovate/Protect, Inc. (“I/P”) will merge with and into VIP Merger Sub, Inc., a wholly owned subsidiary of the Company (“Merger Sub”), with Merger Sub being the surviving corporation through an exchange of capital stock of I/P for capital stock of the Company. The consummation of the Merger Agreement is subject to stockholder approval and other closing conditions. In addition, the Company is exploring further opportunities, including merger and acquisitions and/or additional financing necessary to ensure that the Company will continue to operate as a going concern. There can be no assurance, however, that any such opportunities will materialize. See description in Note 17.</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2011, approximately $303 thousand of the Company's net assets were located outside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or "$"). Therefore, the dollar has been determined to be the Company's functional currency. 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 At December 31, 2011, the exchange rate was $1 = NIS 3.821 (December 31, 2010 — $1 = NIS 3.549). The average exchange rate for the year ended December 31, 2011 was $1 = 3.578 NIS (December 31, 2010 — $1 = NIS 3.733).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reporting period. Actual results may differ from such estimates. Significant items subject to such estimates and assumptions include timing and realization of deferred tax assets and liabilities, allowances for doubtful accounts, valuation of convertible preferred and common stock, warrants and derivative instruments, share-based payments, warrants, income tax uncertainties and other contingencies. The current economic environment has increased the degree of uncertainty inherent in those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Cash and cash equivalents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purpose of these financial statements, all highly liquid investments with original maturities of three months or less are considered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Accounts receivables and allowance for doubtful accounts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Trade accounts receivable are recorded at the invoiced amount and do not bear interest. Amounts collected on trade accounts receivable are included in net cash provided by operating activities in the consolidated statements of cash flows. The need for an allowance for doubtful accounts is based on the Company’s best estimate of the amount of credit loss in the Company’s existing receivables. The need for an allowance is determined on an individual account receivable basis. The Company considers customers’ historical payment patterns, general and industry specific economic factors in determining their customers’ probability of default. The Company reviews the need for an allowance for doubtful accounts on a monthly basis. From inception through December 31, 2011 neither write-offs, nor provision for doubtful accounts for was created. The Company does not have any significant off-balance-sheet credit exposure related to its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Derivative instruments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recognizes all derivative instruments as either assets or liabilities in the balance sheet at their respective fair values. The Company's derivative instruments include a Special Bridge Warrant and a Conversion Warrant which have been recorded as a liability, at fair value, and are revalued at each reporting date, with changes in the fair value of the instruments included in the statement of operations as non-operating income or expense.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Property and equipment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Property and equipment is stated at historical cost, net of accumulated depreciation. Depreciation is calculated according to the straight-line method over the estimated useful lives of the assets. Annual depreciation rates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60" w:type="dxa"/>
            <w:vAlign w:val="bottom"/>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10060" w:type="dxa"/>
            <w:vAlign w:val="bottom"/>
            <w:shd w:val="clear" w:color="auto" w:fill="CCFFCC"/>
          </w:tcPr>
          <w:p>
            <w:pPr>
              <w:spacing w:after="0"/>
              <w:rPr>
                <w:sz w:val="20"/>
                <w:szCs w:val="20"/>
                <w:color w:val="auto"/>
              </w:rPr>
            </w:pPr>
            <w:r>
              <w:rPr>
                <w:rFonts w:ascii="Arial" w:cs="Arial" w:eastAsia="Arial" w:hAnsi="Arial"/>
                <w:sz w:val="18"/>
                <w:szCs w:val="18"/>
                <w:color w:val="auto"/>
              </w:rPr>
              <w:t>Office furniture and equipment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7-33</w:t>
            </w:r>
          </w:p>
        </w:tc>
      </w:t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Computers and related equipment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Leasehold improvements are amortized over the shorter of the useful life of the asset or the term of the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Revenue recognition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Revenue from subscription services and software development and licenses is recognized if collection of the relevant receivable is probable, persuasive evidence of an arrangement exists, the sales price is fixed or determinable and delivery of the service has been rendered. Revenues from non-refundable up-front fees are recognized according to the guidance in SAB Topic 13.A.3.f. As these up-front fees relate to the hosting of the service over a period of the contract, the Company recognizes these up-front fees over the life time of the contract. According to ASU 2009-13, Revenue Recognition (Topic</w:t>
      </w:r>
    </w:p>
    <w:p>
      <w:pPr>
        <w:sectPr>
          <w:pgSz w:w="11900" w:h="16945" w:orient="portrait"/>
          <w:cols w:equalWidth="0" w:num="1">
            <w:col w:w="11420"/>
          </w:cols>
          <w:pgMar w:left="240" w:top="878" w:right="239" w:bottom="0" w:gutter="0" w:footer="0" w:header="0"/>
        </w:sectPr>
      </w:pPr>
    </w:p>
    <w:bookmarkStart w:id="54" w:name="page55"/>
    <w:bookmarkEnd w:id="54"/>
    <w:p>
      <w:pPr>
        <w:spacing w:after="0" w:line="277" w:lineRule="auto"/>
        <w:rPr>
          <w:sz w:val="20"/>
          <w:szCs w:val="20"/>
          <w:color w:val="auto"/>
        </w:rPr>
      </w:pPr>
      <w:r>
        <w:rPr>
          <w:rFonts w:ascii="Arial" w:cs="Arial" w:eastAsia="Arial" w:hAnsi="Arial"/>
          <w:sz w:val="18"/>
          <w:szCs w:val="18"/>
          <w:color w:val="auto"/>
        </w:rPr>
        <w:t>605), which was early-adopted by the Company in 2009, the Company uses management's best estimate of selling price for individual elements in multiple-element arrangements, where other sources of evidence are unavailable.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and Reporting Policies (cont'd)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Cost of revenue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Cost of revenue consists primarily of direct costs that the Company pays to third parties in order to operate its products in launched markets. These expenses include the costs associated with production servers serving the end-users, royalty fees for content sales, amortization of prepaid content licenses.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Research and development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expenses are expensed as incurred and consist primarily of payroll and facilities charges associated with the research, development and integration of our current and future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Advertising and Promotional costs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expense advertising and promotional costs in the period in which they are incurred. For the years ended December 31, 2011, 2010, and cumulative from inception till December 31, 2011, advertising and promotional expenses totaled approximately $271 thousand, $141 thousand, and $923 thousand,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Accounting for share-based payments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Share-based payment is recognized as an expense in the financial statements and such cost is measured at the grant-date fair value of the equity-settled award. The expense is recognized using the straight-line method, over the requisite service period, and is reduced for estimated forfeitures.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assessing the need for a valuation allowance, the Company looks at cumulative losses in recent years, estimates of future taxable earnings, feasibility of on-going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as well as related interest and penalties. These adjustments are recognized as a component of income tax expense entirely in the period in which they are identified.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accounts for its income tax uncertainties in accordance with ASC Subtopic 740-10 which clarifies the accounting for uncertainties in income taxes recognized in a company's financial statements and prescribes a recognition threshold and measurement attribute for the financial statement recognition and measurement of a tax position taken or expected to be taken in a tax return. Interest and penalties related to unrecognized tax benefits are recognized as a component of income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Reverse stock split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June 21, 2010, immediately prior to the closing of the IPO,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 share amounts retroactively reflect the reverse stock split, unless otherwise indicated.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Net loss per share data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mainly of warrants and stock options, are not reflected in diluted net loss per share because the effect of such shares is anti-dilutive.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275"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Note 2 - Significant Accounting and Reporting Policies (cont'd)</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20" w:type="dxa"/>
            <w:vAlign w:val="bottom"/>
            <w:gridSpan w:val="3"/>
          </w:tcPr>
          <w:p>
            <w:pPr>
              <w:spacing w:after="0"/>
              <w:rPr>
                <w:sz w:val="20"/>
                <w:szCs w:val="20"/>
                <w:color w:val="auto"/>
              </w:rPr>
            </w:pPr>
            <w:r>
              <w:rPr>
                <w:rFonts w:ascii="Arial" w:cs="Arial" w:eastAsia="Arial" w:hAnsi="Arial"/>
                <w:sz w:val="18"/>
                <w:szCs w:val="18"/>
                <w:color w:val="auto"/>
                <w:w w:val="91"/>
              </w:rPr>
              <w:t>The table below presents the computation of basic and diluted net losses per common share:</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from inception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2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w w:val="99"/>
              </w:rPr>
              <w:t>Year ended December 31,</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to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b w:val="1"/>
                <w:bCs w:val="1"/>
                <w:color w:val="auto"/>
                <w:w w:val="93"/>
              </w:rPr>
              <w:t>(in thousands, except share and per share data)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Numerator:</w:t>
            </w:r>
          </w:p>
        </w:tc>
        <w:tc>
          <w:tcPr>
            <w:tcW w:w="10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 shares (basic and diluted)</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(7,479)</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(9,942)</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(37,546)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Denominator:</w:t>
            </w:r>
          </w:p>
        </w:tc>
        <w:tc>
          <w:tcPr>
            <w:tcW w:w="10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number of common stock shares outstanding during the period</w:t>
            </w: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6,241,048</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gridSpan w:val="3"/>
          </w:tcPr>
          <w:p>
            <w:pPr>
              <w:spacing w:after="0"/>
              <w:rPr>
                <w:sz w:val="20"/>
                <w:szCs w:val="20"/>
                <w:color w:val="auto"/>
              </w:rPr>
            </w:pPr>
            <w:r>
              <w:rPr>
                <w:rFonts w:ascii="Arial" w:cs="Arial" w:eastAsia="Arial" w:hAnsi="Arial"/>
                <w:sz w:val="18"/>
                <w:szCs w:val="18"/>
                <w:color w:val="auto"/>
              </w:rPr>
              <w:t>(basic and diluted)</w:t>
            </w:r>
          </w:p>
        </w:tc>
        <w:tc>
          <w:tcPr>
            <w:tcW w:w="1340" w:type="dxa"/>
            <w:vAlign w:val="bottom"/>
            <w:gridSpan w:val="2"/>
            <w:vMerge w:val="continue"/>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2,958,568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1,797,582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w w:val="96"/>
              </w:rPr>
              <w:t>Weighted average number of penny stock options and warrants (basic and diluted)</w:t>
            </w:r>
          </w:p>
        </w:tc>
        <w:tc>
          <w:tcPr>
            <w:tcW w:w="4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131,611</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195,921</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55,495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Basic and diluted shares of common stock outstanding</w:t>
            </w:r>
          </w:p>
        </w:tc>
        <w:tc>
          <w:tcPr>
            <w:tcW w:w="4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6,372,659</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3,154,489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1,853,077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Basic and diluted net losses per share of common stock</w:t>
            </w:r>
          </w:p>
        </w:tc>
        <w:tc>
          <w:tcPr>
            <w:tcW w:w="4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(1.17)</w:t>
            </w:r>
          </w:p>
        </w:tc>
        <w:tc>
          <w:tcPr>
            <w:tcW w:w="1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(3.15)</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Long lived assets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Long-lived assets, such as property and equipment, and purchased intangible assets subject to amortization,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impairment is recognized to the extent that the carrying value exceeds its fair value. Fair value is to be determined through various valuation techniques including discounted cash flow models, quoted market values and third-party independent appraisals, as considered necessary.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Commitments and Contingencies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Liabilities for loss contingencies arising from assessments, estimates or other sources are to be recorded when it is probable that a liability has been incurred and the amount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Fair value measurements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measures fair value in accordance with ASC 820-10, "Fair Value Measurements and Disclosures" (formerly SFAS 157, "Fair Value Measurements").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Unadjusted quoted prices in active markets for identical assets or liabilities accessible to the reporting entity at the measurement date.</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Level 2 - </w:t>
      </w:r>
      <w:r>
        <w:rPr>
          <w:rFonts w:ascii="Arial" w:cs="Arial" w:eastAsia="Arial" w:hAnsi="Arial"/>
          <w:sz w:val="18"/>
          <w:szCs w:val="18"/>
          <w:color w:val="auto"/>
        </w:rPr>
        <w:t>Other than quoted prices included in Level 1 inputs that are observable for the asset or liability, either directly or indirectly, for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full term of the asset or liability.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Level 3 - </w:t>
      </w:r>
      <w:r>
        <w:rPr>
          <w:rFonts w:ascii="Arial" w:cs="Arial" w:eastAsia="Arial" w:hAnsi="Arial"/>
          <w:sz w:val="18"/>
          <w:szCs w:val="18"/>
          <w:color w:val="auto"/>
        </w:rPr>
        <w:t>Unobservable inputs for the asset or liability used to measure fair value to the extent that observable inputs are not available, thereby</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for situations in which there is little, if any, market activity for the asset or liability at measurement date.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 Recently issued and adopted accounting standards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December 2011, the FASB issued ASU No. 2011-11, Balance Sheet (Topic 210): Disclosures about Offsetting Assets and Liabilities.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The new standards are effective for annual periods beginning January 1, 2013, and interim periods within those annual periods. Retrospective application is required. The Company will implement the provisions of ASU 2011-11 as of January 1, 2013. The impact on our financial statements is believed to be immaterial.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Reclassification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balances have been reclassified to conform to current year presentation.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54"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3 - Cash and Cash Equivalents</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120" w:type="dxa"/>
            <w:vAlign w:val="bottom"/>
          </w:tcPr>
          <w:p>
            <w:pPr>
              <w:spacing w:after="0"/>
              <w:rPr>
                <w:sz w:val="24"/>
                <w:szCs w:val="24"/>
                <w:color w:val="auto"/>
              </w:rPr>
            </w:pPr>
          </w:p>
        </w:tc>
        <w:tc>
          <w:tcPr>
            <w:tcW w:w="33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8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U.S.$ thousands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U.S.$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Cash</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779</w:t>
            </w:r>
          </w:p>
        </w:tc>
        <w:tc>
          <w:tcPr>
            <w:tcW w:w="20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Cash equivalents (money market funds)</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16"/>
        </w:trPr>
        <w:tc>
          <w:tcPr>
            <w:tcW w:w="8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 currency other than U.S. dollars</w:t>
            </w:r>
          </w:p>
        </w:tc>
        <w:tc>
          <w:tcPr>
            <w:tcW w:w="1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411</w:t>
            </w:r>
          </w:p>
        </w:tc>
        <w:tc>
          <w:tcPr>
            <w:tcW w:w="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1,190</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Note 4 - Prepaid Expenses and Other Current Assets</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120" w:type="dxa"/>
            <w:vAlign w:val="bottom"/>
          </w:tcPr>
          <w:p>
            <w:pPr>
              <w:spacing w:after="0"/>
              <w:rPr>
                <w:sz w:val="24"/>
                <w:szCs w:val="24"/>
                <w:color w:val="auto"/>
              </w:rPr>
            </w:pPr>
          </w:p>
        </w:tc>
        <w:tc>
          <w:tcPr>
            <w:tcW w:w="33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8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U.S.$ thousands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U.S.$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Government institutions</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6</w:t>
            </w:r>
          </w:p>
        </w:tc>
        <w:tc>
          <w:tcPr>
            <w:tcW w:w="20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Prepaid expenses and others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120" w:type="dxa"/>
            <w:vAlign w:val="bottom"/>
            <w:shd w:val="clear" w:color="auto" w:fill="CCFFCC"/>
          </w:tcPr>
          <w:p>
            <w:pPr>
              <w:spacing w:after="0"/>
              <w:rPr>
                <w:sz w:val="24"/>
                <w:szCs w:val="24"/>
                <w:color w:val="auto"/>
              </w:rPr>
            </w:pP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187</w:t>
            </w:r>
          </w:p>
        </w:tc>
        <w:tc>
          <w:tcPr>
            <w:tcW w:w="200" w:type="dxa"/>
            <w:vAlign w:val="bottom"/>
            <w:shd w:val="clear" w:color="auto" w:fill="CCFFCC"/>
          </w:tcPr>
          <w:p>
            <w:pPr>
              <w:spacing w:after="0"/>
              <w:rPr>
                <w:sz w:val="24"/>
                <w:szCs w:val="24"/>
                <w:color w:val="auto"/>
              </w:rPr>
            </w:pP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413"/>
        </w:trPr>
        <w:tc>
          <w:tcPr>
            <w:tcW w:w="812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Note 5 - Property and Equipment</w:t>
            </w:r>
          </w:p>
        </w:tc>
        <w:tc>
          <w:tcPr>
            <w:tcW w:w="1500" w:type="dxa"/>
            <w:vAlign w:val="bottom"/>
            <w:tcBorders>
              <w:top w:val="single" w:sz="8" w:color="auto"/>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120" w:type="dxa"/>
            <w:vAlign w:val="bottom"/>
          </w:tcPr>
          <w:p>
            <w:pPr>
              <w:spacing w:after="0"/>
              <w:rPr>
                <w:sz w:val="24"/>
                <w:szCs w:val="24"/>
                <w:color w:val="auto"/>
              </w:rPr>
            </w:pPr>
          </w:p>
        </w:tc>
        <w:tc>
          <w:tcPr>
            <w:tcW w:w="33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U.S.$ thousands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U.S.$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Computers, software and equipment</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475</w:t>
            </w:r>
          </w:p>
        </w:tc>
        <w:tc>
          <w:tcPr>
            <w:tcW w:w="20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Leasehold improvements</w:t>
            </w:r>
          </w:p>
        </w:tc>
        <w:tc>
          <w:tcPr>
            <w:tcW w:w="1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81</w:t>
            </w:r>
          </w:p>
        </w:tc>
        <w:tc>
          <w:tcPr>
            <w:tcW w:w="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598</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Less: accumulated depreciation and amortization</w:t>
            </w:r>
          </w:p>
        </w:tc>
        <w:tc>
          <w:tcPr>
            <w:tcW w:w="17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(454)</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7"/>
        </w:trPr>
        <w:tc>
          <w:tcPr>
            <w:tcW w:w="8120" w:type="dxa"/>
            <w:vAlign w:val="bottom"/>
            <w:tcBorders>
              <w:top w:val="single" w:sz="8" w:color="CCFFCC"/>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c>
          <w:tcPr>
            <w:tcW w:w="20" w:type="dxa"/>
            <w:vAlign w:val="bottom"/>
            <w:tcBorders>
              <w:top w:val="single" w:sz="8" w:color="CCFFCC"/>
              <w:bottom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2011 and 2010, approximately $116 thousand and $138 thousand of the aggregate value of the Company's net book value of property and equipment was located in Israel, respectively. During the years 2011 and 2010, the Company recorded $61 thousand and $87 thousand of depreciation and amortization expense, respectively, and $454 thousand cumulatively from inception.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6 - Accounts Payable and Accrued Expenses</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8120" w:type="dxa"/>
            <w:vAlign w:val="bottom"/>
          </w:tcPr>
          <w:p>
            <w:pPr>
              <w:spacing w:after="0"/>
              <w:rPr>
                <w:sz w:val="24"/>
                <w:szCs w:val="24"/>
                <w:color w:val="auto"/>
              </w:rPr>
            </w:pPr>
          </w:p>
        </w:tc>
        <w:tc>
          <w:tcPr>
            <w:tcW w:w="3300" w:type="dxa"/>
            <w:vAlign w:val="bottom"/>
            <w:gridSpan w:val="4"/>
          </w:tcPr>
          <w:p>
            <w:pPr>
              <w:ind w:left="860"/>
              <w:spacing w:after="0"/>
              <w:rPr>
                <w:sz w:val="20"/>
                <w:szCs w:val="20"/>
                <w:color w:val="auto"/>
              </w:rPr>
            </w:pPr>
            <w:r>
              <w:rPr>
                <w:rFonts w:ascii="Arial" w:cs="Arial" w:eastAsia="Arial" w:hAnsi="Arial"/>
                <w:sz w:val="18"/>
                <w:szCs w:val="18"/>
                <w:b w:val="1"/>
                <w:bCs w:val="1"/>
                <w:color w:val="auto"/>
              </w:rPr>
              <w:t>As of December 31,</w:t>
            </w:r>
          </w:p>
        </w:tc>
      </w:tr>
      <w:tr>
        <w:trPr>
          <w:trHeight w:val="210"/>
        </w:trPr>
        <w:tc>
          <w:tcPr>
            <w:tcW w:w="812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23"/>
        </w:trPr>
        <w:tc>
          <w:tcPr>
            <w:tcW w:w="812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U.S.$ thousands</w:t>
            </w:r>
          </w:p>
        </w:tc>
        <w:tc>
          <w:tcPr>
            <w:tcW w:w="220" w:type="dxa"/>
            <w:vAlign w:val="bottom"/>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U.S.$ thousands</w:t>
            </w:r>
          </w:p>
        </w:tc>
        <w:tc>
          <w:tcPr>
            <w:tcW w:w="100" w:type="dxa"/>
            <w:vAlign w:val="bottom"/>
          </w:tcPr>
          <w:p>
            <w:pPr>
              <w:spacing w:after="0"/>
              <w:rPr>
                <w:sz w:val="19"/>
                <w:szCs w:val="19"/>
                <w:color w:val="auto"/>
              </w:rPr>
            </w:pPr>
          </w:p>
        </w:tc>
      </w:tr>
      <w:tr>
        <w:trPr>
          <w:trHeight w:val="210"/>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1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428</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403</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Deferred revenue</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0"/>
        </w:trPr>
        <w:tc>
          <w:tcPr>
            <w:tcW w:w="8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8120" w:type="dxa"/>
            <w:vAlign w:val="bottom"/>
            <w:shd w:val="clear" w:color="auto" w:fill="CCFFCC"/>
          </w:tcPr>
          <w:p>
            <w:pPr>
              <w:spacing w:after="0"/>
              <w:rPr>
                <w:sz w:val="22"/>
                <w:szCs w:val="22"/>
                <w:color w:val="auto"/>
              </w:rPr>
            </w:pPr>
          </w:p>
        </w:tc>
        <w:tc>
          <w:tcPr>
            <w:tcW w:w="1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428</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421</w:t>
            </w:r>
          </w:p>
        </w:tc>
      </w:tr>
      <w:tr>
        <w:trPr>
          <w:trHeight w:val="20"/>
        </w:trPr>
        <w:tc>
          <w:tcPr>
            <w:tcW w:w="8120" w:type="dxa"/>
            <w:vAlign w:val="bottom"/>
            <w:tcBorders>
              <w:top w:val="single" w:sz="8" w:color="CCFFCC"/>
            </w:tcBorders>
            <w:shd w:val="clear" w:color="auto" w:fill="CCFFC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Accrued Severance Pay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Israeli law, the Subsidiary is required to make severance payments to dismissed employees, and employees leaving employment in certain other circumstances. All of the Subsidiary's employees signed agreements with the Subsidiary, limiting the Subsidiary's severance liability to actual deposits in the insurance policies, as per Section 14 of the Severance Payment Law of 1963.</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recorded severance liability represents special contractual amounts to be paid to our former Chief Executive Officer, upon termination of his respective employment agreement (see Note 17 for subsequent events). There are no statutory or agreed-upon severance arrangements with U.S. employees. Severance pay expense, net, for the current year amounted to $56 thousand (2010 - $168 thousand, cumulative from inception - $1,040 thousand).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Venture Loan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September 24, 2008, the Company drew-down on a venture loan in the total amount of $5 million. As a result of the draw-down, the Company issued to the lenders warrants to purchase 152,602 shares of series B convertible preferred stock.</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29, 2009, the Company entered into a Loan Modification Agreement (the "LMA") with the lenders of the venture loan pursuant to which principal payments were deferred until the consummation of the IPO. The new facility bore an interest rate of 9.5% per annum with an effective interest rate of 18%. In connection with the LMA, the original warrants previously issued to the lenders were terminated and the Company issued the lenders new warrants ("Senior Lenders Warrants") to purchase 250,000 shares of common stock, at an exercise price of $2.75 per share. In exchange, the lenders granted the Company a six month moratorium on principal payments for the venture loan and extended the repayment period for one year until March 2013. After the principal moratorium, under the modified bank repayment terms, the principal and interest were repaid in monthly payments of $142 thousand each.</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Senior Lender Warrants were exercisable at any time before the tenth anniversary of the date they were issued. On the date of the LMA, the loan was recorded at fair market value of $3.70 million, the warrants were recorded at $500 thousand, representing the difference between the fair market value of the new warrants and the fair market value of the previously issued warrants, and the difference between the carrying value of the loan and the fair market value of the loan and the warrants resulted in a loss on the extinguishment of debt in the amount of $180 thousand. The fair value of the loan was assessed using an interest rate of 12%, which represented market conditions for a similar loan.</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8, 2011, the Company entered into a Settlement Agreement (the “Settlement Agreement”) with the lenders of the venture loan (the "Lenders"), pursuant to which the Lenders agreed to accept less than the full amount owed to them by the Company. As part of the Settlement Agreement, the Company immediately repaid $331 thousand, and placed an additional $1.051 million as collateral into a restricted account. In addition, the Company issued the Lenders 250,000 shares of its common stock, in exchange for the Senior Lender Warrants, which were cancelled. In July 2011, the Company repaid the outstanding $1.051 million balance of its venture loan, using the funds set aside in the restricted account. The difference between the fair market value of the shares of common stock issued and the fair market value of the cancelled Senior Lender Warrants, amounting to $213 thousand, was recorded in the statement of stockholders’ equity (deficit). In addition, the difference between the carrying value of the loan and the total sum of future payments on the loan, including the above mentioned $213 thousand, net of legal fees, resulted in a gain on restructuring of debt, in the total amount of $963 thousand, recorded in the statements of operations. Basic and diluted per share gain on restructuring of venture loan for the year ended December 31, 2011 is $0.15 (cumulative - $0.52).</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gridSpan w:val="2"/>
          </w:tcPr>
          <w:p>
            <w:pPr>
              <w:spacing w:after="0"/>
              <w:rPr>
                <w:sz w:val="20"/>
                <w:szCs w:val="20"/>
                <w:color w:val="auto"/>
              </w:rPr>
            </w:pPr>
            <w:r>
              <w:rPr>
                <w:rFonts w:ascii="Arial" w:cs="Arial" w:eastAsia="Arial" w:hAnsi="Arial"/>
                <w:sz w:val="18"/>
                <w:szCs w:val="18"/>
                <w:color w:val="auto"/>
              </w:rPr>
              <w:t>Changes in the balance of the venture loan are as follows: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U.S.$ thousands</w:t>
            </w:r>
          </w:p>
        </w:tc>
      </w:tr>
      <w:tr>
        <w:trPr>
          <w:trHeight w:val="210"/>
        </w:trPr>
        <w:tc>
          <w:tcPr>
            <w:tcW w:w="20" w:type="dxa"/>
            <w:vAlign w:val="bottom"/>
          </w:tcPr>
          <w:p>
            <w:pPr>
              <w:spacing w:after="0"/>
              <w:rPr>
                <w:sz w:val="18"/>
                <w:szCs w:val="18"/>
                <w:color w:val="auto"/>
              </w:rPr>
            </w:pPr>
          </w:p>
        </w:tc>
        <w:tc>
          <w:tcPr>
            <w:tcW w:w="9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 balance at January 1, 2010</w:t>
            </w:r>
          </w:p>
        </w:tc>
        <w:tc>
          <w:tcPr>
            <w:tcW w:w="14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3,703</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Loan repayments</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(757)</w:t>
            </w:r>
          </w:p>
        </w:tc>
      </w:tr>
      <w:tr>
        <w:trPr>
          <w:trHeight w:val="216"/>
        </w:trPr>
        <w:tc>
          <w:tcPr>
            <w:tcW w:w="20" w:type="dxa"/>
            <w:vAlign w:val="bottom"/>
          </w:tcPr>
          <w:p>
            <w:pPr>
              <w:spacing w:after="0"/>
              <w:rPr>
                <w:sz w:val="18"/>
                <w:szCs w:val="18"/>
                <w:color w:val="auto"/>
              </w:rPr>
            </w:pPr>
          </w:p>
        </w:tc>
        <w:tc>
          <w:tcPr>
            <w:tcW w:w="9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Amortization of loan discount</w:t>
            </w: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b w:val="1"/>
                <w:bCs w:val="1"/>
                <w:color w:val="auto"/>
              </w:rPr>
              <w:t>Loan balance at December 31, 2010</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3,173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FFCC"/>
          </w:tcPr>
          <w:p>
            <w:pPr>
              <w:spacing w:after="0"/>
              <w:rPr>
                <w:sz w:val="20"/>
                <w:szCs w:val="20"/>
                <w:color w:val="auto"/>
              </w:rPr>
            </w:pPr>
            <w:r>
              <w:rPr>
                <w:rFonts w:ascii="Arial" w:cs="Arial" w:eastAsia="Arial" w:hAnsi="Arial"/>
                <w:sz w:val="18"/>
                <w:szCs w:val="18"/>
                <w:color w:val="auto"/>
              </w:rPr>
              <w:t>Repayment as per Settlement Agreement</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(1,382)</w:t>
            </w: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Loan repayments</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(713)</w:t>
            </w:r>
          </w:p>
        </w:tc>
      </w:tr>
      <w:tr>
        <w:trPr>
          <w:trHeight w:val="216"/>
        </w:trPr>
        <w:tc>
          <w:tcPr>
            <w:tcW w:w="20" w:type="dxa"/>
            <w:vAlign w:val="bottom"/>
          </w:tcPr>
          <w:p>
            <w:pPr>
              <w:spacing w:after="0"/>
              <w:rPr>
                <w:sz w:val="18"/>
                <w:szCs w:val="18"/>
                <w:color w:val="auto"/>
              </w:rPr>
            </w:pPr>
          </w:p>
        </w:tc>
        <w:tc>
          <w:tcPr>
            <w:tcW w:w="982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 loan discount</w:t>
            </w: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Gain on restructuring of venture loan</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(963)</w:t>
            </w:r>
          </w:p>
        </w:tc>
      </w:tr>
      <w:tr>
        <w:trPr>
          <w:trHeight w:val="216"/>
        </w:trPr>
        <w:tc>
          <w:tcPr>
            <w:tcW w:w="20" w:type="dxa"/>
            <w:vAlign w:val="bottom"/>
          </w:tcPr>
          <w:p>
            <w:pPr>
              <w:spacing w:after="0"/>
              <w:rPr>
                <w:sz w:val="18"/>
                <w:szCs w:val="18"/>
                <w:color w:val="auto"/>
              </w:rPr>
            </w:pPr>
          </w:p>
        </w:tc>
        <w:tc>
          <w:tcPr>
            <w:tcW w:w="9820" w:type="dxa"/>
            <w:vAlign w:val="bottom"/>
            <w:shd w:val="clear" w:color="auto" w:fill="CCFFCC"/>
          </w:tcPr>
          <w:p>
            <w:pPr>
              <w:spacing w:after="0"/>
              <w:rPr>
                <w:sz w:val="20"/>
                <w:szCs w:val="20"/>
                <w:color w:val="auto"/>
              </w:rPr>
            </w:pPr>
            <w:r>
              <w:rPr>
                <w:rFonts w:ascii="Arial" w:cs="Arial" w:eastAsia="Arial" w:hAnsi="Arial"/>
                <w:sz w:val="18"/>
                <w:szCs w:val="18"/>
                <w:color w:val="auto"/>
              </w:rPr>
              <w:t>Issuance of shares in consideration of restructuring of venture loan</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(213)</w:t>
            </w:r>
          </w:p>
        </w:tc>
      </w:tr>
      <w:tr>
        <w:trPr>
          <w:trHeight w:val="210"/>
        </w:trPr>
        <w:tc>
          <w:tcPr>
            <w:tcW w:w="20" w:type="dxa"/>
            <w:vAlign w:val="bottom"/>
          </w:tcPr>
          <w:p>
            <w:pPr>
              <w:spacing w:after="0"/>
              <w:rPr>
                <w:sz w:val="18"/>
                <w:szCs w:val="18"/>
                <w:color w:val="auto"/>
              </w:rPr>
            </w:pPr>
          </w:p>
        </w:tc>
        <w:tc>
          <w:tcPr>
            <w:tcW w:w="982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Loan balance at December 31, 2011</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FFC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Convertible Notes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2011, the Company entered into agreements (“Securities Purchase Agreements”) with selected accredited investors (the “Purchasers”) to sell and issue Convertible Notes in the aggregate amount of $2.5 million. The Convertible Notes were to mature on January 1, 2012 (the “Maturity Date”) unless earlier converted, and bear interest at a rate of 1.25% per annum. Interest on the Convertible Notes is due on the Maturity Date unless earlier converted. The Company’s obligations under the Convertible Notes were secured by a security interest in all of the Company’s assets, including a pledge over the shares of its wholly-owned subsidiary, pursuant to the Security Purchase Agreements.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Convertible Notes were convertible into shares of common stock at a conversion price equal to the lower of (i) the closing price of the Company’s common stock on the announcement date of the note offering, (ii) the closing price of the Company’s common stock on the closing date of the note offering and (iii) a ten percent (10%) discount to the price at which the securities are sold in the new stock offering. Consummation of a future stock offering, would automatically trigger conversion of the Convertible Notes and any accrued interest into the same securities and contain the same terms (other than the conversion price, which is set forth above) as in the subsequent stock offering.</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December 1, 2011, the Company raised an additional $0.85 million through the issuance of 817,303 additional shares of common stock in a private placement. Pursuant to the December 2011 financing, all Convertible Notes (and accrued interest) were converted into 2,671,026 shares of common stock. The conversion of the Convertible Notes triggered anti-dilution provisions in certain of our outstanding warrants (see Note 11).</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the date of the issuance of the Convertible Notes, an amount of $89 thousand was initially allocated to additional paid-in capital in respect of the beneficial conversion feature, with a corresponding discount to the Convertible Notes, to be amortized as interest expense over the repayment period of the Convertible Notes. The December 2011 financing determined the actual conversion price at $0.94. As a result the amount allocated to discount and the beneficial conversion feature was adjusted to $1,269 thousand. The discount was fully amortized to interest expense at conversion; as a result, $1,269 thousand was recorded in the statement of operations, as interest expense.</w:t>
      </w:r>
    </w:p>
    <w:p>
      <w:pPr>
        <w:sectPr>
          <w:pgSz w:w="11900" w:h="16838" w:orient="portrait"/>
          <w:cols w:equalWidth="0" w:num="1">
            <w:col w:w="11420"/>
          </w:cols>
          <w:pgMar w:left="240" w:top="877" w:right="239" w:bottom="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Measurements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measures its cash equivalents, Special Bridge Warrants and Conversion Warrants at fair value. Cash equivalents are classified within Level 1 because they are valued using quoted active market prices. The Special Bridge Warrants and Conversion Warrants are classified within Level 3 because they are valued using the Black-Scholes-Merton and the Monte-Carlo models (as these warrants include a down-round protection clause, see Note</w:t>
      </w:r>
    </w:p>
    <w:p>
      <w:pPr>
        <w:ind w:firstLine="8"/>
        <w:spacing w:after="0" w:line="261" w:lineRule="auto"/>
        <w:tabs>
          <w:tab w:leader="none" w:pos="2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which utilize significant inputs that are unobservable in the market such as the expected stock price volatility, dividend yield, probability and timing of the down-round being triggered and the remaining period of time the warrants will be outstanding before they expire.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placement in the fair value hierarchy of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and 2010:</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80" w:type="dxa"/>
            <w:vAlign w:val="bottom"/>
            <w:tcBorders>
              <w:bottom w:val="single" w:sz="8" w:color="auto"/>
            </w:tcBorders>
            <w:gridSpan w:val="7"/>
          </w:tcPr>
          <w:p>
            <w:pPr>
              <w:ind w:left="1500"/>
              <w:spacing w:after="0"/>
              <w:rPr>
                <w:sz w:val="20"/>
                <w:szCs w:val="20"/>
                <w:color w:val="auto"/>
              </w:rPr>
            </w:pPr>
            <w:r>
              <w:rPr>
                <w:rFonts w:ascii="Arial" w:cs="Arial" w:eastAsia="Arial" w:hAnsi="Arial"/>
                <w:sz w:val="18"/>
                <w:szCs w:val="18"/>
                <w:b w:val="1"/>
                <w:bCs w:val="1"/>
                <w:color w:val="auto"/>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active markets</w:t>
            </w:r>
          </w:p>
        </w:tc>
        <w:tc>
          <w:tcPr>
            <w:tcW w:w="120" w:type="dxa"/>
            <w:vAlign w:val="bottom"/>
          </w:tcPr>
          <w:p>
            <w:pPr>
              <w:spacing w:after="0"/>
              <w:rPr>
                <w:sz w:val="18"/>
                <w:szCs w:val="18"/>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for identical</w:t>
            </w:r>
          </w:p>
        </w:tc>
        <w:tc>
          <w:tcPr>
            <w:tcW w:w="120" w:type="dxa"/>
            <w:vAlign w:val="bottom"/>
          </w:tcPr>
          <w:p>
            <w:pPr>
              <w:spacing w:after="0"/>
              <w:rPr>
                <w:sz w:val="18"/>
                <w:szCs w:val="18"/>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observable</w:t>
            </w:r>
          </w:p>
        </w:tc>
        <w:tc>
          <w:tcPr>
            <w:tcW w:w="10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2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Description</w:t>
            </w: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assets (Level 1)</w:t>
            </w:r>
          </w:p>
        </w:tc>
        <w:tc>
          <w:tcPr>
            <w:tcW w:w="12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inputs (Level 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inputs (Level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gridSpan w:val="4"/>
          </w:tcPr>
          <w:p>
            <w:pPr>
              <w:ind w:left="1520"/>
              <w:spacing w:after="0"/>
              <w:rPr>
                <w:sz w:val="20"/>
                <w:szCs w:val="20"/>
                <w:color w:val="auto"/>
              </w:rPr>
            </w:pPr>
            <w:r>
              <w:rPr>
                <w:rFonts w:ascii="Arial" w:cs="Arial" w:eastAsia="Arial" w:hAnsi="Arial"/>
                <w:sz w:val="18"/>
                <w:szCs w:val="18"/>
                <w:b w:val="1"/>
                <w:bCs w:val="1"/>
                <w:color w:val="auto"/>
              </w:rPr>
              <w:t>U.S.$ thousands</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9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21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20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9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rPr>
              <w:t>Derivative liabilities on</w:t>
            </w:r>
          </w:p>
        </w:tc>
        <w:tc>
          <w:tcPr>
            <w:tcW w:w="20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2,172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account of warrants</w:t>
            </w:r>
          </w:p>
        </w:tc>
        <w:tc>
          <w:tcPr>
            <w:tcW w:w="20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6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2140" w:type="dxa"/>
            <w:vAlign w:val="bottom"/>
            <w:gridSpan w:val="3"/>
          </w:tcPr>
          <w:p>
            <w:pPr>
              <w:jc w:val="right"/>
              <w:ind w:right="10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Borders>
              <w:bottom w:val="single" w:sz="8" w:color="CCFFCC"/>
            </w:tcBorders>
            <w:gridSpan w:val="2"/>
            <w:shd w:val="clear" w:color="auto" w:fill="CCFFCC"/>
          </w:tcPr>
          <w:p>
            <w:pPr>
              <w:spacing w:after="0" w:line="196" w:lineRule="exact"/>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FFCC"/>
            </w:tcBorders>
            <w:shd w:val="clear" w:color="auto" w:fill="CCFFCC"/>
          </w:tcPr>
          <w:p>
            <w:pPr>
              <w:spacing w:after="0"/>
              <w:rPr>
                <w:sz w:val="20"/>
                <w:szCs w:val="20"/>
                <w:color w:val="auto"/>
              </w:rPr>
            </w:pPr>
          </w:p>
        </w:tc>
        <w:tc>
          <w:tcPr>
            <w:tcW w:w="19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2,172</w:t>
            </w:r>
          </w:p>
        </w:tc>
        <w:tc>
          <w:tcPr>
            <w:tcW w:w="1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21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shd w:val="clear" w:color="auto" w:fill="CCFFCC"/>
          </w:tcPr>
          <w:p>
            <w:pPr>
              <w:spacing w:after="0"/>
              <w:rPr>
                <w:sz w:val="20"/>
                <w:szCs w:val="20"/>
                <w:color w:val="auto"/>
              </w:rPr>
            </w:pPr>
          </w:p>
        </w:tc>
        <w:tc>
          <w:tcPr>
            <w:tcW w:w="2040" w:type="dxa"/>
            <w:vAlign w:val="bottom"/>
            <w:tcBorders>
              <w:bottom w:val="single" w:sz="8" w:color="auto"/>
            </w:tcBorders>
            <w:shd w:val="clear" w:color="auto" w:fill="CCFFCC"/>
          </w:tcPr>
          <w:p>
            <w:pPr>
              <w:ind w:left="186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94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2,172</w:t>
            </w:r>
          </w:p>
        </w:tc>
        <w:tc>
          <w:tcPr>
            <w:tcW w:w="10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80" w:type="dxa"/>
            <w:vAlign w:val="bottom"/>
            <w:tcBorders>
              <w:bottom w:val="single" w:sz="8" w:color="auto"/>
            </w:tcBorders>
            <w:gridSpan w:val="7"/>
          </w:tcPr>
          <w:p>
            <w:pPr>
              <w:ind w:left="1500"/>
              <w:spacing w:after="0"/>
              <w:rPr>
                <w:sz w:val="20"/>
                <w:szCs w:val="20"/>
                <w:color w:val="auto"/>
              </w:rPr>
            </w:pPr>
            <w:r>
              <w:rPr>
                <w:rFonts w:ascii="Arial" w:cs="Arial" w:eastAsia="Arial" w:hAnsi="Arial"/>
                <w:sz w:val="18"/>
                <w:szCs w:val="18"/>
                <w:b w:val="1"/>
                <w:bCs w:val="1"/>
                <w:color w:val="auto"/>
              </w:rPr>
              <w:t>Fair value measurement at reporting date using</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Quoted prices in</w:t>
            </w: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active markets</w:t>
            </w:r>
          </w:p>
        </w:tc>
        <w:tc>
          <w:tcPr>
            <w:tcW w:w="120" w:type="dxa"/>
            <w:vAlign w:val="bottom"/>
          </w:tcPr>
          <w:p>
            <w:pPr>
              <w:spacing w:after="0"/>
              <w:rPr>
                <w:sz w:val="19"/>
                <w:szCs w:val="19"/>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9"/>
                <w:szCs w:val="19"/>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for identical</w:t>
            </w:r>
          </w:p>
        </w:tc>
        <w:tc>
          <w:tcPr>
            <w:tcW w:w="120" w:type="dxa"/>
            <w:vAlign w:val="bottom"/>
          </w:tcPr>
          <w:p>
            <w:pPr>
              <w:spacing w:after="0"/>
              <w:rPr>
                <w:sz w:val="19"/>
                <w:szCs w:val="19"/>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observable</w:t>
            </w:r>
          </w:p>
        </w:tc>
        <w:tc>
          <w:tcPr>
            <w:tcW w:w="100" w:type="dxa"/>
            <w:vAlign w:val="bottom"/>
          </w:tcPr>
          <w:p>
            <w:pPr>
              <w:spacing w:after="0"/>
              <w:rPr>
                <w:sz w:val="19"/>
                <w:szCs w:val="19"/>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2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Description</w:t>
            </w: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assets (Level 1)</w:t>
            </w:r>
          </w:p>
        </w:tc>
        <w:tc>
          <w:tcPr>
            <w:tcW w:w="12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inputs (Level 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inputs (Level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gridSpan w:val="4"/>
          </w:tcPr>
          <w:p>
            <w:pPr>
              <w:ind w:left="1520"/>
              <w:spacing w:after="0"/>
              <w:rPr>
                <w:sz w:val="20"/>
                <w:szCs w:val="20"/>
                <w:color w:val="auto"/>
              </w:rPr>
            </w:pPr>
            <w:r>
              <w:rPr>
                <w:rFonts w:ascii="Arial" w:cs="Arial" w:eastAsia="Arial" w:hAnsi="Arial"/>
                <w:sz w:val="18"/>
                <w:szCs w:val="18"/>
                <w:b w:val="1"/>
                <w:bCs w:val="1"/>
                <w:color w:val="auto"/>
              </w:rPr>
              <w:t>U.S.$ thousands</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9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21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20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9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4,542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18"/>
                <w:szCs w:val="18"/>
                <w:color w:val="auto"/>
              </w:rPr>
            </w:pPr>
          </w:p>
        </w:tc>
        <w:tc>
          <w:tcPr>
            <w:tcW w:w="204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2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4,542</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4,542</w:t>
            </w:r>
          </w:p>
        </w:tc>
        <w:tc>
          <w:tcPr>
            <w:tcW w:w="120" w:type="dxa"/>
            <w:vAlign w:val="bottom"/>
            <w:shd w:val="clear" w:color="auto" w:fill="CCFFCC"/>
          </w:tcPr>
          <w:p>
            <w:pPr>
              <w:spacing w:after="0"/>
              <w:rPr>
                <w:sz w:val="21"/>
                <w:szCs w:val="21"/>
                <w:color w:val="auto"/>
              </w:rPr>
            </w:pPr>
          </w:p>
        </w:tc>
        <w:tc>
          <w:tcPr>
            <w:tcW w:w="2260" w:type="dxa"/>
            <w:vAlign w:val="bottom"/>
            <w:gridSpan w:val="2"/>
            <w:shd w:val="clear" w:color="auto" w:fill="CCFFCC"/>
          </w:tcPr>
          <w:p>
            <w:pPr>
              <w:ind w:left="1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2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tcBorders>
              <w:top w:val="single" w:sz="8" w:color="CCFFCC"/>
            </w:tcBorders>
            <w:gridSpan w:val="2"/>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Derivative liability on account</w:t>
            </w:r>
          </w:p>
        </w:tc>
        <w:tc>
          <w:tcPr>
            <w:tcW w:w="2080" w:type="dxa"/>
            <w:vAlign w:val="bottom"/>
            <w:gridSpan w:val="2"/>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rPr>
              <w:t>1,770</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of warrants</w:t>
            </w:r>
          </w:p>
        </w:tc>
        <w:tc>
          <w:tcPr>
            <w:tcW w:w="2080" w:type="dxa"/>
            <w:vAlign w:val="bottom"/>
            <w:tcBorders>
              <w:bottom w:val="single" w:sz="8" w:color="auto"/>
            </w:tcBorders>
            <w:gridSpan w:val="2"/>
            <w:vMerge w:val="continue"/>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2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shd w:val="clear" w:color="auto" w:fill="CCFFCC"/>
          </w:tcPr>
          <w:p>
            <w:pPr>
              <w:spacing w:after="0"/>
              <w:rPr>
                <w:sz w:val="20"/>
                <w:szCs w:val="20"/>
                <w:color w:val="auto"/>
              </w:rPr>
            </w:pPr>
          </w:p>
        </w:tc>
        <w:tc>
          <w:tcPr>
            <w:tcW w:w="2040" w:type="dxa"/>
            <w:vAlign w:val="bottom"/>
            <w:tcBorders>
              <w:bottom w:val="single" w:sz="8" w:color="auto"/>
            </w:tcBorders>
            <w:shd w:val="clear" w:color="auto" w:fill="CCFFCC"/>
          </w:tcPr>
          <w:p>
            <w:pPr>
              <w:ind w:left="18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FFCC"/>
            </w:tcBorders>
            <w:shd w:val="clear" w:color="auto" w:fill="CCFFCC"/>
          </w:tcPr>
          <w:p>
            <w:pPr>
              <w:spacing w:after="0"/>
              <w:rPr>
                <w:sz w:val="20"/>
                <w:szCs w:val="20"/>
                <w:color w:val="auto"/>
              </w:rPr>
            </w:pPr>
          </w:p>
        </w:tc>
        <w:tc>
          <w:tcPr>
            <w:tcW w:w="204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6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2140" w:type="dxa"/>
            <w:vAlign w:val="bottom"/>
            <w:gridSpan w:val="3"/>
          </w:tcPr>
          <w:p>
            <w:pPr>
              <w:jc w:val="right"/>
              <w:ind w:right="1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above, the Company's financial instruments at December 31, 2011 and 2010, consisted of cash, accounts receivable, long-term deposits, accrued expenses, and the venture loan (December 31, 2010, only). The carrying amounts of all the aforementioned financial instruments approximate fair value, except for the fair value of the venture loan, for the year ended December 31, 2010, for which the carrying amount of the venture loan was $3,173 thousand and the fair value was estimated at $3,317 thousand.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changes in the Company's liabilities measured at fair value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Level 3</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11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60" w:type="dxa"/>
            <w:vAlign w:val="bottom"/>
            <w:gridSpan w:val="2"/>
          </w:tcPr>
          <w:p>
            <w:pPr>
              <w:jc w:val="right"/>
              <w:ind w:right="320"/>
              <w:spacing w:after="0" w:line="205" w:lineRule="exact"/>
              <w:rPr>
                <w:sz w:val="20"/>
                <w:szCs w:val="20"/>
                <w:color w:val="auto"/>
              </w:rPr>
            </w:pPr>
            <w:r>
              <w:rPr>
                <w:rFonts w:ascii="Arial" w:cs="Arial" w:eastAsia="Arial" w:hAnsi="Arial"/>
                <w:sz w:val="18"/>
                <w:szCs w:val="18"/>
                <w:b w:val="1"/>
                <w:bCs w:val="1"/>
                <w:color w:val="auto"/>
                <w:w w:val="97"/>
              </w:rPr>
              <w:t>Special Bridge</w:t>
            </w:r>
          </w:p>
        </w:tc>
        <w:tc>
          <w:tcPr>
            <w:tcW w:w="1520" w:type="dxa"/>
            <w:vAlign w:val="bottom"/>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rPr>
              <w:t>Conversion</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Warrants</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Warrants</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10"/>
        </w:trPr>
        <w:tc>
          <w:tcPr>
            <w:tcW w:w="1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U.S.$ thousands</w:t>
            </w:r>
          </w:p>
        </w:tc>
        <w:tc>
          <w:tcPr>
            <w:tcW w:w="180" w:type="dxa"/>
            <w:vAlign w:val="bottom"/>
            <w:tcBorders>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Original allocated amount</w:t>
            </w:r>
          </w:p>
        </w:tc>
        <w:tc>
          <w:tcPr>
            <w:tcW w:w="30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1,070</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FFCC"/>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Additional allocated amount (upon IPO)</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1,564</w:t>
            </w:r>
          </w:p>
        </w:tc>
        <w:tc>
          <w:tcPr>
            <w:tcW w:w="132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w w:val="92"/>
              </w:rPr>
              <w:t>Fair value adjustment included in statement of operations</w:t>
            </w:r>
          </w:p>
        </w:tc>
        <w:tc>
          <w:tcPr>
            <w:tcW w:w="150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(382)</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(570)</w:t>
            </w: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(952)</w:t>
            </w:r>
          </w:p>
        </w:tc>
      </w:tr>
      <w:tr>
        <w:trPr>
          <w:trHeight w:val="210"/>
        </w:trPr>
        <w:tc>
          <w:tcPr>
            <w:tcW w:w="1160" w:type="dxa"/>
            <w:vAlign w:val="bottom"/>
          </w:tcPr>
          <w:p>
            <w:pPr>
              <w:spacing w:after="0"/>
              <w:rPr>
                <w:sz w:val="18"/>
                <w:szCs w:val="18"/>
                <w:color w:val="auto"/>
              </w:rPr>
            </w:pPr>
          </w:p>
        </w:tc>
        <w:tc>
          <w:tcPr>
            <w:tcW w:w="426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Balance at December 31, 2010</w:t>
            </w:r>
          </w:p>
        </w:tc>
        <w:tc>
          <w:tcPr>
            <w:tcW w:w="1500" w:type="dxa"/>
            <w:vAlign w:val="bottom"/>
            <w:tcBorders>
              <w:top w:val="single" w:sz="8" w:color="CCFFCC"/>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776</w:t>
            </w:r>
          </w:p>
        </w:tc>
        <w:tc>
          <w:tcPr>
            <w:tcW w:w="20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994</w:t>
            </w:r>
          </w:p>
        </w:tc>
        <w:tc>
          <w:tcPr>
            <w:tcW w:w="18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1,770</w:t>
            </w:r>
          </w:p>
        </w:tc>
        <w:tc>
          <w:tcPr>
            <w:tcW w:w="100" w:type="dxa"/>
            <w:vAlign w:val="bottom"/>
            <w:tcBorders>
              <w:top w:val="single" w:sz="8" w:color="CCFFCC"/>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w w:val="92"/>
              </w:rPr>
              <w:t>Fair value adjustment included in statement of operations</w:t>
            </w:r>
          </w:p>
        </w:tc>
        <w:tc>
          <w:tcPr>
            <w:tcW w:w="150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(109)</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402</w:t>
            </w:r>
          </w:p>
        </w:tc>
      </w:tr>
      <w:tr>
        <w:trPr>
          <w:trHeight w:val="210"/>
        </w:trPr>
        <w:tc>
          <w:tcPr>
            <w:tcW w:w="1160" w:type="dxa"/>
            <w:vAlign w:val="bottom"/>
          </w:tcPr>
          <w:p>
            <w:pPr>
              <w:spacing w:after="0"/>
              <w:rPr>
                <w:sz w:val="18"/>
                <w:szCs w:val="18"/>
                <w:color w:val="auto"/>
              </w:rPr>
            </w:pPr>
          </w:p>
        </w:tc>
        <w:tc>
          <w:tcPr>
            <w:tcW w:w="426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Balance at December 31, 2011</w:t>
            </w:r>
          </w:p>
        </w:tc>
        <w:tc>
          <w:tcPr>
            <w:tcW w:w="1500" w:type="dxa"/>
            <w:vAlign w:val="bottom"/>
            <w:tcBorders>
              <w:top w:val="single" w:sz="8" w:color="CCFFCC"/>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1,287</w:t>
            </w:r>
          </w:p>
        </w:tc>
        <w:tc>
          <w:tcPr>
            <w:tcW w:w="200" w:type="dxa"/>
            <w:vAlign w:val="bottom"/>
            <w:tcBorders>
              <w:top w:val="single" w:sz="8" w:color="CCFFCC"/>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885</w:t>
            </w:r>
          </w:p>
        </w:tc>
        <w:tc>
          <w:tcPr>
            <w:tcW w:w="180" w:type="dxa"/>
            <w:vAlign w:val="bottom"/>
            <w:tcBorders>
              <w:top w:val="single" w:sz="8" w:color="CCFFCC"/>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2,172</w:t>
            </w:r>
          </w:p>
        </w:tc>
        <w:tc>
          <w:tcPr>
            <w:tcW w:w="100" w:type="dxa"/>
            <w:vAlign w:val="bottom"/>
            <w:tcBorders>
              <w:top w:val="single" w:sz="8" w:color="CCFFCC"/>
            </w:tcBorders>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right"/>
              <w:ind w:right="2600"/>
              <w:spacing w:after="0"/>
              <w:rPr>
                <w:sz w:val="20"/>
                <w:szCs w:val="20"/>
                <w:color w:val="auto"/>
              </w:rPr>
            </w:pPr>
            <w:r>
              <w:rPr>
                <w:rFonts w:ascii="Arial" w:cs="Arial" w:eastAsia="Arial" w:hAnsi="Arial"/>
                <w:sz w:val="18"/>
                <w:szCs w:val="18"/>
                <w:color w:val="auto"/>
              </w:rPr>
              <w:t>F-16</w:t>
            </w: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Note 11 - Stockholders' Equity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Common Stock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June 2010, the Company completed an IPO of 2,392,000 units (see Note 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 2011, the Company completed an additional financing round, in which it issued 817,303 shares of common stock. In connection with the financing round the Convertible Notes were converted into equity (see Note 9), and 2,671,026 shares of common stock were issued to the Convertible Notes holders. In addition, pursuant to the commencement of the above mentioned financing round, the Company issued 208,159 shares of common stock to one of its consultants.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Subsequent to the balance sheet date, between February 6 and February 14, 2012, 3,828,993 of the Company’s outstanding Special Bridge Warrants and Conversion Warrants were exercised. As a result, the Company issued 3,828,993 shares of common stock. See Note 17.</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information about the Company's issued and outstanding common stock from inception through December 31, 2011, on a post-split basis: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2760" w:type="dxa"/>
            <w:vAlign w:val="bottom"/>
            <w:gridSpan w:val="3"/>
          </w:tcPr>
          <w:p>
            <w:pPr>
              <w:ind w:left="800"/>
              <w:spacing w:after="0"/>
              <w:rPr>
                <w:sz w:val="20"/>
                <w:szCs w:val="20"/>
                <w:color w:val="auto"/>
              </w:rPr>
            </w:pPr>
            <w:r>
              <w:rPr>
                <w:rFonts w:ascii="Arial" w:cs="Arial" w:eastAsia="Arial" w:hAnsi="Arial"/>
                <w:sz w:val="18"/>
                <w:szCs w:val="18"/>
                <w:b w:val="1"/>
                <w:bCs w:val="1"/>
                <w:color w:val="auto"/>
                <w:w w:val="90"/>
              </w:rPr>
              <w:t>Shares of common stock</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0.01$ par 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January 9, 2006 (inception)</w:t>
            </w:r>
          </w:p>
        </w:tc>
        <w:tc>
          <w:tcPr>
            <w:tcW w:w="800" w:type="dxa"/>
            <w:vAlign w:val="bottom"/>
            <w:shd w:val="clear" w:color="auto" w:fill="CCFFCC"/>
          </w:tcPr>
          <w:p>
            <w:pPr>
              <w:spacing w:after="0"/>
              <w:rPr>
                <w:sz w:val="18"/>
                <w:szCs w:val="18"/>
                <w:color w:val="auto"/>
              </w:rPr>
            </w:pPr>
          </w:p>
        </w:tc>
        <w:tc>
          <w:tcPr>
            <w:tcW w:w="1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Issuance of common stock to two founders for a net amount of $5</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FFCC"/>
          </w:tcPr>
          <w:p>
            <w:pPr>
              <w:spacing w:after="0"/>
              <w:rPr>
                <w:sz w:val="20"/>
                <w:szCs w:val="20"/>
                <w:color w:val="auto"/>
              </w:rPr>
            </w:pPr>
            <w:r>
              <w:rPr>
                <w:rFonts w:ascii="Arial" w:cs="Arial" w:eastAsia="Arial" w:hAnsi="Arial"/>
                <w:sz w:val="18"/>
                <w:szCs w:val="18"/>
                <w:color w:val="auto"/>
              </w:rPr>
              <w:t>Stock dividend of 3,999 shares for each share of outstanding stock in their respective classes</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333,250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4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2006</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333,333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w w:val="99"/>
              </w:rPr>
              <w:t>Issuance of common stock in lieu of beneficial conversion terms contained in the convertible loan agreement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33,449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Balance as of December 31, 2007</w:t>
            </w:r>
          </w:p>
        </w:tc>
        <w:tc>
          <w:tcPr>
            <w:tcW w:w="2660" w:type="dxa"/>
            <w:vAlign w:val="bottom"/>
            <w:gridSpan w:val="2"/>
          </w:tcPr>
          <w:p>
            <w:pPr>
              <w:jc w:val="right"/>
              <w:spacing w:after="0"/>
              <w:rPr>
                <w:sz w:val="20"/>
                <w:szCs w:val="20"/>
                <w:color w:val="auto"/>
              </w:rPr>
            </w:pPr>
            <w:r>
              <w:rPr>
                <w:rFonts w:ascii="Arial" w:cs="Arial" w:eastAsia="Arial" w:hAnsi="Arial"/>
                <w:sz w:val="18"/>
                <w:szCs w:val="18"/>
                <w:b w:val="1"/>
                <w:bCs w:val="1"/>
                <w:color w:val="auto"/>
              </w:rPr>
              <w:t>366,782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FFCC"/>
          </w:tcPr>
          <w:p>
            <w:pPr>
              <w:spacing w:after="0"/>
              <w:rPr>
                <w:sz w:val="20"/>
                <w:szCs w:val="20"/>
                <w:color w:val="auto"/>
              </w:rPr>
            </w:pPr>
            <w:r>
              <w:rPr>
                <w:rFonts w:ascii="Arial" w:cs="Arial" w:eastAsia="Arial" w:hAnsi="Arial"/>
                <w:sz w:val="18"/>
                <w:szCs w:val="18"/>
                <w:color w:val="auto"/>
              </w:rPr>
              <w:t>Issuance of common stock</w:t>
            </w:r>
          </w:p>
        </w:tc>
        <w:tc>
          <w:tcPr>
            <w:tcW w:w="800" w:type="dxa"/>
            <w:vAlign w:val="bottom"/>
            <w:shd w:val="clear" w:color="auto" w:fill="CCFFCC"/>
          </w:tcPr>
          <w:p>
            <w:pPr>
              <w:spacing w:after="0"/>
              <w:rPr>
                <w:sz w:val="18"/>
                <w:szCs w:val="18"/>
                <w:color w:val="auto"/>
              </w:rPr>
            </w:pPr>
          </w:p>
        </w:tc>
        <w:tc>
          <w:tcPr>
            <w:tcW w:w="1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4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2008</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366,782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Balance as of December 31, 2009</w:t>
            </w:r>
          </w:p>
        </w:tc>
        <w:tc>
          <w:tcPr>
            <w:tcW w:w="2660" w:type="dxa"/>
            <w:vAlign w:val="bottom"/>
            <w:gridSpan w:val="2"/>
          </w:tcPr>
          <w:p>
            <w:pPr>
              <w:jc w:val="right"/>
              <w:spacing w:after="0"/>
              <w:rPr>
                <w:sz w:val="20"/>
                <w:szCs w:val="20"/>
                <w:color w:val="auto"/>
              </w:rPr>
            </w:pPr>
            <w:r>
              <w:rPr>
                <w:rFonts w:ascii="Arial" w:cs="Arial" w:eastAsia="Arial" w:hAnsi="Arial"/>
                <w:sz w:val="18"/>
                <w:szCs w:val="18"/>
                <w:b w:val="1"/>
                <w:bCs w:val="1"/>
                <w:color w:val="auto"/>
              </w:rPr>
              <w:t>366,782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FFCC"/>
          </w:tcPr>
          <w:p>
            <w:pPr>
              <w:spacing w:after="0"/>
              <w:rPr>
                <w:sz w:val="20"/>
                <w:szCs w:val="20"/>
                <w:color w:val="auto"/>
              </w:rPr>
            </w:pPr>
            <w:r>
              <w:rPr>
                <w:rFonts w:ascii="Arial" w:cs="Arial" w:eastAsia="Arial" w:hAnsi="Arial"/>
                <w:sz w:val="18"/>
                <w:szCs w:val="18"/>
                <w:color w:val="auto"/>
              </w:rPr>
              <w:t>Issuance of common stock, in connection with IPO (see Note 1)</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2,392,000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Exchange of series A convertible preferred stock for common stock(see Note 11 b)</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392,315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FFCC"/>
          </w:tcPr>
          <w:p>
            <w:pPr>
              <w:spacing w:after="0"/>
              <w:rPr>
                <w:sz w:val="20"/>
                <w:szCs w:val="20"/>
                <w:color w:val="auto"/>
              </w:rPr>
            </w:pPr>
            <w:r>
              <w:rPr>
                <w:rFonts w:ascii="Arial" w:cs="Arial" w:eastAsia="Arial" w:hAnsi="Arial"/>
                <w:sz w:val="18"/>
                <w:szCs w:val="18"/>
                <w:color w:val="auto"/>
              </w:rPr>
              <w:t>Conversion of Bridge notes (see Note 1)</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864,332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Stock dividend(see Note 11 b)</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311,451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FFCC"/>
          </w:tcPr>
          <w:p>
            <w:pPr>
              <w:spacing w:after="0"/>
              <w:rPr>
                <w:sz w:val="20"/>
                <w:szCs w:val="20"/>
                <w:color w:val="auto"/>
              </w:rPr>
            </w:pPr>
            <w:r>
              <w:rPr>
                <w:rFonts w:ascii="Arial" w:cs="Arial" w:eastAsia="Arial" w:hAnsi="Arial"/>
                <w:sz w:val="18"/>
                <w:szCs w:val="18"/>
                <w:color w:val="auto"/>
              </w:rPr>
              <w:t>Exchange of series B convertible preferred stock for common stock(see Note 11 b)</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765,466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Exercise of charitable warrants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11,044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FFCC"/>
          </w:tcPr>
          <w:p>
            <w:pPr>
              <w:spacing w:after="0"/>
              <w:rPr>
                <w:sz w:val="20"/>
                <w:szCs w:val="20"/>
                <w:color w:val="auto"/>
              </w:rPr>
            </w:pPr>
            <w:r>
              <w:rPr>
                <w:rFonts w:ascii="Arial" w:cs="Arial" w:eastAsia="Arial" w:hAnsi="Arial"/>
                <w:sz w:val="18"/>
                <w:szCs w:val="18"/>
                <w:color w:val="auto"/>
              </w:rPr>
              <w:t>Exercise of lead investor warrants (see Note 11 f)</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241,173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60,517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Balance as of December 31, 2010</w:t>
            </w:r>
          </w:p>
        </w:tc>
        <w:tc>
          <w:tcPr>
            <w:tcW w:w="2660" w:type="dxa"/>
            <w:vAlign w:val="bottom"/>
            <w:gridSpan w:val="2"/>
          </w:tcPr>
          <w:p>
            <w:pPr>
              <w:jc w:val="right"/>
              <w:spacing w:after="0"/>
              <w:rPr>
                <w:sz w:val="20"/>
                <w:szCs w:val="20"/>
                <w:color w:val="auto"/>
              </w:rPr>
            </w:pPr>
            <w:r>
              <w:rPr>
                <w:rFonts w:ascii="Arial" w:cs="Arial" w:eastAsia="Arial" w:hAnsi="Arial"/>
                <w:sz w:val="18"/>
                <w:szCs w:val="18"/>
                <w:b w:val="1"/>
                <w:bCs w:val="1"/>
                <w:color w:val="auto"/>
              </w:rPr>
              <w:t>5,405,080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FFCC"/>
          </w:tcPr>
          <w:p>
            <w:pPr>
              <w:spacing w:after="0"/>
              <w:rPr>
                <w:sz w:val="20"/>
                <w:szCs w:val="20"/>
                <w:color w:val="auto"/>
              </w:rPr>
            </w:pPr>
            <w:r>
              <w:rPr>
                <w:rFonts w:ascii="Arial" w:cs="Arial" w:eastAsia="Arial" w:hAnsi="Arial"/>
                <w:sz w:val="18"/>
                <w:szCs w:val="18"/>
                <w:color w:val="auto"/>
              </w:rPr>
              <w:t>Exercise of lead investor warrants (see Note 11 f)</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241,173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341,913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FFCC"/>
          </w:tcPr>
          <w:p>
            <w:pPr>
              <w:spacing w:after="0"/>
              <w:rPr>
                <w:sz w:val="20"/>
                <w:szCs w:val="20"/>
                <w:color w:val="auto"/>
              </w:rPr>
            </w:pPr>
            <w:r>
              <w:rPr>
                <w:rFonts w:ascii="Arial" w:cs="Arial" w:eastAsia="Arial" w:hAnsi="Arial"/>
                <w:sz w:val="18"/>
                <w:szCs w:val="18"/>
                <w:color w:val="auto"/>
              </w:rPr>
              <w:t>Issuance of common stock, in connection venture loan settlement (see Note 8)</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Exercise of charitable warrants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19,862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FFCC"/>
          </w:tcPr>
          <w:p>
            <w:pPr>
              <w:spacing w:after="0"/>
              <w:rPr>
                <w:sz w:val="20"/>
                <w:szCs w:val="20"/>
                <w:color w:val="auto"/>
              </w:rPr>
            </w:pPr>
            <w:r>
              <w:rPr>
                <w:rFonts w:ascii="Arial" w:cs="Arial" w:eastAsia="Arial" w:hAnsi="Arial"/>
                <w:sz w:val="18"/>
                <w:szCs w:val="18"/>
                <w:color w:val="auto"/>
              </w:rPr>
              <w:t>Issuance of common stock, to consultants</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208,159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Conversion of convertible notes (see Note 9)</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2,671,026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Issuance of common stock, in connection with December 2011 financing</w:t>
            </w:r>
          </w:p>
        </w:tc>
        <w:tc>
          <w:tcPr>
            <w:tcW w:w="800" w:type="dxa"/>
            <w:vAlign w:val="bottom"/>
            <w:tcBorders>
              <w:bottom w:val="single" w:sz="8" w:color="CCFFCC"/>
            </w:tcBorders>
            <w:shd w:val="clear" w:color="auto" w:fill="CCFFCC"/>
          </w:tcPr>
          <w:p>
            <w:pPr>
              <w:spacing w:after="0"/>
              <w:rPr>
                <w:sz w:val="18"/>
                <w:szCs w:val="18"/>
                <w:color w:val="auto"/>
              </w:rPr>
            </w:pPr>
          </w:p>
        </w:tc>
        <w:tc>
          <w:tcPr>
            <w:tcW w:w="1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817,303</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Balance as of December 31, 2011</w:t>
            </w:r>
          </w:p>
        </w:tc>
        <w:tc>
          <w:tcPr>
            <w:tcW w:w="2660" w:type="dxa"/>
            <w:vAlign w:val="bottom"/>
            <w:gridSpan w:val="2"/>
          </w:tcPr>
          <w:p>
            <w:pPr>
              <w:jc w:val="right"/>
              <w:spacing w:after="0"/>
              <w:rPr>
                <w:sz w:val="20"/>
                <w:szCs w:val="20"/>
                <w:color w:val="auto"/>
              </w:rPr>
            </w:pPr>
            <w:r>
              <w:rPr>
                <w:rFonts w:ascii="Arial" w:cs="Arial" w:eastAsia="Arial" w:hAnsi="Arial"/>
                <w:sz w:val="18"/>
                <w:szCs w:val="18"/>
                <w:b w:val="1"/>
                <w:bCs w:val="1"/>
                <w:color w:val="auto"/>
              </w:rPr>
              <w:t>9,954,516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Preferred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8, 2006, the Company issued 98 shares of series A convertible preferred stock (on a post-split basis) for a net amount of $2.35 million. On August 8, 2006, the Company declared a stock dividend of approximately 3,999 shares for each share of outstanding stock in their respective classes. The Company treated this transaction as a stock dividend with no adjustment to the par value per respective share due to legal restrictions. Upon the consummation of the IPO, the Series A convertible preferred stock were granted a 15% stock dividend, and then exchanged for shares of common stock and recorded as such (see table above).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30, 2007, the Company issued 765,466 shares of series B convertible preferred stock (on a post-split basis) which was categorized as temporary equity. Upon the consummation of the IPO, the Series B convertible preferred stock previously classified as temporary equity was granted a 33% stock dividend, and then exchanged for shares of common stock and recorded as such (see table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 (Deficit) (cont'd)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Common stock reserved for issuance upon exercise of stock options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30, 2006, the Company adopted the 2006 Stock Option Plan, pursuant to which 880 thousand shares of common stock were reserved for issuance. On July 30, 2007, the Company amended and restated the original plan in its entirety by adopting Amendment No. 1 to Stock Option Plan (the "Stock Option Plan"), which increased the number of common stock reserved for issuance to 2.79 million. In January 2010, the number of common stock reserved for issuance upon the exercise of options in the Stock Option Plan was increased to 14.14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Stock options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Stock Option Plan provides for grants or sales of common stock options to employees, directors and consultants. Options granted in connection with the Company's Stock Option Plan are exercisable for six years from the grant date. Options are generally forfeited, if not exercised, within ninety days of termination of employment or service to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For the years ended December 31, 2011 and 2010 the Company recorded compensation expense of $1,769 thousand and $912 thousand,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Cumulative from inception the Company has recorded compensation expense of $3,023 thousand, in respect of stock options granted.</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January 31, 2011, the Company's Board of Directors (the "Board") approved the granting of 216 thousand options to management, employees and consultants at an exercise price of $0.01 per share. These options will vest yearly over three and four year periods (according to the applicable schedule of each optionee). The Board also approved the granting of 264 thousand options at an exercise price of $5.50 to its management, employees and consultants. These options will vest over three and four years (according to the applicable schedule of each optionee).</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fair value of options granted in 2011 to employees and directors at an exercise price of $0.01 was calculated using the Black-Scholes-Merton model, which takes into consideration the share price at the date of grant, the exercise price of the option, the expected life of the option, risk free interest rates, expected dividend, and the expected volatility. The following assumptions were used: an expected life of 4-4.25 years, a risk-free interest rate of 1.44%-1.55% and an expected volatility of 52.21%-47.89% and no dividend yield. The fair value of the common stock used for this calculation was $1.68.</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fair value of options, granted in 2011, to employees and directors at an exercise price of $5.50 was calculated using the Lattice model, which takes into consideration the share price at the date of grant, the exercise price of the option, the expected life of the option, risk free interest rates, expected dividend, and the expected volatility. The Company uses the Lattice option pricing model for the valuation of options to employees and directors that are not plain vanilla. The following assumptions were used: an expected life of 6 years, a risk-free interest rate of 2.38% and an expected volatility of 56.41% and no dividend yield. The fair value of the common stock used for this calculation was $1.68.</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2011, the fair value of options granted to consultants was calculated using the Black-Scholes-Merton model. The following assumptions were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used: expected life of 2-6 years, a risk free interest rate of 0.29%-2.38% and an expected volatility of 45.71%-59.69% and no dividend yield. The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used for this calculation was $0.99-$1.70.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2011, there were approximately 11.5 million shares of common stock available for future grants.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17, 2010, the Board approved the granting of options to management, directors and consultants. The Board approved the granting of 1,392,000 options at an exercise price of $0.01. These options vest yearly over three and four year periods, according to the applicable schedule of each optionee. The Board also approved the granting of 1,420,000 options at an exercise price of $5.50 to its employees, directors and consultants. These options vest over four years. Vesting of options granted during 2010 commenced in June through December 2010, according to the applicable schedule of each optionee, and when the terms were communicated.</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fair value of the options to employees and directors granted in 2010 was calculated using the Lattice model which takes into consideration the share price at the date of grant, the exercise price of the option, the expected life of the option, risk free interest rates, expected dividend, and the expected volatility. The Company uses the Lattice option pricing model for the valuation of options to employees and directors that are not plain vanilla. The following assumptions were used: an expected life of 5.2-6 years, a risk-free interest rate of 2.11%-2.83% and an expected volatility of 56.11%-64.3% and no dividend yield. The fair value of the common stock used for this calculation was $2.49-$2.62. The fair value of options to non-employees is calculated using the following assumptions: expected life of 3-5.5 years, a risk free interest rate of 0.71%-2.64% and an expected volatility of 46%-64% and no dividend yield.</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January and February 2012 the Board of Directors approved the granting of 70,000, fully vested options to management and consultants at an exercise price of $0.01 per share. The Board also approved the granting of 734,500 options at an exercise price of $0.96 to its management, employees and consultants. These options will vest over four years (according to the applicable schedule of each optionee). The fair value of options granted in January and February 2012 was calculated using the Black-Scholes-Merton model. The following assumptions were used: an expected life of 4.25-6 years, a risk-free interest rate of 0.71%-1.19% and an expected volatility of 67.26%-75.78% and no dividend yield. The fair value of the common stock used for this calculation was $0.96-$1.21 and no dividend yield. The Company expects that the total value of the options granted will be approximately $467 thousand.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1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 (Deficit) (cont'd)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Stock option activity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 activity for the year ended December 31, 2011:</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Weighted</w:t>
            </w:r>
          </w:p>
        </w:tc>
      </w:tr>
      <w:tr>
        <w:trPr>
          <w:trHeight w:val="243"/>
        </w:trPr>
        <w:tc>
          <w:tcPr>
            <w:tcW w:w="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No. of shares</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No. of shares</w:t>
            </w:r>
          </w:p>
        </w:tc>
        <w:tc>
          <w:tcPr>
            <w:tcW w:w="180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average exercise price</w:t>
            </w: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Employees</w:t>
            </w:r>
          </w:p>
        </w:tc>
        <w:tc>
          <w:tcPr>
            <w:tcW w:w="1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Non-Employees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U.S.$</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Outstanding at January 1, 2011</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2,378,908</w:t>
            </w:r>
          </w:p>
        </w:tc>
        <w:tc>
          <w:tcPr>
            <w:tcW w:w="16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128,000</w:t>
            </w:r>
          </w:p>
        </w:tc>
        <w:tc>
          <w:tcPr>
            <w:tcW w:w="120" w:type="dxa"/>
            <w:vAlign w:val="bottom"/>
            <w:shd w:val="clear" w:color="auto" w:fill="CCFFCC"/>
          </w:tcPr>
          <w:p>
            <w:pPr>
              <w:spacing w:after="0"/>
              <w:rPr>
                <w:sz w:val="18"/>
                <w:szCs w:val="18"/>
                <w:color w:val="auto"/>
              </w:rPr>
            </w:pPr>
          </w:p>
        </w:tc>
        <w:tc>
          <w:tcPr>
            <w:tcW w:w="32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496,500</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73,000</w:t>
            </w:r>
          </w:p>
        </w:tc>
        <w:tc>
          <w:tcPr>
            <w:tcW w:w="12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Exercised</w:t>
            </w: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(302,413)</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(39,500)</w:t>
            </w:r>
          </w:p>
        </w:tc>
        <w:tc>
          <w:tcPr>
            <w:tcW w:w="32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Expired</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(169,759)</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(18,000)</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Forfeited</w:t>
            </w: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(318,336)</w:t>
            </w:r>
          </w:p>
        </w:tc>
        <w:tc>
          <w:tcPr>
            <w:tcW w:w="1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FFC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CCFFC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37"/>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Outstanding at December 31, 2011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2,084,900</w:t>
            </w:r>
          </w:p>
        </w:tc>
        <w:tc>
          <w:tcPr>
            <w:tcW w:w="16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143,500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Exercisable at December 31, 2011</w:t>
            </w: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690,121</w:t>
            </w:r>
          </w:p>
        </w:tc>
        <w:tc>
          <w:tcPr>
            <w:tcW w:w="160" w:type="dxa"/>
            <w:vAlign w:val="bottom"/>
            <w:tcBorders>
              <w:bottom w:val="single" w:sz="8" w:color="CCFFCC"/>
            </w:tcBorders>
            <w:shd w:val="clear" w:color="auto" w:fill="CCFFCC"/>
          </w:tcPr>
          <w:p>
            <w:pPr>
              <w:spacing w:after="0"/>
              <w:rPr>
                <w:sz w:val="22"/>
                <w:szCs w:val="22"/>
                <w:color w:val="auto"/>
              </w:rPr>
            </w:pP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50,074</w:t>
            </w:r>
          </w:p>
        </w:tc>
        <w:tc>
          <w:tcPr>
            <w:tcW w:w="120" w:type="dxa"/>
            <w:vAlign w:val="bottom"/>
            <w:tcBorders>
              <w:bottom w:val="single" w:sz="8" w:color="CCFFCC"/>
            </w:tcBorders>
            <w:shd w:val="clear" w:color="auto" w:fill="CCFFCC"/>
          </w:tcPr>
          <w:p>
            <w:pPr>
              <w:spacing w:after="0"/>
              <w:rPr>
                <w:sz w:val="22"/>
                <w:szCs w:val="22"/>
                <w:color w:val="auto"/>
              </w:rPr>
            </w:pPr>
          </w:p>
        </w:tc>
        <w:tc>
          <w:tcPr>
            <w:tcW w:w="4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bottom w:val="single" w:sz="8" w:color="CCFFCC"/>
            </w:tcBorders>
            <w:shd w:val="clear" w:color="auto" w:fill="CCFFCC"/>
          </w:tcPr>
          <w:p>
            <w:pPr>
              <w:spacing w:after="0"/>
              <w:rPr>
                <w:sz w:val="22"/>
                <w:szCs w:val="22"/>
                <w:color w:val="auto"/>
              </w:rPr>
            </w:pPr>
          </w:p>
        </w:tc>
        <w:tc>
          <w:tcPr>
            <w:tcW w:w="140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 activity for the year ended December 31, 2010:</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Weighted</w:t>
            </w:r>
          </w:p>
        </w:tc>
      </w:tr>
      <w:tr>
        <w:trPr>
          <w:trHeight w:val="243"/>
        </w:trPr>
        <w:tc>
          <w:tcPr>
            <w:tcW w:w="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No. of shares</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No. of shares</w:t>
            </w:r>
          </w:p>
        </w:tc>
        <w:tc>
          <w:tcPr>
            <w:tcW w:w="180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average exercise price</w:t>
            </w: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Employees</w:t>
            </w:r>
          </w:p>
        </w:tc>
        <w:tc>
          <w:tcPr>
            <w:tcW w:w="16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Non-Employees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U.S.$</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January 1, 2010</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237,677</w:t>
            </w:r>
          </w:p>
        </w:tc>
        <w:tc>
          <w:tcPr>
            <w:tcW w:w="160" w:type="dxa"/>
            <w:vAlign w:val="bottom"/>
            <w:shd w:val="clear" w:color="auto" w:fill="CCFFCC"/>
          </w:tcPr>
          <w:p>
            <w:pPr>
              <w:spacing w:after="0"/>
              <w:rPr>
                <w:sz w:val="18"/>
                <w:szCs w:val="18"/>
                <w:color w:val="auto"/>
              </w:rPr>
            </w:pP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45,250</w:t>
            </w:r>
          </w:p>
        </w:tc>
        <w:tc>
          <w:tcPr>
            <w:tcW w:w="120" w:type="dxa"/>
            <w:vAlign w:val="bottom"/>
            <w:shd w:val="clear" w:color="auto" w:fill="CCFFCC"/>
          </w:tcPr>
          <w:p>
            <w:pPr>
              <w:spacing w:after="0"/>
              <w:rPr>
                <w:sz w:val="18"/>
                <w:szCs w:val="18"/>
                <w:color w:val="auto"/>
              </w:rPr>
            </w:pPr>
          </w:p>
        </w:tc>
        <w:tc>
          <w:tcPr>
            <w:tcW w:w="32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2,708,000</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104,000</w:t>
            </w:r>
          </w:p>
        </w:tc>
        <w:tc>
          <w:tcPr>
            <w:tcW w:w="12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(60,517)</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(506,252)</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(21,250)</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r>
      <w:tr>
        <w:trPr>
          <w:trHeight w:val="277"/>
        </w:trPr>
        <w:tc>
          <w:tcPr>
            <w:tcW w:w="20" w:type="dxa"/>
            <w:vAlign w:val="bottom"/>
          </w:tcPr>
          <w:p>
            <w:pPr>
              <w:spacing w:after="0"/>
              <w:rPr>
                <w:sz w:val="24"/>
                <w:szCs w:val="24"/>
                <w:color w:val="auto"/>
              </w:rPr>
            </w:pPr>
          </w:p>
        </w:tc>
        <w:tc>
          <w:tcPr>
            <w:tcW w:w="4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Outstanding at December 31, 2010</w:t>
            </w:r>
          </w:p>
        </w:tc>
        <w:tc>
          <w:tcPr>
            <w:tcW w:w="1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2,378,908</w:t>
            </w:r>
          </w:p>
        </w:tc>
        <w:tc>
          <w:tcPr>
            <w:tcW w:w="160" w:type="dxa"/>
            <w:vAlign w:val="bottom"/>
            <w:tcBorders>
              <w:bottom w:val="single" w:sz="8" w:color="CCFFCC"/>
            </w:tcBorders>
            <w:shd w:val="clear" w:color="auto" w:fill="CCFFCC"/>
          </w:tcPr>
          <w:p>
            <w:pPr>
              <w:spacing w:after="0"/>
              <w:rPr>
                <w:sz w:val="24"/>
                <w:szCs w:val="24"/>
                <w:color w:val="auto"/>
              </w:rPr>
            </w:pP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128,000</w:t>
            </w:r>
          </w:p>
        </w:tc>
        <w:tc>
          <w:tcPr>
            <w:tcW w:w="120" w:type="dxa"/>
            <w:vAlign w:val="bottom"/>
            <w:tcBorders>
              <w:bottom w:val="single" w:sz="8" w:color="CCFFCC"/>
            </w:tcBorders>
            <w:shd w:val="clear" w:color="auto" w:fill="CCFFCC"/>
          </w:tcPr>
          <w:p>
            <w:pPr>
              <w:spacing w:after="0"/>
              <w:rPr>
                <w:sz w:val="24"/>
                <w:szCs w:val="24"/>
                <w:color w:val="auto"/>
              </w:rPr>
            </w:pPr>
          </w:p>
        </w:tc>
        <w:tc>
          <w:tcPr>
            <w:tcW w:w="40" w:type="dxa"/>
            <w:vAlign w:val="bottom"/>
            <w:tcBorders>
              <w:bottom w:val="single" w:sz="8" w:color="CCFFCC"/>
            </w:tcBorders>
            <w:shd w:val="clear" w:color="auto" w:fill="CCFFCC"/>
          </w:tcPr>
          <w:p>
            <w:pPr>
              <w:spacing w:after="0"/>
              <w:rPr>
                <w:sz w:val="24"/>
                <w:szCs w:val="24"/>
                <w:color w:val="auto"/>
              </w:rPr>
            </w:pPr>
          </w:p>
        </w:tc>
        <w:tc>
          <w:tcPr>
            <w:tcW w:w="280" w:type="dxa"/>
            <w:vAlign w:val="bottom"/>
            <w:tcBorders>
              <w:bottom w:val="single" w:sz="8" w:color="CCFFCC"/>
            </w:tcBorders>
            <w:shd w:val="clear" w:color="auto" w:fill="CCFFCC"/>
          </w:tcPr>
          <w:p>
            <w:pPr>
              <w:spacing w:after="0"/>
              <w:rPr>
                <w:sz w:val="24"/>
                <w:szCs w:val="24"/>
                <w:color w:val="auto"/>
              </w:rPr>
            </w:pPr>
          </w:p>
        </w:tc>
        <w:tc>
          <w:tcPr>
            <w:tcW w:w="140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r>
      <w:tr>
        <w:trPr>
          <w:trHeight w:val="224"/>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Exercisable at December 31, 2010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128,804</w:t>
            </w:r>
          </w:p>
        </w:tc>
        <w:tc>
          <w:tcPr>
            <w:tcW w:w="1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32,150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cumulative period ended December 31, 2011, the Company granted a total of 3,595 thousand stock options to its employees, directors and consultants at an average exercise price of $2.82. For the cumulative period ended December 31, 2011, 402 thousand stock options were exercised.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employee and non-employee stock options outstanding as of December 31, 2011:</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1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Options outstanding</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8"/>
              </w:rPr>
              <w:t>Options exercisable</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2"/>
        </w:trPr>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48"/>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remaining</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average</w:t>
            </w:r>
          </w:p>
        </w:tc>
      </w:tr>
      <w:tr>
        <w:trPr>
          <w:trHeight w:val="162"/>
        </w:trPr>
        <w:tc>
          <w:tcPr>
            <w:tcW w:w="1380" w:type="dxa"/>
            <w:vAlign w:val="bottom"/>
          </w:tcPr>
          <w:p>
            <w:pPr>
              <w:jc w:val="right"/>
              <w:ind w:right="3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auto"/>
                <w:w w:val="89"/>
              </w:rPr>
              <w:t>exercise</w:t>
            </w:r>
          </w:p>
        </w:tc>
        <w:tc>
          <w:tcPr>
            <w:tcW w:w="20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w:t>
            </w:r>
          </w:p>
        </w:tc>
      </w:tr>
      <w:tr>
        <w:trPr>
          <w:trHeight w:val="171"/>
        </w:trPr>
        <w:tc>
          <w:tcPr>
            <w:tcW w:w="13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price</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price</w:t>
            </w:r>
          </w:p>
        </w:tc>
        <w:tc>
          <w:tcPr>
            <w:tcW w:w="80" w:type="dxa"/>
            <w:vAlign w:val="bottom"/>
          </w:tcPr>
          <w:p>
            <w:pPr>
              <w:spacing w:after="0"/>
              <w:rPr>
                <w:sz w:val="14"/>
                <w:szCs w:val="14"/>
                <w:color w:val="auto"/>
              </w:rPr>
            </w:pPr>
          </w:p>
        </w:tc>
      </w:tr>
      <w:tr>
        <w:trPr>
          <w:trHeight w:val="142"/>
        </w:trPr>
        <w:tc>
          <w:tcPr>
            <w:tcW w:w="13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1,218,563</w:t>
            </w:r>
          </w:p>
        </w:tc>
        <w:tc>
          <w:tcPr>
            <w:tcW w:w="15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4.38</w:t>
            </w:r>
          </w:p>
        </w:tc>
        <w:tc>
          <w:tcPr>
            <w:tcW w:w="420" w:type="dxa"/>
            <w:vAlign w:val="bottom"/>
            <w:gridSpan w:val="2"/>
            <w:shd w:val="clear" w:color="auto" w:fill="CCFFCC"/>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1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5.5</w:t>
            </w:r>
          </w:p>
        </w:tc>
        <w:tc>
          <w:tcPr>
            <w:tcW w:w="158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472,355</w:t>
            </w:r>
          </w:p>
        </w:tc>
        <w:tc>
          <w:tcPr>
            <w:tcW w:w="154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4.35</w:t>
            </w:r>
          </w:p>
        </w:tc>
        <w:tc>
          <w:tcPr>
            <w:tcW w:w="36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5.5</w:t>
            </w:r>
          </w:p>
        </w:tc>
        <w:tc>
          <w:tcPr>
            <w:tcW w:w="80" w:type="dxa"/>
            <w:vAlign w:val="bottom"/>
            <w:shd w:val="clear" w:color="auto" w:fill="CCFFCC"/>
          </w:tcPr>
          <w:p>
            <w:pPr>
              <w:spacing w:after="0"/>
              <w:rPr>
                <w:sz w:val="12"/>
                <w:szCs w:val="12"/>
                <w:color w:val="auto"/>
              </w:rPr>
            </w:pPr>
          </w:p>
        </w:tc>
      </w:tr>
      <w:tr>
        <w:trPr>
          <w:trHeight w:val="149"/>
        </w:trPr>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40,001</w:t>
            </w:r>
          </w:p>
        </w:tc>
        <w:tc>
          <w:tcPr>
            <w:tcW w:w="1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w:t>
            </w:r>
          </w:p>
        </w:tc>
        <w:tc>
          <w:tcPr>
            <w:tcW w:w="4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35,897</w:t>
            </w:r>
          </w:p>
        </w:tc>
        <w:tc>
          <w:tcPr>
            <w:tcW w:w="1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w:t>
            </w: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r>
      <w:tr>
        <w:trPr>
          <w:trHeight w:val="149"/>
        </w:trPr>
        <w:tc>
          <w:tcPr>
            <w:tcW w:w="13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25,000</w:t>
            </w:r>
          </w:p>
        </w:tc>
        <w:tc>
          <w:tcPr>
            <w:tcW w:w="15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1.67</w:t>
            </w:r>
          </w:p>
        </w:tc>
        <w:tc>
          <w:tcPr>
            <w:tcW w:w="4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3.0</w:t>
            </w:r>
          </w:p>
        </w:tc>
        <w:tc>
          <w:tcPr>
            <w:tcW w:w="15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25,000</w:t>
            </w:r>
          </w:p>
        </w:tc>
        <w:tc>
          <w:tcPr>
            <w:tcW w:w="15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1.67</w:t>
            </w:r>
          </w:p>
        </w:tc>
        <w:tc>
          <w:tcPr>
            <w:tcW w:w="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3.0</w:t>
            </w:r>
          </w:p>
        </w:tc>
        <w:tc>
          <w:tcPr>
            <w:tcW w:w="80" w:type="dxa"/>
            <w:vAlign w:val="bottom"/>
            <w:shd w:val="clear" w:color="auto" w:fill="CCFFCC"/>
          </w:tcPr>
          <w:p>
            <w:pPr>
              <w:spacing w:after="0"/>
              <w:rPr>
                <w:sz w:val="12"/>
                <w:szCs w:val="12"/>
                <w:color w:val="auto"/>
              </w:rPr>
            </w:pPr>
          </w:p>
        </w:tc>
      </w:tr>
      <w:tr>
        <w:trPr>
          <w:trHeight w:val="149"/>
        </w:trPr>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56,584</w:t>
            </w:r>
          </w:p>
        </w:tc>
        <w:tc>
          <w:tcPr>
            <w:tcW w:w="1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2.08</w:t>
            </w:r>
          </w:p>
        </w:tc>
        <w:tc>
          <w:tcPr>
            <w:tcW w:w="4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48,274</w:t>
            </w:r>
          </w:p>
        </w:tc>
        <w:tc>
          <w:tcPr>
            <w:tcW w:w="1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w:t>
            </w: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r>
      <w:tr>
        <w:trPr>
          <w:trHeight w:val="149"/>
        </w:trPr>
        <w:tc>
          <w:tcPr>
            <w:tcW w:w="13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888,252</w:t>
            </w:r>
          </w:p>
        </w:tc>
        <w:tc>
          <w:tcPr>
            <w:tcW w:w="15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4.37</w:t>
            </w:r>
          </w:p>
        </w:tc>
        <w:tc>
          <w:tcPr>
            <w:tcW w:w="4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0.01</w:t>
            </w:r>
          </w:p>
        </w:tc>
        <w:tc>
          <w:tcPr>
            <w:tcW w:w="15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158,669</w:t>
            </w:r>
          </w:p>
        </w:tc>
        <w:tc>
          <w:tcPr>
            <w:tcW w:w="15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4.36</w:t>
            </w:r>
          </w:p>
        </w:tc>
        <w:tc>
          <w:tcPr>
            <w:tcW w:w="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0.01</w:t>
            </w:r>
          </w:p>
        </w:tc>
        <w:tc>
          <w:tcPr>
            <w:tcW w:w="80" w:type="dxa"/>
            <w:vAlign w:val="bottom"/>
            <w:shd w:val="clear" w:color="auto" w:fill="CCFFCC"/>
          </w:tcPr>
          <w:p>
            <w:pPr>
              <w:spacing w:after="0"/>
              <w:rPr>
                <w:sz w:val="12"/>
                <w:szCs w:val="12"/>
                <w:color w:val="auto"/>
              </w:rPr>
            </w:pPr>
          </w:p>
        </w:tc>
      </w:tr>
      <w:tr>
        <w:trPr>
          <w:trHeight w:val="142"/>
        </w:trPr>
        <w:tc>
          <w:tcPr>
            <w:tcW w:w="138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1380" w:type="dxa"/>
            <w:vAlign w:val="bottom"/>
            <w:tcBorders>
              <w:top w:val="single" w:sz="8" w:color="CCFFCC"/>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1140" w:type="dxa"/>
            <w:vAlign w:val="bottom"/>
            <w:tcBorders>
              <w:top w:val="single" w:sz="8" w:color="CCFFCC"/>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1360" w:type="dxa"/>
            <w:vAlign w:val="bottom"/>
            <w:tcBorders>
              <w:top w:val="single" w:sz="8" w:color="CCFFCC"/>
            </w:tcBorders>
          </w:tcPr>
          <w:p>
            <w:pPr>
              <w:spacing w:after="0"/>
              <w:rPr>
                <w:sz w:val="12"/>
                <w:szCs w:val="12"/>
                <w:color w:val="auto"/>
              </w:rPr>
            </w:pPr>
          </w:p>
        </w:tc>
        <w:tc>
          <w:tcPr>
            <w:tcW w:w="160" w:type="dxa"/>
            <w:vAlign w:val="bottom"/>
            <w:tcBorders>
              <w:top w:val="single" w:sz="8" w:color="CCFFCC"/>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060" w:type="dxa"/>
            <w:vAlign w:val="bottom"/>
            <w:tcBorders>
              <w:top w:val="single" w:sz="8" w:color="CCFFCC"/>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r>
      <w:tr>
        <w:trPr>
          <w:trHeight w:val="189"/>
        </w:trPr>
        <w:tc>
          <w:tcPr>
            <w:tcW w:w="138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2,228,400</w:t>
            </w:r>
          </w:p>
        </w:tc>
        <w:tc>
          <w:tcPr>
            <w:tcW w:w="180" w:type="dxa"/>
            <w:vAlign w:val="bottom"/>
            <w:tcBorders>
              <w:bottom w:val="single" w:sz="8" w:color="CCFFCC"/>
            </w:tcBorders>
            <w:shd w:val="clear" w:color="auto" w:fill="CCFFCC"/>
          </w:tcPr>
          <w:p>
            <w:pPr>
              <w:spacing w:after="0"/>
              <w:rPr>
                <w:sz w:val="16"/>
                <w:szCs w:val="16"/>
                <w:color w:val="auto"/>
              </w:rPr>
            </w:pPr>
          </w:p>
        </w:tc>
        <w:tc>
          <w:tcPr>
            <w:tcW w:w="13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240" w:type="dxa"/>
            <w:vAlign w:val="bottom"/>
            <w:tcBorders>
              <w:bottom w:val="single" w:sz="8" w:color="CCFFCC"/>
            </w:tcBorders>
            <w:shd w:val="clear" w:color="auto" w:fill="CCFFCC"/>
          </w:tcPr>
          <w:p>
            <w:pPr>
              <w:spacing w:after="0"/>
              <w:rPr>
                <w:sz w:val="16"/>
                <w:szCs w:val="16"/>
                <w:color w:val="auto"/>
              </w:rPr>
            </w:pPr>
          </w:p>
        </w:tc>
        <w:tc>
          <w:tcPr>
            <w:tcW w:w="1140" w:type="dxa"/>
            <w:vAlign w:val="bottom"/>
            <w:tcBorders>
              <w:bottom w:val="single" w:sz="8" w:color="CCFFCC"/>
            </w:tcBorders>
            <w:shd w:val="clear" w:color="auto" w:fill="CCFFCC"/>
          </w:tcPr>
          <w:p>
            <w:pPr>
              <w:spacing w:after="0"/>
              <w:rPr>
                <w:sz w:val="16"/>
                <w:szCs w:val="16"/>
                <w:color w:val="auto"/>
              </w:rPr>
            </w:pPr>
          </w:p>
        </w:tc>
        <w:tc>
          <w:tcPr>
            <w:tcW w:w="200" w:type="dxa"/>
            <w:vAlign w:val="bottom"/>
            <w:tcBorders>
              <w:bottom w:val="single" w:sz="8" w:color="CCFFCC"/>
            </w:tcBorders>
            <w:shd w:val="clear" w:color="auto" w:fill="CCFFCC"/>
          </w:tcPr>
          <w:p>
            <w:pPr>
              <w:spacing w:after="0"/>
              <w:rPr>
                <w:sz w:val="16"/>
                <w:szCs w:val="16"/>
                <w:color w:val="auto"/>
              </w:rPr>
            </w:pPr>
          </w:p>
        </w:tc>
        <w:tc>
          <w:tcPr>
            <w:tcW w:w="138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740,195</w:t>
            </w:r>
          </w:p>
        </w:tc>
        <w:tc>
          <w:tcPr>
            <w:tcW w:w="180" w:type="dxa"/>
            <w:vAlign w:val="bottom"/>
            <w:tcBorders>
              <w:bottom w:val="single" w:sz="8" w:color="CCFFCC"/>
            </w:tcBorders>
            <w:shd w:val="clear" w:color="auto" w:fill="CCFFCC"/>
          </w:tcPr>
          <w:p>
            <w:pPr>
              <w:spacing w:after="0"/>
              <w:rPr>
                <w:sz w:val="16"/>
                <w:szCs w:val="16"/>
                <w:color w:val="auto"/>
              </w:rPr>
            </w:pPr>
          </w:p>
        </w:tc>
        <w:tc>
          <w:tcPr>
            <w:tcW w:w="136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200" w:type="dxa"/>
            <w:vAlign w:val="bottom"/>
            <w:tcBorders>
              <w:bottom w:val="single" w:sz="8" w:color="CCFFCC"/>
            </w:tcBorders>
            <w:shd w:val="clear" w:color="auto" w:fill="CCFFCC"/>
          </w:tcPr>
          <w:p>
            <w:pPr>
              <w:spacing w:after="0"/>
              <w:rPr>
                <w:sz w:val="16"/>
                <w:szCs w:val="16"/>
                <w:color w:val="auto"/>
              </w:rPr>
            </w:pPr>
          </w:p>
        </w:tc>
        <w:tc>
          <w:tcPr>
            <w:tcW w:w="1060" w:type="dxa"/>
            <w:vAlign w:val="bottom"/>
            <w:tcBorders>
              <w:bottom w:val="single" w:sz="8" w:color="CCFFCC"/>
            </w:tcBorders>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2011, the total aggregate intrinsic value of options outstanding was $593 thousand, of options exercisable $107 thousand and of options exercised $816 thousand. As of December 31, 2010, the total aggregate intrinsic value of both the options outstanding and options exercisable was $0 thousand, the total intrinsic value of options exercised was $134 thousand. The total fair value of stock options that vested in the years ended December 31, 2011, 2010 and cumulative from inception till December 31, 2011 amounts to $1,761 thousand, $206 thousand and $3,015 respectively. The weighted average grant date fair value of options granted during the years ended December 31, 2011, 2010 and cumulative from inception till December 31, 2011 was $0.91, $1.69 and $1.57,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 (Deficit) (cont'd)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respective annual amortization of unrecognized share based compensation expense:</w:t>
      </w:r>
    </w:p>
    <w:p>
      <w:pPr>
        <w:spacing w:after="0" w:line="221"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5420" w:type="dxa"/>
            <w:vAlign w:val="bottom"/>
            <w:gridSpan w:val="2"/>
          </w:tcPr>
          <w:p>
            <w:pPr>
              <w:jc w:val="right"/>
              <w:ind w:right="3310"/>
              <w:spacing w:after="0"/>
              <w:rPr>
                <w:sz w:val="20"/>
                <w:szCs w:val="20"/>
                <w:color w:val="auto"/>
              </w:rPr>
            </w:pPr>
            <w:r>
              <w:rPr>
                <w:rFonts w:ascii="Arial" w:cs="Arial" w:eastAsia="Arial" w:hAnsi="Arial"/>
                <w:sz w:val="18"/>
                <w:szCs w:val="18"/>
                <w:b w:val="1"/>
                <w:bCs w:val="1"/>
                <w:color w:val="auto"/>
                <w:w w:val="88"/>
              </w:rPr>
              <w:t>Year ending December 31,</w:t>
            </w:r>
          </w:p>
        </w:tc>
        <w:tc>
          <w:tcPr>
            <w:tcW w:w="14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0"/>
              </w:rPr>
              <w:t>U.S.$ thousands</w:t>
            </w: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CFFCC"/>
          </w:tcPr>
          <w:p>
            <w:pPr>
              <w:jc w:val="right"/>
              <w:ind w:right="4810"/>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1,015</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jc w:val="right"/>
              <w:ind w:right="4810"/>
              <w:spacing w:after="0"/>
              <w:rPr>
                <w:sz w:val="20"/>
                <w:szCs w:val="20"/>
                <w:color w:val="auto"/>
              </w:rPr>
            </w:pPr>
            <w:r>
              <w:rPr>
                <w:rFonts w:ascii="Arial" w:cs="Arial" w:eastAsia="Arial" w:hAnsi="Arial"/>
                <w:sz w:val="18"/>
                <w:szCs w:val="18"/>
                <w:color w:val="auto"/>
              </w:rPr>
              <w:t>2013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FFCC"/>
            </w:tcBorders>
            <w:shd w:val="clear" w:color="auto" w:fill="CCFFCC"/>
          </w:tcPr>
          <w:p>
            <w:pPr>
              <w:jc w:val="right"/>
              <w:ind w:right="481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FFCC"/>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1,852</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Warrants, Special Bridge Warrants and Reload Warrants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December 29, 2009, the Company consummated a Bridge Financing pursuant to which it issued 5% subordinated convertible promissory notes, ("Bridge Notes"), in the aggregate amount of $2.98 million in a private placement, as well as warrants to purchase 795,200 shares of common stock (the "Special Bridge Warrants") (together the "Bridge Financing"). Proceeds from the Bridge Financing were first allocated to the Special Bridge Warrants, which were classified as a derivative liability and recorded at fair value, with the residual amount allocated to the Bridge Notes. The Special Bridge Warrants have down-round protection clauses and their fair value is calculated using the Black-Scholes-Merton model at every reporting period. Upon the consummation of the IPO, the Company issued a further 69,132 Special Bridge Warrants to the holders of the Bridge Notes to reflect the final offering price of the IPO units. These warrants were valued on the date of the IPO by using the Black-Scholes-Merton model.</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consummation of the IPO, the Bridge Notes were automatically converted into 864,332 shares of common stock and 1,728,664 warrants (the "Conversion Warrants"). The Conversion Warrants granted to the Bridge Note holders were classified as a derivative long-term liability. Also see Note 10.</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1, 2011, the Company entered into Subscription Agreements with certain accredited investors pursuant to which the Company issued 817,303 shares of common stock at $1.04 per share, a 20% discount to the closing price of the Company’s common stock on November 30, 2011. Upon the closing of the Financing, the Company’s outstanding Convertible Notes in the aggregate principal amount of $2.5 million automatically converted into 2,671,026 shares of common stock at $0.94 per share, a 10% discount to the purchase price in the Financing. The foregoing issuances triggered down-round and anti-dilution provisions in outstanding Special Bridge and Conversion Warrants. As a result, the number of shares issuable to the holders of the Special Bridge Warrants was adjusted to 2,528,615 and the exercise price for both Special Bridge and Conversion Warrants adjusted to $0.94.</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December 31, 2011, the Special Bridge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exercise amount remains as under the original terms (approximately $2.4 million). We estimate 50% probability of such protection being activated in April, 2012. We have estimated the value of the down-round protection using a Monte-Carlo simulation. The following assumptions were used: 70.2% expected volatility, a risk-free interest rate of 0.38%, estimated life of 3.00 years and no dividend yield. The fair value of the common stock was $0.99. Also see Note 10.</w:t>
      </w:r>
    </w:p>
    <w:p>
      <w:pPr>
        <w:spacing w:after="0" w:line="165" w:lineRule="exact"/>
        <w:rPr>
          <w:sz w:val="20"/>
          <w:szCs w:val="20"/>
          <w:color w:val="auto"/>
        </w:rPr>
      </w:pPr>
    </w:p>
    <w:p>
      <w:pPr>
        <w:jc w:val="both"/>
        <w:ind w:firstLine="687"/>
        <w:spacing w:after="0" w:line="297" w:lineRule="auto"/>
        <w:rPr>
          <w:sz w:val="20"/>
          <w:szCs w:val="20"/>
          <w:color w:val="auto"/>
        </w:rPr>
      </w:pPr>
      <w:r>
        <w:rPr>
          <w:rFonts w:ascii="Arial" w:cs="Arial" w:eastAsia="Arial" w:hAnsi="Arial"/>
          <w:sz w:val="16"/>
          <w:szCs w:val="16"/>
          <w:color w:val="auto"/>
        </w:rPr>
        <w:t>At December 31, 2011, the Conversion Warrants were revalued using the Black-Scholes-Merton and the Monte-Carlo models. As the terms of these warrants include a down-round protection clause, i.e. in a new issuance of common shares at a lower price than the current exercise price, the current exercise price will be adjusted to the new issuance price. We estimate 50% probability of such protection being activated in April, 2012. We have estimated the value of the down-round protection using a Monte-Carlo simulation. The following assumptions were used: 70.98% expected volatility, a risk-free interest rate of 0.52%, estimated life of 3.47 years and no dividend yield. The fair value of the common stock was $0.99. Also see Note 10.</w:t>
      </w:r>
    </w:p>
    <w:p>
      <w:pPr>
        <w:spacing w:after="0" w:line="158"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Subsequent to the balance sheet date, between February 6 and February 14, 2012, the Company entered into agreements with Holders, pursuant to which the Holders exercised 2,274,235 Special Bridge and 1,554,758 Conversion Warrants to purchase an aggregate of 3,828,993 shares of the Company's common stock for aggregate proceeds to the Company of $3.6 million. In addition, the Company issued new warrants to purchase an aggregate of 2,660,922 shares of common stock at an exercise price of $1.76 per share in consideration for the immediate exercise of the warrants (“Reload Warrants”). A portion of the Reload warrants bear down-round protection clauses as a result, they will be classified as a long- term derivative liability and recorded at fair value. See also Note 17.</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Had we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Lenders Warrants</w:t>
      </w:r>
    </w:p>
    <w:p>
      <w:pPr>
        <w:spacing w:after="0" w:line="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discussed in Note 8, the senior lenders of the Company's venture loan received Senior Lenders Warrants to purchase 250,000 shares of common stock, at an exercise price of $2.75 per share, in exchange for granting the Company a six month moratorium on principal payments and an additional year for the repayment of the venture loan. The Senior Lender Warrants were exercisable at any time before the tenth anniversary of the date they were issued. On June 8, 2011, the Company entered into a Settlement Agreement with the lenders of the venture loan, pursuant to which the Lenders agreed to accept less than the full amount owed to them by the Company. As part of the Settlement Agreement the Company issued the Lenders 250,000 shares of its common stock, in exchange for 250,000 Senior Lender Warrants, which were cancelled.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 (Deficit) (cont'd)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 Investor Warrants</w:t>
      </w:r>
    </w:p>
    <w:p>
      <w:pPr>
        <w:spacing w:after="0" w:line="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lead investors of the Bridge Financing received warrants ("Lead Investor Warrants") to purchase 482,346 shares of common stock at $0.01 exercise price per share. The Lead Investor Warrants (i) were exercisable 65 days subsequent to the consummation of the IPO, (ii) expire four years after issuance and (iii) Were subject to a lock-up agreement for six months subsequent to exercise. Upon the consummation of the IPO, Lead Investor Warrants were recorded at their fair value using the Black-Scholes-Merton model, as a result, an additional interest expense in the total amount of $1,342 thousand, was recognized. The assumptions used in this calculation were 52.6% expected volatility, risk-free interest rate of 1.68%, estimated life of 4 years and no dividend yield. The fair value of the common stock was estimated at $2.79. In October 2010, 241,173 of the Lead Investor Warrants were exercised, and in February 2011, the remaining 241,173 Lead Investor Warrants were exercised.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Placement Agent Warrants</w:t>
      </w:r>
    </w:p>
    <w:p>
      <w:pPr>
        <w:spacing w:after="0" w:line="2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their role in helping to facilitate the Bridge Financing, the Placement Agent for the offering received warrants equal to 7% of the total amount of securities sold in the Bridge Financing ("Placement Agent Warrants"). Based on the amount raised, the Company issued 55,664 Placement Agent Warrants. The Placement Agent Warrants were non-exercisable for three months after the date of the closing of the Bridge Financing and subsequently exercisable until five years after the closing of the Bridge Financing. The Placement Agent Warrants were exercisable at $3.795 per share. The December 2011 financing triggered the anti-dilution provision in the Placement Agent Warrants, resulting in a reduction of the exercise price to $0.94. On February 2, 2012, the Placement Agent Warrants were exercised.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warrants</w:t>
      </w:r>
    </w:p>
    <w:p>
      <w:pPr>
        <w:spacing w:after="0" w:line="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June 2010, upon completion of the IPO, 2,392,000 units, each containing one share of common stock and two warrants, at an issue price of $4.60 per unit, were issued. Each warrant in the IPO unit is exercisable for five years after the IPO at an exercise price of $5.06. On July 27, 2010, the unit was separated into its components and the shares and warrants began to trade separately. Upon separation of the units into shares and warrants, the units ceased trading. As of December 31, 2011, all of these warrants are outstanding.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Charitable warrants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Upon the consummation of the IPO, the Company recognized a charitable donation of a warrant to purchase 20,000 shares of common stock at an exercise price of $1.50 granted in 2006. The fair value of the donation was calculated using the Black-Scholes-Merton model with an expected life of 6.33 years, a risk-free interest rate of 2.7%, an expected volatility of 56.1% and no dividend yield. The expenses for these options in the amount of $37 thousand were recorded upon the consummation of the IPO. During September 2010, the foregoing warrant was exercised on a cashless basis, resulting in the issuance by the Company of 11,044 shares of common stock. In addition, the Company granted warrants to purchase 40 thousand shares of common stock as a charitable donation. 20 thousand of these warrants were granted at an exercise price of $5.50 per share and the remaining 20 thousand at an exercise price of $0.01 per share. The total fair value of approximately $43 thousand was calculated using the Black-Scholes-Merton model, using the following assumptions: stock price of $1.68, expected life of 6 years, risk-free interest rate of 2.38%, expected volatility of 56.41% and no dividend yield. The total fair value of the grant was recorded as an additional share-based payment expense in year ended December 31, 2011. In April 2011, the Company issued 19,862 shares of common stock upon exercise of 20 thousand charitable warrants with an exercise price of $0.01 per share.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7"/>
          </w:tcPr>
          <w:p>
            <w:pPr>
              <w:spacing w:after="0"/>
              <w:rPr>
                <w:sz w:val="20"/>
                <w:szCs w:val="20"/>
                <w:color w:val="auto"/>
              </w:rPr>
            </w:pPr>
            <w:r>
              <w:rPr>
                <w:rFonts w:ascii="Arial" w:cs="Arial" w:eastAsia="Arial" w:hAnsi="Arial"/>
                <w:sz w:val="18"/>
                <w:szCs w:val="18"/>
                <w:b w:val="1"/>
                <w:bCs w:val="1"/>
                <w:color w:val="auto"/>
              </w:rPr>
              <w:t>Note 12 –Revenue</w:t>
            </w: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from inception</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w w:val="98"/>
              </w:rPr>
              <w:t>For the year ended December 31,</w:t>
            </w:r>
          </w:p>
        </w:tc>
        <w:tc>
          <w:tcPr>
            <w:tcW w:w="180" w:type="dxa"/>
            <w:vAlign w:val="bottom"/>
          </w:tcPr>
          <w:p>
            <w:pPr>
              <w:spacing w:after="0"/>
              <w:rPr>
                <w:sz w:val="20"/>
                <w:szCs w:val="20"/>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to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6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6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2011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U.S.$ thousands</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U.S.$ thousands</w:t>
            </w:r>
          </w:p>
        </w:tc>
        <w:tc>
          <w:tcPr>
            <w:tcW w:w="18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U.S.$ thousands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4"/>
            <w:shd w:val="clear" w:color="auto" w:fill="CCFFCC"/>
          </w:tcPr>
          <w:p>
            <w:pPr>
              <w:spacing w:after="0" w:line="170" w:lineRule="exact"/>
              <w:rPr>
                <w:sz w:val="20"/>
                <w:szCs w:val="20"/>
                <w:color w:val="auto"/>
              </w:rPr>
            </w:pPr>
            <w:r>
              <w:rPr>
                <w:rFonts w:ascii="Arial" w:cs="Arial" w:eastAsia="Arial" w:hAnsi="Arial"/>
                <w:sz w:val="18"/>
                <w:szCs w:val="18"/>
                <w:b w:val="1"/>
                <w:bCs w:val="1"/>
                <w:color w:val="auto"/>
                <w:w w:val="89"/>
              </w:rPr>
              <w:t>Information on sales by product exceeding 10% of</w:t>
            </w:r>
          </w:p>
        </w:tc>
        <w:tc>
          <w:tcPr>
            <w:tcW w:w="440" w:type="dxa"/>
            <w:vAlign w:val="bottom"/>
            <w:tcBorders>
              <w:bottom w:val="single" w:sz="8" w:color="CCFFCC"/>
            </w:tcBorders>
            <w:shd w:val="clear" w:color="auto" w:fill="CCFFCC"/>
          </w:tcPr>
          <w:p>
            <w:pPr>
              <w:spacing w:after="0"/>
              <w:rPr>
                <w:sz w:val="14"/>
                <w:szCs w:val="14"/>
                <w:color w:val="auto"/>
              </w:rPr>
            </w:pPr>
          </w:p>
        </w:tc>
        <w:tc>
          <w:tcPr>
            <w:tcW w:w="1460" w:type="dxa"/>
            <w:vAlign w:val="bottom"/>
            <w:tcBorders>
              <w:bottom w:val="single" w:sz="8" w:color="CCFFCC"/>
            </w:tcBorders>
            <w:shd w:val="clear" w:color="auto" w:fill="CCFFCC"/>
          </w:tcPr>
          <w:p>
            <w:pPr>
              <w:spacing w:after="0"/>
              <w:rPr>
                <w:sz w:val="14"/>
                <w:szCs w:val="14"/>
                <w:color w:val="auto"/>
              </w:rPr>
            </w:pPr>
          </w:p>
        </w:tc>
        <w:tc>
          <w:tcPr>
            <w:tcW w:w="200" w:type="dxa"/>
            <w:vAlign w:val="bottom"/>
            <w:tcBorders>
              <w:bottom w:val="single" w:sz="8" w:color="CCFFCC"/>
            </w:tcBorders>
            <w:shd w:val="clear" w:color="auto" w:fill="CCFFCC"/>
          </w:tcPr>
          <w:p>
            <w:pPr>
              <w:spacing w:after="0"/>
              <w:rPr>
                <w:sz w:val="14"/>
                <w:szCs w:val="14"/>
                <w:color w:val="auto"/>
              </w:rPr>
            </w:pPr>
          </w:p>
        </w:tc>
        <w:tc>
          <w:tcPr>
            <w:tcW w:w="146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CCFFCC"/>
            </w:tcBorders>
            <w:shd w:val="clear" w:color="auto" w:fill="CCFFCC"/>
          </w:tcPr>
          <w:p>
            <w:pPr>
              <w:spacing w:after="0"/>
              <w:rPr>
                <w:sz w:val="14"/>
                <w:szCs w:val="14"/>
                <w:color w:val="auto"/>
              </w:rPr>
            </w:pPr>
          </w:p>
        </w:tc>
        <w:tc>
          <w:tcPr>
            <w:tcW w:w="14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shd w:val="clear" w:color="auto" w:fill="CCFFCC"/>
          </w:tcPr>
          <w:p>
            <w:pPr>
              <w:spacing w:after="0" w:line="196" w:lineRule="exact"/>
              <w:rPr>
                <w:sz w:val="20"/>
                <w:szCs w:val="20"/>
                <w:color w:val="auto"/>
              </w:rPr>
            </w:pPr>
            <w:r>
              <w:rPr>
                <w:rFonts w:ascii="Arial" w:cs="Arial" w:eastAsia="Arial" w:hAnsi="Arial"/>
                <w:sz w:val="18"/>
                <w:szCs w:val="18"/>
                <w:b w:val="1"/>
                <w:bCs w:val="1"/>
                <w:color w:val="auto"/>
                <w:w w:val="83"/>
              </w:rPr>
              <w:t>Revenues:</w:t>
            </w:r>
          </w:p>
        </w:tc>
        <w:tc>
          <w:tcPr>
            <w:tcW w:w="3520" w:type="dxa"/>
            <w:vAlign w:val="bottom"/>
            <w:tcBorders>
              <w:bottom w:val="single" w:sz="8" w:color="CCFFCC"/>
            </w:tcBorders>
            <w:gridSpan w:val="4"/>
            <w:shd w:val="clear" w:color="auto" w:fill="CCFFCC"/>
          </w:tcPr>
          <w:p>
            <w:pPr>
              <w:spacing w:after="0"/>
              <w:rPr>
                <w:sz w:val="20"/>
                <w:szCs w:val="20"/>
                <w:color w:val="auto"/>
              </w:rPr>
            </w:pPr>
          </w:p>
        </w:tc>
        <w:tc>
          <w:tcPr>
            <w:tcW w:w="146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46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44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5"/>
          </w:tcPr>
          <w:p>
            <w:pPr>
              <w:spacing w:after="0"/>
              <w:rPr>
                <w:sz w:val="20"/>
                <w:szCs w:val="20"/>
                <w:color w:val="auto"/>
              </w:rPr>
            </w:pPr>
            <w:r>
              <w:rPr>
                <w:rFonts w:ascii="Arial" w:cs="Arial" w:eastAsia="Arial" w:hAnsi="Arial"/>
                <w:sz w:val="18"/>
                <w:szCs w:val="18"/>
                <w:color w:val="auto"/>
              </w:rPr>
              <w:t>Video Ringtones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514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Development Projects</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184</w:t>
            </w:r>
          </w:p>
        </w:tc>
        <w:tc>
          <w:tcPr>
            <w:tcW w:w="200" w:type="dxa"/>
            <w:vAlign w:val="bottom"/>
            <w:shd w:val="clear" w:color="auto" w:fill="CCFFCC"/>
          </w:tcPr>
          <w:p>
            <w:pPr>
              <w:spacing w:after="0"/>
              <w:rPr>
                <w:sz w:val="18"/>
                <w:szCs w:val="18"/>
                <w:color w:val="auto"/>
              </w:rPr>
            </w:pP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5"/>
          </w:tcPr>
          <w:p>
            <w:pPr>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CCFFCC"/>
          </w:tcPr>
          <w:p>
            <w:pPr>
              <w:spacing w:after="0"/>
              <w:rPr>
                <w:sz w:val="24"/>
                <w:szCs w:val="24"/>
                <w:color w:val="auto"/>
              </w:rPr>
            </w:pPr>
          </w:p>
        </w:tc>
        <w:tc>
          <w:tcPr>
            <w:tcW w:w="29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440" w:type="dxa"/>
            <w:vAlign w:val="bottom"/>
            <w:shd w:val="clear" w:color="auto" w:fill="CCFFCC"/>
          </w:tcPr>
          <w:p>
            <w:pPr>
              <w:spacing w:after="0"/>
              <w:rPr>
                <w:sz w:val="24"/>
                <w:szCs w:val="24"/>
                <w:color w:val="auto"/>
              </w:rPr>
            </w:pP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718</w:t>
            </w: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211</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FFCC"/>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CCFFCC"/>
            </w:tcBorders>
            <w:gridSpan w:val="5"/>
          </w:tcPr>
          <w:p>
            <w:pPr>
              <w:spacing w:after="0" w:line="156" w:lineRule="exact"/>
              <w:rPr>
                <w:sz w:val="20"/>
                <w:szCs w:val="20"/>
                <w:color w:val="auto"/>
              </w:rPr>
            </w:pPr>
            <w:r>
              <w:rPr>
                <w:rFonts w:ascii="Arial" w:cs="Arial" w:eastAsia="Arial" w:hAnsi="Arial"/>
                <w:sz w:val="18"/>
                <w:szCs w:val="18"/>
                <w:b w:val="1"/>
                <w:bCs w:val="1"/>
                <w:color w:val="auto"/>
                <w:w w:val="97"/>
              </w:rPr>
              <w:t>Revenues from single customers exceeding 10% of</w:t>
            </w:r>
          </w:p>
        </w:tc>
        <w:tc>
          <w:tcPr>
            <w:tcW w:w="1460" w:type="dxa"/>
            <w:vAlign w:val="bottom"/>
            <w:tcBorders>
              <w:top w:val="single" w:sz="8" w:color="auto"/>
            </w:tcBorders>
          </w:tcPr>
          <w:p>
            <w:pPr>
              <w:spacing w:after="0"/>
              <w:rPr>
                <w:sz w:val="13"/>
                <w:szCs w:val="13"/>
                <w:color w:val="auto"/>
              </w:rPr>
            </w:pPr>
          </w:p>
        </w:tc>
        <w:tc>
          <w:tcPr>
            <w:tcW w:w="200" w:type="dxa"/>
            <w:vAlign w:val="bottom"/>
            <w:tcBorders>
              <w:top w:val="single" w:sz="8" w:color="CCFFCC"/>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80" w:type="dxa"/>
            <w:vAlign w:val="bottom"/>
            <w:tcBorders>
              <w:top w:val="single" w:sz="8" w:color="CCFFCC"/>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80" w:type="dxa"/>
            <w:vAlign w:val="bottom"/>
            <w:tcBorders>
              <w:top w:val="single" w:sz="8" w:color="CCFFCC"/>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86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46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30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Customer A</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312</w:t>
            </w: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5"/>
          </w:tcPr>
          <w:p>
            <w:pPr>
              <w:spacing w:after="0"/>
              <w:rPr>
                <w:sz w:val="20"/>
                <w:szCs w:val="20"/>
                <w:color w:val="auto"/>
              </w:rPr>
            </w:pPr>
            <w:r>
              <w:rPr>
                <w:rFonts w:ascii="Arial" w:cs="Arial" w:eastAsia="Arial" w:hAnsi="Arial"/>
                <w:sz w:val="18"/>
                <w:szCs w:val="18"/>
                <w:color w:val="auto"/>
              </w:rPr>
              <w:t>Customer B</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Customer C</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110</w:t>
            </w:r>
          </w:p>
        </w:tc>
        <w:tc>
          <w:tcPr>
            <w:tcW w:w="200" w:type="dxa"/>
            <w:vAlign w:val="bottom"/>
            <w:shd w:val="clear" w:color="auto" w:fill="CCFFCC"/>
          </w:tcPr>
          <w:p>
            <w:pPr>
              <w:spacing w:after="0"/>
              <w:rPr>
                <w:sz w:val="18"/>
                <w:szCs w:val="18"/>
                <w:color w:val="auto"/>
              </w:rPr>
            </w:pP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5"/>
          </w:tcPr>
          <w:p>
            <w:pPr>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CCFFCC"/>
          </w:tcPr>
          <w:p>
            <w:pPr>
              <w:spacing w:after="0"/>
              <w:rPr>
                <w:sz w:val="24"/>
                <w:szCs w:val="24"/>
                <w:color w:val="auto"/>
              </w:rPr>
            </w:pPr>
          </w:p>
        </w:tc>
        <w:tc>
          <w:tcPr>
            <w:tcW w:w="29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440" w:type="dxa"/>
            <w:vAlign w:val="bottom"/>
            <w:shd w:val="clear" w:color="auto" w:fill="CCFFCC"/>
          </w:tcPr>
          <w:p>
            <w:pPr>
              <w:spacing w:after="0"/>
              <w:rPr>
                <w:sz w:val="24"/>
                <w:szCs w:val="24"/>
                <w:color w:val="auto"/>
              </w:rPr>
            </w:pP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718</w:t>
            </w: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211</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FFCC"/>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CCFFCC"/>
            </w:tcBorders>
            <w:gridSpan w:val="5"/>
          </w:tcPr>
          <w:p>
            <w:pPr>
              <w:spacing w:after="0" w:line="156" w:lineRule="exact"/>
              <w:rPr>
                <w:sz w:val="20"/>
                <w:szCs w:val="20"/>
                <w:color w:val="auto"/>
              </w:rPr>
            </w:pPr>
            <w:r>
              <w:rPr>
                <w:rFonts w:ascii="Arial" w:cs="Arial" w:eastAsia="Arial" w:hAnsi="Arial"/>
                <w:sz w:val="18"/>
                <w:szCs w:val="18"/>
                <w:b w:val="1"/>
                <w:bCs w:val="1"/>
                <w:color w:val="auto"/>
              </w:rPr>
              <w:t>Information on sales by geographic distribution:</w:t>
            </w:r>
          </w:p>
        </w:tc>
        <w:tc>
          <w:tcPr>
            <w:tcW w:w="1460" w:type="dxa"/>
            <w:vAlign w:val="bottom"/>
            <w:tcBorders>
              <w:top w:val="single" w:sz="8" w:color="auto"/>
            </w:tcBorders>
          </w:tcPr>
          <w:p>
            <w:pPr>
              <w:spacing w:after="0"/>
              <w:rPr>
                <w:sz w:val="13"/>
                <w:szCs w:val="13"/>
                <w:color w:val="auto"/>
              </w:rPr>
            </w:pPr>
          </w:p>
        </w:tc>
        <w:tc>
          <w:tcPr>
            <w:tcW w:w="200" w:type="dxa"/>
            <w:vAlign w:val="bottom"/>
            <w:tcBorders>
              <w:top w:val="single" w:sz="8" w:color="CCFFCC"/>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80" w:type="dxa"/>
            <w:vAlign w:val="bottom"/>
            <w:tcBorders>
              <w:top w:val="single" w:sz="8" w:color="CCFFCC"/>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80" w:type="dxa"/>
            <w:vAlign w:val="bottom"/>
            <w:tcBorders>
              <w:top w:val="single" w:sz="8" w:color="CCFFCC"/>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9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30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South East Asia</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384</w:t>
            </w: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105</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5"/>
          </w:tcPr>
          <w:p>
            <w:pPr>
              <w:spacing w:after="0"/>
              <w:rPr>
                <w:sz w:val="20"/>
                <w:szCs w:val="20"/>
                <w:color w:val="auto"/>
              </w:rPr>
            </w:pPr>
            <w:r>
              <w:rPr>
                <w:rFonts w:ascii="Arial" w:cs="Arial" w:eastAsia="Arial" w:hAnsi="Arial"/>
                <w:sz w:val="18"/>
                <w:szCs w:val="18"/>
                <w:color w:val="auto"/>
              </w:rPr>
              <w:t>Middle East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Europe</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82</w:t>
            </w:r>
          </w:p>
        </w:tc>
        <w:tc>
          <w:tcPr>
            <w:tcW w:w="200" w:type="dxa"/>
            <w:vAlign w:val="bottom"/>
            <w:shd w:val="clear" w:color="auto" w:fill="CCFFCC"/>
          </w:tcPr>
          <w:p>
            <w:pPr>
              <w:spacing w:after="0"/>
              <w:rPr>
                <w:sz w:val="18"/>
                <w:szCs w:val="18"/>
                <w:color w:val="auto"/>
              </w:rPr>
            </w:pP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5"/>
          </w:tcPr>
          <w:p>
            <w:pPr>
              <w:spacing w:after="0"/>
              <w:rPr>
                <w:sz w:val="20"/>
                <w:szCs w:val="20"/>
                <w:color w:val="auto"/>
              </w:rPr>
            </w:pPr>
            <w:r>
              <w:rPr>
                <w:rFonts w:ascii="Arial" w:cs="Arial" w:eastAsia="Arial" w:hAnsi="Arial"/>
                <w:sz w:val="18"/>
                <w:szCs w:val="18"/>
                <w:color w:val="auto"/>
              </w:rPr>
              <w:t>Others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CCFFCC"/>
          </w:tcPr>
          <w:p>
            <w:pPr>
              <w:spacing w:after="0"/>
              <w:rPr>
                <w:sz w:val="24"/>
                <w:szCs w:val="24"/>
                <w:color w:val="auto"/>
              </w:rPr>
            </w:pPr>
          </w:p>
        </w:tc>
        <w:tc>
          <w:tcPr>
            <w:tcW w:w="29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440" w:type="dxa"/>
            <w:vAlign w:val="bottom"/>
            <w:shd w:val="clear" w:color="auto" w:fill="CCFFCC"/>
          </w:tcPr>
          <w:p>
            <w:pPr>
              <w:spacing w:after="0"/>
              <w:rPr>
                <w:sz w:val="24"/>
                <w:szCs w:val="24"/>
                <w:color w:val="auto"/>
              </w:rPr>
            </w:pP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718</w:t>
            </w: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211</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FFCC"/>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top w:val="single" w:sz="8" w:color="CCFFCC"/>
              <w:bottom w:val="single" w:sz="8" w:color="auto"/>
            </w:tcBorders>
          </w:tcPr>
          <w:p>
            <w:pPr>
              <w:spacing w:after="0"/>
              <w:rPr>
                <w:sz w:val="24"/>
                <w:szCs w:val="24"/>
                <w:color w:val="auto"/>
              </w:rPr>
            </w:pPr>
          </w:p>
        </w:tc>
        <w:tc>
          <w:tcPr>
            <w:tcW w:w="2940" w:type="dxa"/>
            <w:vAlign w:val="bottom"/>
            <w:tcBorders>
              <w:top w:val="single" w:sz="8" w:color="CCFFCC"/>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20" w:type="dxa"/>
            <w:vAlign w:val="bottom"/>
            <w:tcBorders>
              <w:top w:val="single" w:sz="8" w:color="CCFFCC"/>
              <w:bottom w:val="single" w:sz="8" w:color="auto"/>
            </w:tcBorders>
          </w:tcPr>
          <w:p>
            <w:pPr>
              <w:spacing w:after="0"/>
              <w:rPr>
                <w:sz w:val="24"/>
                <w:szCs w:val="24"/>
                <w:color w:val="auto"/>
              </w:rPr>
            </w:pPr>
          </w:p>
        </w:tc>
        <w:tc>
          <w:tcPr>
            <w:tcW w:w="440" w:type="dxa"/>
            <w:vAlign w:val="bottom"/>
            <w:tcBorders>
              <w:top w:val="single" w:sz="8" w:color="CCFFCC"/>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rPr>
              <w:t>F-21</w:t>
            </w:r>
          </w:p>
        </w:tc>
        <w:tc>
          <w:tcPr>
            <w:tcW w:w="200" w:type="dxa"/>
            <w:vAlign w:val="bottom"/>
            <w:tcBorders>
              <w:top w:val="single" w:sz="8" w:color="CCFFCC"/>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FFCC"/>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FFCC"/>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Note 13- Interest and Amortization of Debt Discount Expense</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from inception</w:t>
            </w:r>
          </w:p>
        </w:tc>
      </w:tr>
      <w:tr>
        <w:trPr>
          <w:trHeight w:val="234"/>
        </w:trPr>
        <w:tc>
          <w:tcPr>
            <w:tcW w:w="14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80" w:type="dxa"/>
            <w:vAlign w:val="bottom"/>
            <w:gridSpan w:val="10"/>
          </w:tcPr>
          <w:p>
            <w:pPr>
              <w:jc w:val="right"/>
              <w:ind w:right="320"/>
              <w:spacing w:after="0"/>
              <w:rPr>
                <w:sz w:val="20"/>
                <w:szCs w:val="20"/>
                <w:color w:val="auto"/>
              </w:rPr>
            </w:pPr>
            <w:r>
              <w:rPr>
                <w:rFonts w:ascii="Arial" w:cs="Arial" w:eastAsia="Arial" w:hAnsi="Arial"/>
                <w:sz w:val="18"/>
                <w:szCs w:val="18"/>
                <w:b w:val="1"/>
                <w:bCs w:val="1"/>
                <w:color w:val="auto"/>
                <w:w w:val="96"/>
              </w:rPr>
              <w:t>For the year ended December 31,</w:t>
            </w:r>
          </w:p>
        </w:tc>
        <w:tc>
          <w:tcPr>
            <w:tcW w:w="120" w:type="dxa"/>
            <w:vAlign w:val="bottom"/>
          </w:tcPr>
          <w:p>
            <w:pPr>
              <w:spacing w:after="0"/>
              <w:rPr>
                <w:sz w:val="20"/>
                <w:szCs w:val="20"/>
                <w:color w:val="auto"/>
              </w:rPr>
            </w:pPr>
          </w:p>
        </w:tc>
        <w:tc>
          <w:tcPr>
            <w:tcW w:w="14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to December 31,</w:t>
            </w:r>
          </w:p>
        </w:tc>
      </w:tr>
      <w:tr>
        <w:trPr>
          <w:trHeight w:val="210"/>
        </w:trPr>
        <w:tc>
          <w:tcPr>
            <w:tcW w:w="1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84"/>
              </w:rPr>
              <w:t>2011</w:t>
            </w:r>
          </w:p>
        </w:tc>
        <w:tc>
          <w:tcPr>
            <w:tcW w:w="8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2"/>
              </w:rPr>
              <w:t>U.S.$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U.S.$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U.S.$ thousands</w:t>
            </w:r>
          </w:p>
        </w:tc>
        <w:tc>
          <w:tcPr>
            <w:tcW w:w="80" w:type="dxa"/>
            <w:vAlign w:val="bottom"/>
          </w:tcPr>
          <w:p>
            <w:pPr>
              <w:spacing w:after="0"/>
              <w:rPr>
                <w:sz w:val="18"/>
                <w:szCs w:val="18"/>
                <w:color w:val="auto"/>
              </w:rPr>
            </w:pPr>
          </w:p>
        </w:tc>
      </w:tr>
      <w:tr>
        <w:trPr>
          <w:trHeight w:val="210"/>
        </w:trPr>
        <w:tc>
          <w:tcPr>
            <w:tcW w:w="5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Interest and discount amortization expense from venture loan</w:t>
            </w:r>
          </w:p>
        </w:tc>
        <w:tc>
          <w:tcPr>
            <w:tcW w:w="3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w w:val="99"/>
              </w:rPr>
              <w:t>(245)</w:t>
            </w:r>
          </w:p>
        </w:tc>
        <w:tc>
          <w:tcPr>
            <w:tcW w:w="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64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(604)</w:t>
            </w:r>
          </w:p>
        </w:tc>
        <w:tc>
          <w:tcPr>
            <w:tcW w:w="1560" w:type="dxa"/>
            <w:vAlign w:val="bottom"/>
            <w:gridSpan w:val="5"/>
            <w:shd w:val="clear" w:color="auto" w:fill="CCFFCC"/>
          </w:tcPr>
          <w:p>
            <w:pPr>
              <w:jc w:val="right"/>
              <w:ind w:right="20"/>
              <w:spacing w:after="0"/>
              <w:rPr>
                <w:sz w:val="20"/>
                <w:szCs w:val="20"/>
                <w:color w:val="auto"/>
              </w:rPr>
            </w:pPr>
            <w:r>
              <w:rPr>
                <w:rFonts w:ascii="Arial" w:cs="Arial" w:eastAsia="Arial" w:hAnsi="Arial"/>
                <w:sz w:val="18"/>
                <w:szCs w:val="18"/>
                <w:color w:val="auto"/>
              </w:rPr>
              <w:t>(1,614)</w:t>
            </w: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Interest expense from Bridge Notes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(161)</w:t>
            </w:r>
          </w:p>
        </w:tc>
        <w:tc>
          <w:tcPr>
            <w:tcW w:w="1560" w:type="dxa"/>
            <w:vAlign w:val="bottom"/>
            <w:gridSpan w:val="5"/>
          </w:tcPr>
          <w:p>
            <w:pPr>
              <w:jc w:val="right"/>
              <w:ind w:right="20"/>
              <w:spacing w:after="0"/>
              <w:rPr>
                <w:sz w:val="20"/>
                <w:szCs w:val="20"/>
                <w:color w:val="auto"/>
              </w:rPr>
            </w:pPr>
            <w:r>
              <w:rPr>
                <w:rFonts w:ascii="Arial" w:cs="Arial" w:eastAsia="Arial" w:hAnsi="Arial"/>
                <w:sz w:val="18"/>
                <w:szCs w:val="18"/>
                <w:color w:val="auto"/>
              </w:rPr>
              <w:t>(170)</w:t>
            </w:r>
          </w:p>
        </w:tc>
      </w:tr>
      <w:tr>
        <w:trPr>
          <w:trHeight w:val="216"/>
        </w:trPr>
        <w:tc>
          <w:tcPr>
            <w:tcW w:w="5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Lead Investor warrants recorded at fair value</w:t>
            </w:r>
          </w:p>
        </w:tc>
        <w:tc>
          <w:tcPr>
            <w:tcW w:w="3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64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(1,342)</w:t>
            </w:r>
          </w:p>
        </w:tc>
        <w:tc>
          <w:tcPr>
            <w:tcW w:w="1560" w:type="dxa"/>
            <w:vAlign w:val="bottom"/>
            <w:gridSpan w:val="5"/>
            <w:shd w:val="clear" w:color="auto" w:fill="CCFFCC"/>
          </w:tcPr>
          <w:p>
            <w:pPr>
              <w:jc w:val="right"/>
              <w:ind w:right="20"/>
              <w:spacing w:after="0"/>
              <w:rPr>
                <w:sz w:val="20"/>
                <w:szCs w:val="20"/>
                <w:color w:val="auto"/>
              </w:rPr>
            </w:pPr>
            <w:r>
              <w:rPr>
                <w:rFonts w:ascii="Arial" w:cs="Arial" w:eastAsia="Arial" w:hAnsi="Arial"/>
                <w:sz w:val="18"/>
                <w:szCs w:val="18"/>
                <w:color w:val="auto"/>
              </w:rPr>
              <w:t>(1,342)</w:t>
            </w: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Amortization of discount of Bridge Notes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(1,070)</w:t>
            </w:r>
          </w:p>
        </w:tc>
        <w:tc>
          <w:tcPr>
            <w:tcW w:w="1560" w:type="dxa"/>
            <w:vAlign w:val="bottom"/>
            <w:gridSpan w:val="5"/>
          </w:tcPr>
          <w:p>
            <w:pPr>
              <w:jc w:val="right"/>
              <w:ind w:right="20"/>
              <w:spacing w:after="0"/>
              <w:rPr>
                <w:sz w:val="20"/>
                <w:szCs w:val="20"/>
                <w:color w:val="auto"/>
              </w:rPr>
            </w:pPr>
            <w:r>
              <w:rPr>
                <w:rFonts w:ascii="Arial" w:cs="Arial" w:eastAsia="Arial" w:hAnsi="Arial"/>
                <w:sz w:val="18"/>
                <w:szCs w:val="18"/>
                <w:color w:val="auto"/>
              </w:rPr>
              <w:t>(1,070)</w:t>
            </w:r>
          </w:p>
        </w:tc>
      </w:tr>
      <w:tr>
        <w:trPr>
          <w:trHeight w:val="216"/>
        </w:trPr>
        <w:tc>
          <w:tcPr>
            <w:tcW w:w="5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Beneficial conversion feature in connection with Bridge Notes</w:t>
            </w:r>
          </w:p>
        </w:tc>
        <w:tc>
          <w:tcPr>
            <w:tcW w:w="3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64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(1,127)</w:t>
            </w:r>
          </w:p>
        </w:tc>
        <w:tc>
          <w:tcPr>
            <w:tcW w:w="1560" w:type="dxa"/>
            <w:vAlign w:val="bottom"/>
            <w:gridSpan w:val="5"/>
            <w:shd w:val="clear" w:color="auto" w:fill="CCFFCC"/>
          </w:tcPr>
          <w:p>
            <w:pPr>
              <w:jc w:val="right"/>
              <w:ind w:right="20"/>
              <w:spacing w:after="0"/>
              <w:rPr>
                <w:sz w:val="20"/>
                <w:szCs w:val="20"/>
                <w:color w:val="auto"/>
              </w:rPr>
            </w:pPr>
            <w:r>
              <w:rPr>
                <w:rFonts w:ascii="Arial" w:cs="Arial" w:eastAsia="Arial" w:hAnsi="Arial"/>
                <w:sz w:val="18"/>
                <w:szCs w:val="18"/>
                <w:color w:val="auto"/>
              </w:rPr>
              <w:t>(1,127)</w:t>
            </w: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Interest expense from Series B convertible loan</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5"/>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5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Interest expense from Convertible Notes</w:t>
            </w:r>
          </w:p>
        </w:tc>
        <w:tc>
          <w:tcPr>
            <w:tcW w:w="3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w:t>
            </w:r>
          </w:p>
        </w:tc>
        <w:tc>
          <w:tcPr>
            <w:tcW w:w="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tcBorders>
              <w:left w:val="single" w:sz="8" w:color="CCFFCC"/>
            </w:tcBorders>
            <w:shd w:val="clear" w:color="auto" w:fill="CCFFCC"/>
          </w:tcPr>
          <w:p>
            <w:pPr>
              <w:spacing w:after="0"/>
              <w:rPr>
                <w:sz w:val="18"/>
                <w:szCs w:val="18"/>
                <w:color w:val="auto"/>
              </w:rPr>
            </w:pPr>
          </w:p>
        </w:tc>
        <w:tc>
          <w:tcPr>
            <w:tcW w:w="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5"/>
            <w:shd w:val="clear" w:color="auto" w:fill="CCFFCC"/>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w w:val="92"/>
              </w:rPr>
              <w:t>Amortization of discount of Convertible Notes (beneficial conversion feature)</w:t>
            </w:r>
          </w:p>
        </w:tc>
        <w:tc>
          <w:tcPr>
            <w:tcW w:w="320" w:type="dxa"/>
            <w:vAlign w:val="bottom"/>
          </w:tcPr>
          <w:p>
            <w:pPr>
              <w:spacing w:after="0"/>
              <w:rPr>
                <w:sz w:val="18"/>
                <w:szCs w:val="18"/>
                <w:color w:val="auto"/>
              </w:rPr>
            </w:pPr>
          </w:p>
        </w:tc>
        <w:tc>
          <w:tcPr>
            <w:tcW w:w="152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(1,269)</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5"/>
          </w:tcPr>
          <w:p>
            <w:pPr>
              <w:jc w:val="right"/>
              <w:ind w:right="20"/>
              <w:spacing w:after="0"/>
              <w:rPr>
                <w:sz w:val="20"/>
                <w:szCs w:val="20"/>
                <w:color w:val="auto"/>
              </w:rPr>
            </w:pPr>
            <w:r>
              <w:rPr>
                <w:rFonts w:ascii="Arial" w:cs="Arial" w:eastAsia="Arial" w:hAnsi="Arial"/>
                <w:sz w:val="18"/>
                <w:szCs w:val="18"/>
                <w:color w:val="auto"/>
              </w:rPr>
              <w:t>(1,269)</w:t>
            </w:r>
          </w:p>
        </w:tc>
      </w:tr>
      <w:tr>
        <w:trPr>
          <w:trHeight w:val="20"/>
        </w:trPr>
        <w:tc>
          <w:tcPr>
            <w:tcW w:w="1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1440" w:type="dxa"/>
            <w:vAlign w:val="bottom"/>
            <w:shd w:val="clear" w:color="auto" w:fill="CCFFCC"/>
          </w:tcPr>
          <w:p>
            <w:pPr>
              <w:spacing w:after="0"/>
              <w:rPr>
                <w:sz w:val="24"/>
                <w:szCs w:val="24"/>
                <w:color w:val="auto"/>
              </w:rPr>
            </w:pPr>
          </w:p>
        </w:tc>
        <w:tc>
          <w:tcPr>
            <w:tcW w:w="404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1520" w:type="dxa"/>
            <w:vAlign w:val="bottom"/>
            <w:gridSpan w:val="5"/>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(1,525)</w:t>
            </w:r>
          </w:p>
        </w:tc>
        <w:tc>
          <w:tcPr>
            <w:tcW w:w="80" w:type="dxa"/>
            <w:vAlign w:val="bottom"/>
            <w:shd w:val="clear" w:color="auto" w:fill="CCFFCC"/>
          </w:tcPr>
          <w:p>
            <w:pPr>
              <w:spacing w:after="0"/>
              <w:rPr>
                <w:sz w:val="24"/>
                <w:szCs w:val="24"/>
                <w:color w:val="auto"/>
              </w:rPr>
            </w:pPr>
          </w:p>
        </w:tc>
        <w:tc>
          <w:tcPr>
            <w:tcW w:w="840" w:type="dxa"/>
            <w:vAlign w:val="bottom"/>
            <w:shd w:val="clear" w:color="auto" w:fill="CCFFCC"/>
          </w:tcPr>
          <w:p>
            <w:pPr>
              <w:spacing w:after="0"/>
              <w:rPr>
                <w:sz w:val="24"/>
                <w:szCs w:val="24"/>
                <w:color w:val="auto"/>
              </w:rPr>
            </w:pPr>
          </w:p>
        </w:tc>
        <w:tc>
          <w:tcPr>
            <w:tcW w:w="64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(4,304)</w:t>
            </w:r>
          </w:p>
        </w:tc>
        <w:tc>
          <w:tcPr>
            <w:tcW w:w="1560" w:type="dxa"/>
            <w:vAlign w:val="bottom"/>
            <w:gridSpan w:val="5"/>
            <w:shd w:val="clear" w:color="auto" w:fill="CCFFCC"/>
          </w:tcPr>
          <w:p>
            <w:pPr>
              <w:jc w:val="right"/>
              <w:ind w:right="20"/>
              <w:spacing w:after="0"/>
              <w:rPr>
                <w:sz w:val="20"/>
                <w:szCs w:val="20"/>
                <w:color w:val="auto"/>
              </w:rPr>
            </w:pPr>
            <w:r>
              <w:rPr>
                <w:rFonts w:ascii="Arial" w:cs="Arial" w:eastAsia="Arial" w:hAnsi="Arial"/>
                <w:sz w:val="18"/>
                <w:szCs w:val="18"/>
                <w:color w:val="auto"/>
              </w:rPr>
              <w:t>(6,657)</w:t>
            </w:r>
          </w:p>
        </w:tc>
      </w:tr>
      <w:tr>
        <w:trPr>
          <w:trHeight w:val="413"/>
        </w:trPr>
        <w:tc>
          <w:tcPr>
            <w:tcW w:w="5640" w:type="dxa"/>
            <w:vAlign w:val="bottom"/>
            <w:tcBorders>
              <w:top w:val="single" w:sz="8" w:color="CCFFCC"/>
            </w:tcBorders>
            <w:gridSpan w:val="3"/>
          </w:tcPr>
          <w:p>
            <w:pPr>
              <w:spacing w:after="0"/>
              <w:rPr>
                <w:sz w:val="20"/>
                <w:szCs w:val="20"/>
                <w:color w:val="auto"/>
              </w:rPr>
            </w:pPr>
            <w:r>
              <w:rPr>
                <w:rFonts w:ascii="Arial" w:cs="Arial" w:eastAsia="Arial" w:hAnsi="Arial"/>
                <w:sz w:val="18"/>
                <w:szCs w:val="18"/>
                <w:b w:val="1"/>
                <w:bCs w:val="1"/>
                <w:color w:val="auto"/>
              </w:rPr>
              <w:t>Note 14 - Income Taxes</w:t>
            </w:r>
          </w:p>
        </w:tc>
        <w:tc>
          <w:tcPr>
            <w:tcW w:w="320" w:type="dxa"/>
            <w:vAlign w:val="bottom"/>
            <w:tcBorders>
              <w:top w:val="single" w:sz="8" w:color="CCFFC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r>
      <w:tr>
        <w:trPr>
          <w:trHeight w:val="432"/>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The Components of income (loss) before income taxes: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7"/>
          </w:tcPr>
          <w:p>
            <w:pPr>
              <w:jc w:val="center"/>
              <w:ind w:right="70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7"/>
          </w:tcPr>
          <w:p>
            <w:pPr>
              <w:jc w:val="center"/>
              <w:ind w:right="700"/>
              <w:spacing w:after="0"/>
              <w:rPr>
                <w:sz w:val="20"/>
                <w:szCs w:val="20"/>
                <w:color w:val="auto"/>
              </w:rPr>
            </w:pPr>
            <w:r>
              <w:rPr>
                <w:rFonts w:ascii="Arial" w:cs="Arial" w:eastAsia="Arial" w:hAnsi="Arial"/>
                <w:sz w:val="18"/>
                <w:szCs w:val="18"/>
                <w:b w:val="1"/>
                <w:bCs w:val="1"/>
                <w:color w:val="auto"/>
                <w:w w:val="91"/>
              </w:rPr>
              <w:t>from inception</w:t>
            </w:r>
          </w:p>
        </w:tc>
      </w:tr>
      <w:tr>
        <w:trPr>
          <w:trHeight w:val="234"/>
        </w:trPr>
        <w:tc>
          <w:tcPr>
            <w:tcW w:w="14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8"/>
          </w:tcPr>
          <w:p>
            <w:pPr>
              <w:jc w:val="right"/>
              <w:ind w:right="110"/>
              <w:spacing w:after="0"/>
              <w:rPr>
                <w:sz w:val="20"/>
                <w:szCs w:val="20"/>
                <w:color w:val="auto"/>
              </w:rPr>
            </w:pPr>
            <w:r>
              <w:rPr>
                <w:rFonts w:ascii="Arial" w:cs="Arial" w:eastAsia="Arial" w:hAnsi="Arial"/>
                <w:sz w:val="18"/>
                <w:szCs w:val="18"/>
                <w:b w:val="1"/>
                <w:bCs w:val="1"/>
                <w:color w:val="auto"/>
                <w:w w:val="89"/>
              </w:rPr>
              <w:t>For the year ended December 31,</w:t>
            </w:r>
          </w:p>
        </w:tc>
        <w:tc>
          <w:tcPr>
            <w:tcW w:w="160" w:type="dxa"/>
            <w:vAlign w:val="bottom"/>
          </w:tcPr>
          <w:p>
            <w:pPr>
              <w:spacing w:after="0"/>
              <w:rPr>
                <w:sz w:val="20"/>
                <w:szCs w:val="20"/>
                <w:color w:val="auto"/>
              </w:rPr>
            </w:pPr>
          </w:p>
        </w:tc>
        <w:tc>
          <w:tcPr>
            <w:tcW w:w="204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89"/>
              </w:rPr>
              <w:t>to December 31</w:t>
            </w:r>
          </w:p>
        </w:tc>
      </w:tr>
      <w:tr>
        <w:trPr>
          <w:trHeight w:val="210"/>
        </w:trPr>
        <w:tc>
          <w:tcPr>
            <w:tcW w:w="1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9"/>
              </w:rPr>
              <w:t>2010</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w w:val="84"/>
              </w:rPr>
              <w:t>2011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U.S.$ thousands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U.S.$ thousands</w:t>
            </w:r>
          </w:p>
        </w:tc>
        <w:tc>
          <w:tcPr>
            <w:tcW w:w="160" w:type="dxa"/>
            <w:vAlign w:val="bottom"/>
          </w:tcPr>
          <w:p>
            <w:pPr>
              <w:spacing w:after="0"/>
              <w:rPr>
                <w:sz w:val="18"/>
                <w:szCs w:val="18"/>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6"/>
              </w:rPr>
              <w:t>U.S.$ thousands</w:t>
            </w:r>
          </w:p>
        </w:tc>
        <w:tc>
          <w:tcPr>
            <w:tcW w:w="700" w:type="dxa"/>
            <w:vAlign w:val="bottom"/>
            <w:gridSpan w:val="3"/>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U.S.</w:t>
            </w:r>
          </w:p>
        </w:tc>
        <w:tc>
          <w:tcPr>
            <w:tcW w:w="13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(7,605)</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(10,151)</w:t>
            </w:r>
          </w:p>
        </w:tc>
        <w:tc>
          <w:tcPr>
            <w:tcW w:w="160" w:type="dxa"/>
            <w:vAlign w:val="bottom"/>
            <w:tcBorders>
              <w:left w:val="single" w:sz="8" w:color="CCFFCC"/>
            </w:tcBorders>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(38,629)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Non-U.S.</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1,202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1440" w:type="dxa"/>
            <w:vAlign w:val="bottom"/>
          </w:tcPr>
          <w:p>
            <w:pPr>
              <w:spacing w:after="0"/>
              <w:rPr>
                <w:sz w:val="22"/>
                <w:szCs w:val="22"/>
                <w:color w:val="auto"/>
              </w:rPr>
            </w:pPr>
          </w:p>
        </w:tc>
        <w:tc>
          <w:tcPr>
            <w:tcW w:w="404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3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(7,389)</w:t>
            </w:r>
          </w:p>
        </w:tc>
        <w:tc>
          <w:tcPr>
            <w:tcW w:w="80" w:type="dxa"/>
            <w:vAlign w:val="bottom"/>
            <w:shd w:val="clear" w:color="auto" w:fill="CCFFCC"/>
          </w:tcPr>
          <w:p>
            <w:pPr>
              <w:spacing w:after="0"/>
              <w:rPr>
                <w:sz w:val="22"/>
                <w:szCs w:val="22"/>
                <w:color w:val="auto"/>
              </w:rPr>
            </w:pPr>
          </w:p>
        </w:tc>
        <w:tc>
          <w:tcPr>
            <w:tcW w:w="3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(9,907)</w:t>
            </w:r>
          </w:p>
        </w:tc>
        <w:tc>
          <w:tcPr>
            <w:tcW w:w="160" w:type="dxa"/>
            <w:vAlign w:val="bottom"/>
            <w:tcBorders>
              <w:left w:val="single" w:sz="8" w:color="CCFFCC"/>
            </w:tcBorders>
            <w:shd w:val="clear" w:color="auto" w:fill="CCFFCC"/>
          </w:tcPr>
          <w:p>
            <w:pPr>
              <w:spacing w:after="0"/>
              <w:rPr>
                <w:sz w:val="22"/>
                <w:szCs w:val="22"/>
                <w:color w:val="auto"/>
              </w:rPr>
            </w:pPr>
          </w:p>
        </w:tc>
        <w:tc>
          <w:tcPr>
            <w:tcW w:w="3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(37,427)</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
        </w:trPr>
        <w:tc>
          <w:tcPr>
            <w:tcW w:w="1440" w:type="dxa"/>
            <w:vAlign w:val="bottom"/>
          </w:tcPr>
          <w:p>
            <w:pPr>
              <w:spacing w:after="0" w:line="20" w:lineRule="exact"/>
              <w:rPr>
                <w:sz w:val="1"/>
                <w:szCs w:val="1"/>
                <w:color w:val="auto"/>
              </w:rPr>
            </w:pPr>
          </w:p>
        </w:tc>
        <w:tc>
          <w:tcPr>
            <w:tcW w:w="40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benefit (expense) attributable to the operating loss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Cumulative</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1"/>
              </w:rPr>
              <w:t>from inception</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7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For the year ended December 31,</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7"/>
              </w:rPr>
              <w:t>to December 31</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8"/>
                <w:szCs w:val="18"/>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U.S.$ thousands</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U.S.$ thousands</w:t>
            </w:r>
          </w:p>
        </w:tc>
        <w:tc>
          <w:tcPr>
            <w:tcW w:w="120" w:type="dxa"/>
            <w:vAlign w:val="bottom"/>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U.S.$ thousands</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1960" w:type="dxa"/>
            <w:vAlign w:val="bottom"/>
            <w:gridSpan w:val="3"/>
            <w:shd w:val="clear" w:color="auto" w:fill="CCFFCC"/>
          </w:tcPr>
          <w:p>
            <w:pPr>
              <w:spacing w:after="0" w:line="170" w:lineRule="exact"/>
              <w:rPr>
                <w:sz w:val="20"/>
                <w:szCs w:val="20"/>
                <w:color w:val="auto"/>
              </w:rPr>
            </w:pPr>
            <w:r>
              <w:rPr>
                <w:rFonts w:ascii="Arial" w:cs="Arial" w:eastAsia="Arial" w:hAnsi="Arial"/>
                <w:sz w:val="18"/>
                <w:szCs w:val="18"/>
                <w:color w:val="auto"/>
              </w:rPr>
              <w:t>U.S.</w:t>
            </w:r>
          </w:p>
        </w:tc>
        <w:tc>
          <w:tcPr>
            <w:tcW w:w="17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5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760" w:type="dxa"/>
            <w:vAlign w:val="bottom"/>
            <w:tcBorders>
              <w:right w:val="single" w:sz="8" w:color="CCFFCC"/>
            </w:tcBorders>
            <w:shd w:val="clear" w:color="auto" w:fill="CCFFCC"/>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00" w:type="dxa"/>
            <w:vAlign w:val="bottom"/>
            <w:vMerge w:val="restart"/>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300" w:type="dxa"/>
            <w:vAlign w:val="bottom"/>
            <w:tcBorders>
              <w:top w:val="single" w:sz="8" w:color="CCFFCC"/>
            </w:tcBorders>
            <w:shd w:val="clear" w:color="auto" w:fill="CCFFCC"/>
          </w:tcPr>
          <w:p>
            <w:pPr>
              <w:spacing w:after="0" w:line="20" w:lineRule="exact"/>
              <w:rPr>
                <w:sz w:val="1"/>
                <w:szCs w:val="1"/>
                <w:color w:val="auto"/>
              </w:rPr>
            </w:pPr>
          </w:p>
        </w:tc>
        <w:tc>
          <w:tcPr>
            <w:tcW w:w="17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5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7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Current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1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9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Deferred</w:t>
            </w:r>
          </w:p>
        </w:tc>
        <w:tc>
          <w:tcPr>
            <w:tcW w:w="2020" w:type="dxa"/>
            <w:vAlign w:val="bottom"/>
            <w:gridSpan w:val="3"/>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7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vMerge w:val="restart"/>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300" w:type="dxa"/>
            <w:vAlign w:val="bottom"/>
            <w:tcBorders>
              <w:top w:val="single" w:sz="8" w:color="CCFFCC"/>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0" w:type="dxa"/>
            <w:vAlign w:val="bottom"/>
            <w:vMerge w:val="continue"/>
          </w:tcPr>
          <w:p>
            <w:pPr>
              <w:spacing w:after="0"/>
              <w:rPr>
                <w:sz w:val="17"/>
                <w:szCs w:val="17"/>
                <w:color w:val="auto"/>
              </w:rPr>
            </w:pPr>
          </w:p>
        </w:tc>
        <w:tc>
          <w:tcPr>
            <w:tcW w:w="660" w:type="dxa"/>
            <w:vAlign w:val="bottom"/>
            <w:tcBorders>
              <w:bottom w:val="single" w:sz="8" w:color="auto"/>
            </w:tcBorders>
            <w:gridSpan w:val="2"/>
            <w:shd w:val="clear" w:color="auto" w:fill="CCFFCC"/>
          </w:tcPr>
          <w:p>
            <w:pPr>
              <w:spacing w:after="0" w:line="176" w:lineRule="exact"/>
              <w:rPr>
                <w:sz w:val="20"/>
                <w:szCs w:val="20"/>
                <w:color w:val="auto"/>
              </w:rPr>
            </w:pPr>
            <w:r>
              <w:rPr>
                <w:rFonts w:ascii="Arial" w:cs="Arial" w:eastAsia="Arial" w:hAnsi="Arial"/>
                <w:sz w:val="18"/>
                <w:szCs w:val="18"/>
                <w:color w:val="auto"/>
                <w:w w:val="92"/>
              </w:rPr>
              <w:t>Non-U.S</w:t>
            </w:r>
          </w:p>
        </w:tc>
        <w:tc>
          <w:tcPr>
            <w:tcW w:w="1300" w:type="dxa"/>
            <w:vAlign w:val="bottom"/>
            <w:tcBorders>
              <w:bottom w:val="single" w:sz="8" w:color="CCFFCC"/>
            </w:tcBorders>
            <w:shd w:val="clear" w:color="auto" w:fill="CCFFCC"/>
          </w:tcPr>
          <w:p>
            <w:pPr>
              <w:spacing w:after="0"/>
              <w:rPr>
                <w:sz w:val="17"/>
                <w:szCs w:val="17"/>
                <w:color w:val="auto"/>
              </w:rPr>
            </w:pPr>
          </w:p>
        </w:tc>
        <w:tc>
          <w:tcPr>
            <w:tcW w:w="170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156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760" w:type="dxa"/>
            <w:vAlign w:val="bottom"/>
            <w:tcBorders>
              <w:bottom w:val="single" w:sz="8" w:color="CCFFCC"/>
              <w:right w:val="single" w:sz="8" w:color="CCFFCC"/>
            </w:tcBorders>
            <w:shd w:val="clear" w:color="auto" w:fill="CCFFCC"/>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Current</w:t>
            </w:r>
          </w:p>
        </w:tc>
        <w:tc>
          <w:tcPr>
            <w:tcW w:w="20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9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Deferred</w:t>
            </w:r>
          </w:p>
        </w:tc>
        <w:tc>
          <w:tcPr>
            <w:tcW w:w="1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(47)</w:t>
            </w:r>
          </w:p>
        </w:tc>
        <w:tc>
          <w:tcPr>
            <w:tcW w:w="16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(133)</w:t>
            </w:r>
          </w:p>
        </w:tc>
        <w:tc>
          <w:tcPr>
            <w:tcW w:w="17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1300" w:type="dxa"/>
            <w:vAlign w:val="bottom"/>
            <w:shd w:val="clear" w:color="auto" w:fill="CCFFC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760" w:type="dxa"/>
            <w:vAlign w:val="bottom"/>
            <w:tcBorders>
              <w:right w:val="single" w:sz="8" w:color="CCFFCC"/>
            </w:tcBorders>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w:t>
            </w:r>
          </w:p>
        </w:tc>
        <w:tc>
          <w:tcPr>
            <w:tcW w:w="16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1760" w:type="dxa"/>
            <w:vAlign w:val="bottom"/>
          </w:tcPr>
          <w:p>
            <w:pPr>
              <w:jc w:val="right"/>
              <w:spacing w:after="0"/>
              <w:rPr>
                <w:sz w:val="20"/>
                <w:szCs w:val="20"/>
                <w:color w:val="auto"/>
              </w:rPr>
            </w:pPr>
            <w:r>
              <w:rPr>
                <w:rFonts w:ascii="Arial" w:cs="Arial" w:eastAsia="Arial" w:hAnsi="Arial"/>
                <w:sz w:val="18"/>
                <w:szCs w:val="18"/>
                <w:color w:val="auto"/>
              </w:rPr>
              <w:t>(119)</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ind w:left="1580"/>
              <w:spacing w:after="0"/>
              <w:rPr>
                <w:sz w:val="20"/>
                <w:szCs w:val="20"/>
                <w:color w:val="auto"/>
              </w:rPr>
            </w:pPr>
            <w:r>
              <w:rPr>
                <w:rFonts w:ascii="Arial" w:cs="Arial" w:eastAsia="Arial" w:hAnsi="Arial"/>
                <w:sz w:val="18"/>
                <w:szCs w:val="18"/>
                <w:color w:val="auto"/>
              </w:rPr>
              <w:t>F-22</w:t>
            </w: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7" w:name="page68"/>
    <w:bookmarkEnd w:id="67"/>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 (cont'd)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benefit (expense) for the years ended December 31, 2011 and 2010, and for the cumulative period from inception until December 31, 2011, differed from the amounts computed by applying the U.S. federal income tax rate of 35% (34% in 2010) to loss before income taxes, as a result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6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from inception</w:t>
            </w:r>
          </w:p>
        </w:tc>
      </w:tr>
      <w:tr>
        <w:trPr>
          <w:trHeight w:val="234"/>
        </w:trPr>
        <w:tc>
          <w:tcPr>
            <w:tcW w:w="6280" w:type="dxa"/>
            <w:vAlign w:val="bottom"/>
          </w:tcPr>
          <w:p>
            <w:pPr>
              <w:spacing w:after="0"/>
              <w:rPr>
                <w:sz w:val="20"/>
                <w:szCs w:val="20"/>
                <w:color w:val="auto"/>
              </w:rPr>
            </w:pPr>
          </w:p>
        </w:tc>
        <w:tc>
          <w:tcPr>
            <w:tcW w:w="350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For the year ended December 31,</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to December 31</w:t>
            </w:r>
          </w:p>
        </w:tc>
      </w:tr>
      <w:tr>
        <w:trPr>
          <w:trHeight w:val="223"/>
        </w:trPr>
        <w:tc>
          <w:tcPr>
            <w:tcW w:w="62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2011</w:t>
            </w:r>
          </w:p>
        </w:tc>
        <w:tc>
          <w:tcPr>
            <w:tcW w:w="160" w:type="dxa"/>
            <w:vAlign w:val="bottom"/>
          </w:tcPr>
          <w:p>
            <w:pPr>
              <w:spacing w:after="0"/>
              <w:rPr>
                <w:sz w:val="19"/>
                <w:szCs w:val="19"/>
                <w:color w:val="auto"/>
              </w:rPr>
            </w:pPr>
          </w:p>
        </w:tc>
      </w:tr>
      <w:tr>
        <w:trPr>
          <w:trHeight w:val="223"/>
        </w:trPr>
        <w:tc>
          <w:tcPr>
            <w:tcW w:w="628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U.S.$ thousands</w:t>
            </w:r>
          </w:p>
        </w:tc>
        <w:tc>
          <w:tcPr>
            <w:tcW w:w="300" w:type="dxa"/>
            <w:vAlign w:val="bottom"/>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U.S.$ thousands</w:t>
            </w:r>
          </w:p>
        </w:tc>
        <w:tc>
          <w:tcPr>
            <w:tcW w:w="26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U.S.$ thousands</w:t>
            </w:r>
          </w:p>
        </w:tc>
        <w:tc>
          <w:tcPr>
            <w:tcW w:w="160" w:type="dxa"/>
            <w:vAlign w:val="bottom"/>
          </w:tcPr>
          <w:p>
            <w:pPr>
              <w:spacing w:after="0"/>
              <w:rPr>
                <w:sz w:val="19"/>
                <w:szCs w:val="19"/>
                <w:color w:val="auto"/>
              </w:rPr>
            </w:pPr>
          </w:p>
        </w:tc>
      </w:tr>
      <w:tr>
        <w:trPr>
          <w:trHeight w:val="210"/>
        </w:trPr>
        <w:tc>
          <w:tcPr>
            <w:tcW w:w="6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Loss before income taxes</w:t>
            </w:r>
          </w:p>
        </w:tc>
        <w:tc>
          <w:tcPr>
            <w:tcW w:w="17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(7,389)</w:t>
            </w: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(9,907)</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(37,427)</w:t>
            </w:r>
          </w:p>
        </w:tc>
      </w:tr>
      <w:tr>
        <w:trPr>
          <w:trHeight w:val="216"/>
        </w:trPr>
        <w:tc>
          <w:tcPr>
            <w:tcW w:w="6280" w:type="dxa"/>
            <w:vAlign w:val="bottom"/>
          </w:tcPr>
          <w:p>
            <w:pPr>
              <w:ind w:left="160"/>
              <w:spacing w:after="0"/>
              <w:rPr>
                <w:sz w:val="20"/>
                <w:szCs w:val="20"/>
                <w:color w:val="auto"/>
              </w:rPr>
            </w:pPr>
            <w:r>
              <w:rPr>
                <w:rFonts w:ascii="Arial" w:cs="Arial" w:eastAsia="Arial" w:hAnsi="Arial"/>
                <w:sz w:val="18"/>
                <w:szCs w:val="18"/>
                <w:color w:val="auto"/>
              </w:rPr>
              <w:t>Tax rate</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0"/>
        </w:trPr>
        <w:tc>
          <w:tcPr>
            <w:tcW w:w="6280" w:type="dxa"/>
            <w:vAlign w:val="bottom"/>
            <w:shd w:val="clear" w:color="auto" w:fill="CCFFCC"/>
          </w:tcPr>
          <w:p>
            <w:pPr>
              <w:spacing w:after="0"/>
              <w:rPr>
                <w:sz w:val="18"/>
                <w:szCs w:val="18"/>
                <w:color w:val="auto"/>
              </w:rPr>
            </w:pPr>
          </w:p>
        </w:tc>
        <w:tc>
          <w:tcPr>
            <w:tcW w:w="146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6280" w:type="dxa"/>
            <w:vAlign w:val="bottom"/>
          </w:tcPr>
          <w:p>
            <w:pPr>
              <w:ind w:left="160"/>
              <w:spacing w:after="0"/>
              <w:rPr>
                <w:sz w:val="20"/>
                <w:szCs w:val="20"/>
                <w:color w:val="auto"/>
              </w:rPr>
            </w:pPr>
            <w:r>
              <w:rPr>
                <w:rFonts w:ascii="Arial" w:cs="Arial" w:eastAsia="Arial" w:hAnsi="Arial"/>
                <w:sz w:val="18"/>
                <w:szCs w:val="18"/>
                <w:color w:val="auto"/>
              </w:rPr>
              <w:t>Computed "expected" tax benefit</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2,586</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3,368</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13,099</w:t>
            </w:r>
          </w:p>
        </w:tc>
      </w:tr>
      <w:tr>
        <w:trPr>
          <w:trHeight w:val="216"/>
        </w:trPr>
        <w:tc>
          <w:tcPr>
            <w:tcW w:w="6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tax rate differential</w:t>
            </w:r>
          </w:p>
        </w:tc>
        <w:tc>
          <w:tcPr>
            <w:tcW w:w="17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43</w:t>
            </w:r>
          </w:p>
        </w:tc>
        <w:tc>
          <w:tcPr>
            <w:tcW w:w="17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w:t>
            </w: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133</w:t>
            </w:r>
          </w:p>
        </w:tc>
      </w:tr>
      <w:tr>
        <w:trPr>
          <w:trHeight w:val="216"/>
        </w:trPr>
        <w:tc>
          <w:tcPr>
            <w:tcW w:w="6280" w:type="dxa"/>
            <w:vAlign w:val="bottom"/>
          </w:tcPr>
          <w:p>
            <w:pPr>
              <w:ind w:left="160"/>
              <w:spacing w:after="0"/>
              <w:rPr>
                <w:sz w:val="20"/>
                <w:szCs w:val="20"/>
                <w:color w:val="auto"/>
              </w:rPr>
            </w:pPr>
            <w:r>
              <w:rPr>
                <w:rFonts w:ascii="Arial" w:cs="Arial" w:eastAsia="Arial" w:hAnsi="Arial"/>
                <w:sz w:val="18"/>
                <w:szCs w:val="18"/>
                <w:color w:val="auto"/>
              </w:rPr>
              <w:t>Tax benefit of "Beneficiary Enterprise" tax holiday</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r>
      <w:tr>
        <w:trPr>
          <w:trHeight w:val="216"/>
        </w:trPr>
        <w:tc>
          <w:tcPr>
            <w:tcW w:w="6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Decrease in tax expenses for prior year</w:t>
            </w:r>
          </w:p>
        </w:tc>
        <w:tc>
          <w:tcPr>
            <w:tcW w:w="17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220</w:t>
            </w: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220</w:t>
            </w:r>
          </w:p>
        </w:tc>
      </w:tr>
      <w:tr>
        <w:trPr>
          <w:trHeight w:val="216"/>
        </w:trPr>
        <w:tc>
          <w:tcPr>
            <w:tcW w:w="6280" w:type="dxa"/>
            <w:vAlign w:val="bottom"/>
          </w:tcPr>
          <w:p>
            <w:pPr>
              <w:ind w:left="160"/>
              <w:spacing w:after="0"/>
              <w:rPr>
                <w:sz w:val="20"/>
                <w:szCs w:val="20"/>
                <w:color w:val="auto"/>
              </w:rPr>
            </w:pPr>
            <w:r>
              <w:rPr>
                <w:rFonts w:ascii="Arial" w:cs="Arial" w:eastAsia="Arial" w:hAnsi="Arial"/>
                <w:sz w:val="18"/>
                <w:szCs w:val="18"/>
                <w:color w:val="auto"/>
              </w:rPr>
              <w:t>Change in valuation allowance</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(2,319)</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(2,141)</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(11,271)</w:t>
            </w:r>
          </w:p>
        </w:tc>
      </w:tr>
      <w:tr>
        <w:trPr>
          <w:trHeight w:val="216"/>
        </w:trPr>
        <w:tc>
          <w:tcPr>
            <w:tcW w:w="6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Non-deductible expenses</w:t>
            </w:r>
          </w:p>
        </w:tc>
        <w:tc>
          <w:tcPr>
            <w:tcW w:w="17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(344)</w:t>
            </w: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(1,314)</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(2,163)</w:t>
            </w:r>
          </w:p>
        </w:tc>
      </w:tr>
      <w:tr>
        <w:trPr>
          <w:trHeight w:val="216"/>
        </w:trPr>
        <w:tc>
          <w:tcPr>
            <w:tcW w:w="6280" w:type="dxa"/>
            <w:vAlign w:val="bottom"/>
          </w:tcPr>
          <w:p>
            <w:pPr>
              <w:ind w:left="160"/>
              <w:spacing w:after="0"/>
              <w:rPr>
                <w:sz w:val="20"/>
                <w:szCs w:val="20"/>
                <w:color w:val="auto"/>
              </w:rPr>
            </w:pPr>
            <w:r>
              <w:rPr>
                <w:rFonts w:ascii="Arial" w:cs="Arial" w:eastAsia="Arial" w:hAnsi="Arial"/>
                <w:sz w:val="18"/>
                <w:szCs w:val="18"/>
                <w:color w:val="auto"/>
              </w:rPr>
              <w:t>Other items</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(56)</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10"/>
        </w:trPr>
        <w:tc>
          <w:tcPr>
            <w:tcW w:w="6280" w:type="dxa"/>
            <w:vAlign w:val="bottom"/>
            <w:shd w:val="clear" w:color="auto" w:fill="CCFFCC"/>
          </w:tcPr>
          <w:p>
            <w:pPr>
              <w:spacing w:after="0"/>
              <w:rPr>
                <w:sz w:val="18"/>
                <w:szCs w:val="18"/>
                <w:color w:val="auto"/>
              </w:rPr>
            </w:pPr>
          </w:p>
        </w:tc>
        <w:tc>
          <w:tcPr>
            <w:tcW w:w="146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62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(90)</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0"/>
        </w:trPr>
        <w:tc>
          <w:tcPr>
            <w:tcW w:w="62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net tax loss carryforwards ("NOL") for U.S. federal purposes in the amount of approximately $33.2 million expiring 20 years from the respective tax years to which they relate beginning with 2006. The Tax Reform Act of 1986 imposed substantial restrictions on the utilization of NOL and tax credits in the event of an ownership change of a corporation. Thus, in accordance with Internal Revenue Code, Section 382, the Company's IPO, recent financing activities, as well as, the potential Merger with I/P (See Note 17), may limit the Parent's ability to utilize its NOL’s and credit carryforwards although the Parent has not yet determined to what extent. The deferred tax asset in respect of the tax loss carryforwards has been fully offset by a valuation allowance as in the opinion of the Company's management; it is more likely than not that the tax loss carryforwards will not be utilized in the foreseeable future. No valuation allowance has been provided for the non-U.S. deferred tax assets, as they are more likely than not to be realized.</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2011, there were net deferred liabilities of $42 thousand, which consisted of short-term deferred liabilities of $67 thousand, net of long-term deferred assets of $25 thousand. As of December 31, 2010, there were net deferred liabilities of $23 thousand, which consisted of short-term deferred liabilities of $50 thousand, net of long-term deferred assets of $27 thousand. The deferred tax assets (liabilities) of the Subsidiary are expected to be utilized in future years. These deferred tax assets (liabilities) arise from the following types of temporary differences: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For the year ended December 31,</w:t>
            </w:r>
          </w:p>
        </w:tc>
      </w:tr>
      <w:tr>
        <w:trPr>
          <w:trHeight w:val="210"/>
        </w:trPr>
        <w:tc>
          <w:tcPr>
            <w:tcW w:w="812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81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U.S.$ thousands</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U.S.$ thousands</w:t>
            </w:r>
          </w:p>
        </w:tc>
        <w:tc>
          <w:tcPr>
            <w:tcW w:w="100" w:type="dxa"/>
            <w:vAlign w:val="bottom"/>
          </w:tcPr>
          <w:p>
            <w:pPr>
              <w:spacing w:after="0"/>
              <w:rPr>
                <w:sz w:val="18"/>
                <w:szCs w:val="18"/>
                <w:color w:val="auto"/>
              </w:rPr>
            </w:pPr>
          </w:p>
        </w:tc>
      </w:tr>
      <w:tr>
        <w:trPr>
          <w:trHeight w:val="210"/>
        </w:trPr>
        <w:tc>
          <w:tcPr>
            <w:tcW w:w="812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Deferred tax assets:</w:t>
            </w:r>
          </w:p>
        </w:tc>
        <w:tc>
          <w:tcPr>
            <w:tcW w:w="15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120" w:type="dxa"/>
            <w:vAlign w:val="bottom"/>
          </w:tcPr>
          <w:p>
            <w:pPr>
              <w:ind w:left="160"/>
              <w:spacing w:after="0"/>
              <w:rPr>
                <w:sz w:val="20"/>
                <w:szCs w:val="20"/>
                <w:color w:val="auto"/>
              </w:rPr>
            </w:pPr>
            <w:r>
              <w:rPr>
                <w:rFonts w:ascii="Arial" w:cs="Arial" w:eastAsia="Arial" w:hAnsi="Arial"/>
                <w:sz w:val="18"/>
                <w:szCs w:val="18"/>
                <w:color w:val="auto"/>
              </w:rPr>
              <w:t>Liability for accrued employee vacation pay</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8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Liability for accrued severance pay</w:t>
            </w:r>
          </w:p>
        </w:tc>
        <w:tc>
          <w:tcPr>
            <w:tcW w:w="1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25</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812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11,647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8,945</w:t>
            </w:r>
          </w:p>
        </w:tc>
      </w:tr>
      <w:tr>
        <w:trPr>
          <w:trHeight w:val="20"/>
        </w:trPr>
        <w:tc>
          <w:tcPr>
            <w:tcW w:w="8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gross deferred tax assets</w:t>
            </w:r>
          </w:p>
        </w:tc>
        <w:tc>
          <w:tcPr>
            <w:tcW w:w="1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11,685</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9,013</w:t>
            </w:r>
          </w:p>
        </w:tc>
      </w:tr>
      <w:tr>
        <w:trPr>
          <w:trHeight w:val="216"/>
        </w:trPr>
        <w:tc>
          <w:tcPr>
            <w:tcW w:w="8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valuation allowance</w:t>
            </w:r>
          </w:p>
        </w:tc>
        <w:tc>
          <w:tcPr>
            <w:tcW w:w="17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(11,628)</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(8,929)</w:t>
            </w:r>
          </w:p>
        </w:tc>
      </w:tr>
      <w:tr>
        <w:trPr>
          <w:trHeight w:val="20"/>
        </w:trPr>
        <w:tc>
          <w:tcPr>
            <w:tcW w:w="8120" w:type="dxa"/>
            <w:vAlign w:val="bottom"/>
            <w:shd w:val="clear" w:color="auto" w:fill="CCFFC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8120" w:type="dxa"/>
            <w:vAlign w:val="bottom"/>
          </w:tcPr>
          <w:p>
            <w:pPr>
              <w:ind w:left="160"/>
              <w:spacing w:after="0"/>
              <w:rPr>
                <w:sz w:val="20"/>
                <w:szCs w:val="20"/>
                <w:color w:val="auto"/>
              </w:rPr>
            </w:pPr>
            <w:r>
              <w:rPr>
                <w:rFonts w:ascii="Arial" w:cs="Arial" w:eastAsia="Arial" w:hAnsi="Arial"/>
                <w:sz w:val="18"/>
                <w:szCs w:val="18"/>
                <w:color w:val="auto"/>
              </w:rPr>
              <w:t>Total net deferred tax assets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812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Deferred tax liability:</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assets deductible for tax purposes on cash basis</w:t>
            </w:r>
          </w:p>
        </w:tc>
        <w:tc>
          <w:tcPr>
            <w:tcW w:w="17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(99)</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(107)</w:t>
            </w:r>
          </w:p>
        </w:tc>
      </w:tr>
      <w:tr>
        <w:trPr>
          <w:trHeight w:val="210"/>
        </w:trPr>
        <w:tc>
          <w:tcPr>
            <w:tcW w:w="8120" w:type="dxa"/>
            <w:vAlign w:val="bottom"/>
            <w:tcBorders>
              <w:top w:val="single" w:sz="8" w:color="CCFFCC"/>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812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Deferred tax assets (liabilities), net</w:t>
            </w:r>
          </w:p>
        </w:tc>
        <w:tc>
          <w:tcPr>
            <w:tcW w:w="17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(42)</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w:t>
            </w:r>
          </w:p>
        </w:tc>
      </w:tr>
      <w:tr>
        <w:trPr>
          <w:trHeight w:val="20"/>
        </w:trPr>
        <w:tc>
          <w:tcPr>
            <w:tcW w:w="8120" w:type="dxa"/>
            <w:vAlign w:val="bottom"/>
            <w:tcBorders>
              <w:top w:val="single" w:sz="8" w:color="CCFFCC"/>
            </w:tcBorders>
            <w:shd w:val="clear" w:color="auto" w:fill="CCFFC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Subsidiary tax benefits: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July 14, 2009, the Knesset (Israel’s parliament) passed the Economic Efficiency Law (Legislation Amendments for Implementation of the 2009 and 2010 Economic Plan) - 2009, which provided, inter-alia, an additional gradual reduction in the regular company tax rate to 18% as from the 2016 tax year. In accordance with the aforementioned amendments, the regular company tax rates applicable as from the 2009 tax year are as follows: in the 2009 tax year- 26%, in the 2010 tax year - 25%, in the 2011 tax year - 24%, in the 2012 tax year - 23%, in the 2013 tax year - 22%, in the 2014 tax year - 21%, in the 2015 tax year - 20% and as from the 2016 tax year the regular company tax rate will be 18%. On December 5, 2011, the Knesset approved the Law to Change the Tax Burden (Legislative Amendments) - 2011. According to the law the tax reduction that was provided in the Economic Efficiency Law, as aforementioned, will be cancelled and the company tax rate will be 25% as from 2012. The aforementioned had no material impact on the Company's financial position or results of operations, since the Subsidiary is a Beneficiary Enterprise, as explained below.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88" w:orient="portrait"/>
          <w:cols w:equalWidth="0" w:num="1">
            <w:col w:w="11420"/>
          </w:cols>
          <w:pgMar w:left="240" w:top="1094" w:right="239" w:bottom="0"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 (cont'd)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Subsidiary has qualified as a "Beneficiary Enterprise" under the 2005 amendment to the Israeli Law for the Encouragement of Capital Investments, 1959 (the "Investment Law"). As a Beneficiary Enterprise, the Subsidiary is entitled to receive future tax benefits which are limited to a period of seven years. The year in which a company elects to commence its tax benefits is designated as the year of election ("Year of Election"). The Subsidiary has elected 2007 as its Year of Election and has received a two year tax holiday for profits accumulated in the years 2007-2008 and a reduced tax rate of 25% for the following five years.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January 2011, new legislation amending the Investment Law was enacted. Under the new legislation, a uniform rate of corporate tax would apply to all qualified income of certain industrial companies, as opposed to the current law's incentives that are limited to income from a "Benefited Enterprise" during their benefits period. According to the amendment, the uniform tax rate applicable to the zone where the production facilities of the Subsidiary are located would be 15% in 2011 and 2012, 12.5% in 2013 and 2014, and 12% in 2015 and thereafter. Under the transitory provisions of the newly legislated amendment, the Subsidiary chose to irrevocably implement the new legislation amendment while waiving benefits provided under the current law. As of the balance sheet date, the Subsidiary believes that it is in compliance with the conditions of the Beneficiary Enterprise program.</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Parent files its tax returns in the U.S. federal jurisdiction, various state &amp; local jurisdictions. The Parent has open tax assessments for the years 2008 through 2011. The Subsidiary files its income tax returns in Israel. As of December 31, 2011, the Subsidiary has open tax assessments for the years 2007 through 2011. In February 2011, the Israeli tax authority initiated an audit of the Subsidiary’s tax returns for the 2007 through 2009 tax years. To date, the Subsidiary has not received any findings from the said audit. The Subsidiary’s assessment for the tax year 2007 was deemed final after the balance sheet date.</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did not record any provision for unrecognized tax benefits in 2011 and 2010, and does not expect this amount to change significantly within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lease payments under non-cancelable operating leases for office space and cars, as of December 31, 2011, are as follows:</w:t>
      </w:r>
    </w:p>
    <w:p>
      <w:pPr>
        <w:spacing w:after="0" w:line="23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U.S.$</w:t>
            </w:r>
          </w:p>
        </w:tc>
      </w:tr>
      <w:tr>
        <w:trPr>
          <w:trHeight w:val="234"/>
        </w:trPr>
        <w:tc>
          <w:tcPr>
            <w:tcW w:w="5680" w:type="dxa"/>
            <w:vAlign w:val="bottom"/>
          </w:tcPr>
          <w:p>
            <w:pPr>
              <w:spacing w:after="0"/>
              <w:rPr>
                <w:sz w:val="20"/>
                <w:szCs w:val="20"/>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5"/>
              </w:rPr>
              <w:t>thousands</w:t>
            </w:r>
          </w:p>
        </w:tc>
      </w:tr>
      <w:tr>
        <w:trPr>
          <w:trHeight w:val="210"/>
        </w:trPr>
        <w:tc>
          <w:tcPr>
            <w:tcW w:w="5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Year ending December 31,</w:t>
            </w:r>
          </w:p>
        </w:tc>
        <w:tc>
          <w:tcPr>
            <w:tcW w:w="1100" w:type="dxa"/>
            <w:vAlign w:val="bottom"/>
            <w:tcBorders>
              <w:top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2012</w:t>
            </w: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r>
      <w:tr>
        <w:trPr>
          <w:trHeight w:val="216"/>
        </w:trPr>
        <w:tc>
          <w:tcPr>
            <w:tcW w:w="56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2013</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bottom w:val="single" w:sz="8" w:color="CCFFCC"/>
            </w:tcBorders>
            <w:shd w:val="clear" w:color="auto" w:fill="CCFFCC"/>
          </w:tcPr>
          <w:p>
            <w:pPr>
              <w:spacing w:after="0"/>
              <w:rPr>
                <w:sz w:val="18"/>
                <w:szCs w:val="18"/>
                <w:color w:val="auto"/>
              </w:rPr>
            </w:pPr>
          </w:p>
        </w:tc>
      </w:tr>
      <w:tr>
        <w:trPr>
          <w:trHeight w:val="210"/>
        </w:trPr>
        <w:tc>
          <w:tcPr>
            <w:tcW w:w="56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Rent expense for operating leases for the years ended December 31, 2011, 2010 and for the cumulative period from inception until December 31, 2011, was $81 thousand, $102 thousand and $557 thousand, respectively. Rent expense for the Subsidiary’s lease is in NIS and linked to the Israeli Consumer Price Index from February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Risks and Uncertainties</w:t>
      </w:r>
    </w:p>
    <w:p>
      <w:pPr>
        <w:spacing w:after="0" w:line="229" w:lineRule="exact"/>
        <w:rPr>
          <w:sz w:val="20"/>
          <w:szCs w:val="20"/>
          <w:color w:val="auto"/>
        </w:rPr>
      </w:pPr>
    </w:p>
    <w:p>
      <w:pPr>
        <w:jc w:val="both"/>
        <w:ind w:left="1040" w:hanging="343"/>
        <w:spacing w:after="0" w:line="25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and accounts receivable. The Company maintains its cash and cash equivalents with various major financial institutions. These major financial institutions are located in Israel and the United States, and the Company’s policy is designed to limit exposure to any one institution. With respect to accounts receivable, the Company is subject to a concentration of credit risk, as a majority of its outstanding trade receivables relate to sales to a limited number of customers.</w:t>
      </w:r>
    </w:p>
    <w:p>
      <w:pPr>
        <w:spacing w:after="0" w:line="188" w:lineRule="exact"/>
        <w:rPr>
          <w:rFonts w:ascii="Arial" w:cs="Arial" w:eastAsia="Arial" w:hAnsi="Arial"/>
          <w:sz w:val="18"/>
          <w:szCs w:val="18"/>
          <w:color w:val="auto"/>
        </w:rPr>
      </w:pPr>
    </w:p>
    <w:p>
      <w:pPr>
        <w:ind w:left="1040" w:hanging="343"/>
        <w:spacing w:after="0" w:line="342"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Company's video ringtone data is hosted at a remote location. Although the Company has full alternative site data backed up, it does not have data hosting redundancy and are thus exposed to the business risk of significant service interruptions to its video ringtone service.</w:t>
      </w:r>
    </w:p>
    <w:p>
      <w:pPr>
        <w:spacing w:after="0" w:line="123" w:lineRule="exact"/>
        <w:rPr>
          <w:rFonts w:ascii="Arial" w:cs="Arial" w:eastAsia="Arial" w:hAnsi="Arial"/>
          <w:sz w:val="16"/>
          <w:szCs w:val="16"/>
          <w:color w:val="auto"/>
        </w:rPr>
      </w:pPr>
    </w:p>
    <w:p>
      <w:pPr>
        <w:jc w:val="both"/>
        <w:ind w:left="1040" w:hanging="343"/>
        <w:spacing w:after="0" w:line="286"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Company’s Facetones™ application creates an automated video slideshow using friends' photos from social media web sites, primarily from Facebook®, the world's leading social media site. In the event Facebook® prohibits or restricts the ability of the Company’s application to access photos on its site, the Company’s revenue from this application and projected growth could be harmed.</w:t>
      </w:r>
    </w:p>
    <w:p>
      <w:pPr>
        <w:spacing w:after="0" w:line="165" w:lineRule="exact"/>
        <w:rPr>
          <w:rFonts w:ascii="Arial" w:cs="Arial" w:eastAsia="Arial" w:hAnsi="Arial"/>
          <w:sz w:val="17"/>
          <w:szCs w:val="17"/>
          <w:color w:val="auto"/>
        </w:rPr>
      </w:pPr>
    </w:p>
    <w:p>
      <w:pPr>
        <w:jc w:val="both"/>
        <w:ind w:left="1040" w:hanging="343"/>
        <w:spacing w:after="0" w:line="259"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186" w:lineRule="exact"/>
        <w:rPr>
          <w:rFonts w:ascii="Arial" w:cs="Arial" w:eastAsia="Arial" w:hAnsi="Arial"/>
          <w:sz w:val="18"/>
          <w:szCs w:val="18"/>
          <w:color w:val="auto"/>
        </w:rPr>
      </w:pPr>
    </w:p>
    <w:p>
      <w:pPr>
        <w:ind w:left="1040" w:right="20" w:hanging="343"/>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856"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jc w:val="both"/>
        <w:ind w:left="1040" w:hanging="343"/>
        <w:spacing w:after="0" w:line="30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January and February 2012, the Company's Board of Directors (the "Board") approved the granting of 70,000, fully vested options to management and consultants at an exercise price of $0.01 per share. The Board also approved the granting of 734,500 options at an exercise price of $0.96 to its management, employees and consultants. These options will vest over four years (according to the applicable schedule of each optionee). The Company expects that the total value of the options granted will be approximately $467 thousand. Also refer to Note 11.</w:t>
      </w:r>
    </w:p>
    <w:p>
      <w:pPr>
        <w:spacing w:after="0" w:line="154" w:lineRule="exact"/>
        <w:rPr>
          <w:rFonts w:ascii="Arial" w:cs="Arial" w:eastAsia="Arial" w:hAnsi="Arial"/>
          <w:sz w:val="16"/>
          <w:szCs w:val="16"/>
          <w:color w:val="auto"/>
        </w:rPr>
      </w:pPr>
    </w:p>
    <w:p>
      <w:pPr>
        <w:jc w:val="both"/>
        <w:ind w:left="1040" w:hanging="343"/>
        <w:spacing w:after="0" w:line="293"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January 2012, the Board approved a one year acceleration of option vesting for all option holders, except for the Company’s new Chief Executive Officer who will obtain 50% acceleration on all his unvested options, should the Company be subject to a change of control in a merger and/or acquisition transaction. In addition, in March 2012, the Board approved participation of all outstanding options in future dividends, as well as, acceleration of vesting if certain market conditions are met. Moreover, all outstanding options granted to members of the Board shall fully vest if a Board member ceases to be a director at any time during the six-month period immediately following a change of control. The Company is currently evaluating the effect of this decision and estimates that the effect on its financials might be material.</w:t>
      </w:r>
    </w:p>
    <w:p>
      <w:pPr>
        <w:spacing w:after="0" w:line="164" w:lineRule="exact"/>
        <w:rPr>
          <w:rFonts w:ascii="Arial" w:cs="Arial" w:eastAsia="Arial" w:hAnsi="Arial"/>
          <w:sz w:val="16"/>
          <w:szCs w:val="16"/>
          <w:color w:val="auto"/>
        </w:rPr>
      </w:pPr>
    </w:p>
    <w:p>
      <w:pPr>
        <w:jc w:val="both"/>
        <w:ind w:left="1040" w:hanging="343"/>
        <w:spacing w:after="0" w:line="297"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Between February 6 and February 14, 2012, the Company entered into agreements with holders of certain of its outstanding warrants (the “Holders”), pursuant to which the Holders exercised warrants to purchase 3,828,993 shares of the Company's common stock for aggregate proceeds to the Company of $3.6 million. In addition, the Company issued new warrants to purchase an aggregate of 2,660,922 shares of common stock at an exercise price of $1.76 per share in consideration for the immediate exercise of the warrants. The Company is currently evaluating the effect of this warrant issuance. The Company believes that the impact on its financial statements will be material.</w:t>
      </w:r>
    </w:p>
    <w:p>
      <w:pPr>
        <w:spacing w:after="0" w:line="158" w:lineRule="exact"/>
        <w:rPr>
          <w:rFonts w:ascii="Arial" w:cs="Arial" w:eastAsia="Arial" w:hAnsi="Arial"/>
          <w:sz w:val="16"/>
          <w:szCs w:val="16"/>
          <w:color w:val="auto"/>
        </w:rPr>
      </w:pPr>
    </w:p>
    <w:p>
      <w:pPr>
        <w:jc w:val="both"/>
        <w:ind w:left="1040" w:hanging="343"/>
        <w:spacing w:after="0" w:line="285"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March 12, 2012, the Company entered into a Merger Agreement pursuant to which I/P will merge with and into Merger Sub, a wholly owned subsidiary of the Company, with Merger Sub being the surviving corporation through an exchange of capital stock of I/P for capital stock of the Company. Under the terms of the Merger Agreement, the Company will issue I/P stockholders 16,972,977 shares of the Company’s common stock and 21,026,637 Series A Preferred Stock, convertible into 21,026,637 of the Company’s shares of common stock. In addition, the Company will issue I/P stockholders warrants to purchase 15,959,838 shares of common stock at an exercise price of $1.76 per share. In addition, all outstanding warrants to purchase I/P’s common stock that are outstanding and unexercised immediately prior to the completion of the Merger Agreement, shall be exchanged for 250,000 shares of Vringo common stock and 850,000 warrants to purchase 850,000 shares of the Company’s common stock with an exercise price of $1.76 per share. Immediately following the completion of the Merger, former stockholders of I/P are expected to own approximately 55.41% of the outstanding common stock of the combined company, and current stockholders of Vringo are expected to own approximately 44.59% of the outstanding common stock of the combined company (without taking into account the possible exercise of any other type of outstanding equity interest issued). The Company has expended significant effort and management attention on the proposed transaction. There is no assurance that the transaction will be consummated, including failure to obtain stockholders approval. If the transaction is not consummated for any reason, the Company’s business and operations, as well as the market price of its stock and warrants may be adversely affected. For accounting purposes, based on the Company’s preliminary assessment, I/P was identified as the “Acquirer”, as it is defined in FASB Topic ASC 805. As a result, in the post-combination consolidated financial statements, I/P’s assets and liabilities will be presented at its pre-combination amounts, and the Company’s assets and liabilities will be recognized and measured in accordance with the guidance for business combinations in ASC 805. The Company is currently evaluating the effect of this on its financial statements and believes such effect will be material.</w:t>
      </w:r>
    </w:p>
    <w:p>
      <w:pPr>
        <w:spacing w:after="0" w:line="172" w:lineRule="exact"/>
        <w:rPr>
          <w:rFonts w:ascii="Arial" w:cs="Arial" w:eastAsia="Arial" w:hAnsi="Arial"/>
          <w:sz w:val="16"/>
          <w:szCs w:val="16"/>
          <w:color w:val="auto"/>
        </w:rPr>
      </w:pPr>
    </w:p>
    <w:p>
      <w:pPr>
        <w:jc w:val="both"/>
        <w:ind w:left="1040" w:hanging="343"/>
        <w:spacing w:after="0" w:line="271"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March 2012, the Company signed a separation agreement with its former CEO, Jonathan Medved. According to the terms of the separation agreement, and consistent with Mr. Medved’s employment agreement and amendment hereto, Mr. Medved will be entitled to receive salary and benefits during a ninety day notice period and a nine month severance period, and continue to vest stock options after his termination. In addition, options previously granted to Mr. Medved at $0.01 will fully vest as of June 21, 2012 and the expiration date for exercising all options vested on or before June 21, 2013 is extended to September 21, 2013. Furthermore, the Company granted Mr. Medved with an additional 100,000 options at market value, as part of the grant described in Note 17 f below. Although the Company has a previous provision for its former CEO’s severance obligations (see Note 7) and although, the total effect of the aforementioned was not yet fully estimated, the Company believes that the overall financial impact of the above will be material.</w:t>
      </w:r>
    </w:p>
    <w:p>
      <w:pPr>
        <w:spacing w:after="0" w:line="178" w:lineRule="exact"/>
        <w:rPr>
          <w:rFonts w:ascii="Arial" w:cs="Arial" w:eastAsia="Arial" w:hAnsi="Arial"/>
          <w:sz w:val="17"/>
          <w:szCs w:val="17"/>
          <w:color w:val="auto"/>
        </w:rPr>
      </w:pPr>
    </w:p>
    <w:p>
      <w:pPr>
        <w:jc w:val="both"/>
        <w:ind w:left="1040" w:hanging="343"/>
        <w:spacing w:after="0" w:line="286"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March 2012, the Company's Board approved the granting of 1,700,000 options to Board and management (including the 100,000 options granted to its former CEO, see Note 17 e) at an exercise price of $1.65 per share. These options will vest quarterly over three years. Although the Company did not yet determine the fair value of this option grant, it believes the overall financial impact to be material.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the 30th day of March, 2012.</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56" w:lineRule="exact"/>
        <w:rPr>
          <w:sz w:val="20"/>
          <w:szCs w:val="20"/>
          <w:color w:val="auto"/>
        </w:rPr>
      </w:pPr>
    </w:p>
    <w:p>
      <w:pPr>
        <w:ind w:left="6860"/>
        <w:spacing w:after="0"/>
        <w:tabs>
          <w:tab w:leader="none" w:pos="7420" w:val="left"/>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Perlman</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Chief Executive Officer</w:t>
      </w:r>
    </w:p>
    <w:p>
      <w:pPr>
        <w:spacing w:after="0" w:line="3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Andrew Perlman and Ellen Cohl,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1940" w:type="dxa"/>
            <w:vAlign w:val="bottom"/>
            <w:gridSpan w:val="2"/>
          </w:tcPr>
          <w:p>
            <w:pPr>
              <w:ind w:left="24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NDEW</w:t>
            </w:r>
            <w:r>
              <w:rPr>
                <w:rFonts w:ascii="Arial" w:cs="Arial" w:eastAsia="Arial" w:hAnsi="Arial"/>
                <w:sz w:val="18"/>
                <w:szCs w:val="18"/>
                <w:color w:val="auto"/>
              </w:rPr>
              <w:t xml:space="preserve"> P</w:t>
            </w:r>
            <w:r>
              <w:rPr>
                <w:rFonts w:ascii="Arial" w:cs="Arial" w:eastAsia="Arial" w:hAnsi="Arial"/>
                <w:sz w:val="12"/>
                <w:szCs w:val="12"/>
                <w:color w:val="auto"/>
              </w:rPr>
              <w:t>ERLMAN</w:t>
            </w:r>
          </w:p>
        </w:tc>
        <w:tc>
          <w:tcPr>
            <w:tcW w:w="240" w:type="dxa"/>
            <w:vAlign w:val="bottom"/>
          </w:tcPr>
          <w:p>
            <w:pPr>
              <w:spacing w:after="0"/>
              <w:rPr>
                <w:sz w:val="24"/>
                <w:szCs w:val="24"/>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w w:val="94"/>
              </w:rPr>
              <w:t>Chief Executive Officer, President and Director (Principal Executive</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March 30, 2012</w:t>
            </w:r>
          </w:p>
        </w:tc>
        <w:tc>
          <w:tcPr>
            <w:tcW w:w="0" w:type="dxa"/>
            <w:vAlign w:val="bottom"/>
          </w:tcPr>
          <w:p>
            <w:pPr>
              <w:spacing w:after="0"/>
              <w:rPr>
                <w:sz w:val="1"/>
                <w:szCs w:val="1"/>
                <w:color w:val="auto"/>
              </w:rPr>
            </w:pPr>
          </w:p>
        </w:tc>
      </w:tr>
      <w:tr>
        <w:trPr>
          <w:trHeight w:val="210"/>
        </w:trPr>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Andrew Perlman</w:t>
            </w:r>
          </w:p>
        </w:tc>
        <w:tc>
          <w:tcPr>
            <w:tcW w:w="24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LLEN</w:t>
            </w:r>
            <w:r>
              <w:rPr>
                <w:rFonts w:ascii="Arial" w:cs="Arial" w:eastAsia="Arial" w:hAnsi="Arial"/>
                <w:sz w:val="18"/>
                <w:szCs w:val="18"/>
                <w:color w:val="auto"/>
              </w:rPr>
              <w:t xml:space="preserve"> C</w:t>
            </w:r>
            <w:r>
              <w:rPr>
                <w:rFonts w:ascii="Arial" w:cs="Arial" w:eastAsia="Arial" w:hAnsi="Arial"/>
                <w:sz w:val="12"/>
                <w:szCs w:val="12"/>
                <w:color w:val="auto"/>
              </w:rPr>
              <w:t>OHL</w:t>
            </w:r>
          </w:p>
        </w:tc>
        <w:tc>
          <w:tcPr>
            <w:tcW w:w="240" w:type="dxa"/>
            <w:vAlign w:val="bottom"/>
          </w:tcPr>
          <w:p>
            <w:pPr>
              <w:spacing w:after="0"/>
              <w:rPr>
                <w:sz w:val="24"/>
                <w:szCs w:val="24"/>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March 30, 2012</w:t>
            </w:r>
          </w:p>
        </w:tc>
        <w:tc>
          <w:tcPr>
            <w:tcW w:w="0" w:type="dxa"/>
            <w:vAlign w:val="bottom"/>
          </w:tcPr>
          <w:p>
            <w:pPr>
              <w:spacing w:after="0"/>
              <w:rPr>
                <w:sz w:val="1"/>
                <w:szCs w:val="1"/>
                <w:color w:val="auto"/>
              </w:rPr>
            </w:pPr>
          </w:p>
        </w:tc>
      </w:tr>
      <w:tr>
        <w:trPr>
          <w:trHeight w:val="210"/>
        </w:trPr>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Ellen Cohl</w:t>
            </w:r>
          </w:p>
        </w:tc>
        <w:tc>
          <w:tcPr>
            <w:tcW w:w="24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Accounting 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ETH</w:t>
            </w:r>
            <w:r>
              <w:rPr>
                <w:rFonts w:ascii="Arial" w:cs="Arial" w:eastAsia="Arial" w:hAnsi="Arial"/>
                <w:sz w:val="18"/>
                <w:szCs w:val="18"/>
                <w:color w:val="auto"/>
              </w:rPr>
              <w:t xml:space="preserve"> M. S</w:t>
            </w:r>
            <w:r>
              <w:rPr>
                <w:rFonts w:ascii="Arial" w:cs="Arial" w:eastAsia="Arial" w:hAnsi="Arial"/>
                <w:sz w:val="12"/>
                <w:szCs w:val="12"/>
                <w:color w:val="auto"/>
              </w:rPr>
              <w:t>IEGEL</w:t>
            </w:r>
          </w:p>
        </w:tc>
        <w:tc>
          <w:tcPr>
            <w:tcW w:w="240" w:type="dxa"/>
            <w:vAlign w:val="bottom"/>
          </w:tcPr>
          <w:p>
            <w:pPr>
              <w:spacing w:after="0"/>
              <w:rPr>
                <w:sz w:val="24"/>
                <w:szCs w:val="24"/>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Chairman of the Board of Directors</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March 30, 2012</w:t>
            </w:r>
          </w:p>
        </w:tc>
        <w:tc>
          <w:tcPr>
            <w:tcW w:w="0" w:type="dxa"/>
            <w:vAlign w:val="bottom"/>
          </w:tcPr>
          <w:p>
            <w:pPr>
              <w:spacing w:after="0"/>
              <w:rPr>
                <w:sz w:val="1"/>
                <w:szCs w:val="1"/>
                <w:color w:val="auto"/>
              </w:rPr>
            </w:pPr>
          </w:p>
        </w:tc>
      </w:tr>
      <w:tr>
        <w:trPr>
          <w:trHeight w:val="228"/>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Seth M. Siegel</w:t>
            </w:r>
          </w:p>
        </w:tc>
        <w:tc>
          <w:tcPr>
            <w:tcW w:w="2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DO</w:t>
            </w:r>
            <w:r>
              <w:rPr>
                <w:rFonts w:ascii="Arial" w:cs="Arial" w:eastAsia="Arial" w:hAnsi="Arial"/>
                <w:sz w:val="18"/>
                <w:szCs w:val="18"/>
                <w:color w:val="auto"/>
              </w:rPr>
              <w:t xml:space="preserve"> S</w:t>
            </w:r>
            <w:r>
              <w:rPr>
                <w:rFonts w:ascii="Arial" w:cs="Arial" w:eastAsia="Arial" w:hAnsi="Arial"/>
                <w:sz w:val="12"/>
                <w:szCs w:val="12"/>
                <w:color w:val="auto"/>
              </w:rPr>
              <w:t>EGAL</w:t>
            </w:r>
          </w:p>
        </w:tc>
        <w:tc>
          <w:tcPr>
            <w:tcW w:w="240" w:type="dxa"/>
            <w:vAlign w:val="bottom"/>
          </w:tcPr>
          <w:p>
            <w:pPr>
              <w:spacing w:after="0"/>
              <w:rPr>
                <w:sz w:val="24"/>
                <w:szCs w:val="24"/>
                <w:color w:val="auto"/>
              </w:rPr>
            </w:pPr>
          </w:p>
        </w:tc>
        <w:tc>
          <w:tcPr>
            <w:tcW w:w="5240" w:type="dxa"/>
            <w:vAlign w:val="bottom"/>
          </w:tcPr>
          <w:p>
            <w:pPr>
              <w:ind w:left="2320"/>
              <w:spacing w:after="0"/>
              <w:rPr>
                <w:sz w:val="20"/>
                <w:szCs w:val="20"/>
                <w:color w:val="auto"/>
              </w:rPr>
            </w:pPr>
            <w:r>
              <w:rPr>
                <w:rFonts w:ascii="Arial" w:cs="Arial" w:eastAsia="Arial" w:hAnsi="Arial"/>
                <w:sz w:val="18"/>
                <w:szCs w:val="18"/>
                <w:color w:val="auto"/>
              </w:rPr>
              <w:t>Director</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March 30, 2012</w:t>
            </w:r>
          </w:p>
        </w:tc>
        <w:tc>
          <w:tcPr>
            <w:tcW w:w="0" w:type="dxa"/>
            <w:vAlign w:val="bottom"/>
          </w:tcPr>
          <w:p>
            <w:pPr>
              <w:spacing w:after="0"/>
              <w:rPr>
                <w:sz w:val="1"/>
                <w:szCs w:val="1"/>
                <w:color w:val="auto"/>
              </w:rPr>
            </w:pPr>
          </w:p>
        </w:tc>
      </w:tr>
      <w:tr>
        <w:trPr>
          <w:trHeight w:val="228"/>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Edo Segal</w:t>
            </w:r>
          </w:p>
        </w:tc>
        <w:tc>
          <w:tcPr>
            <w:tcW w:w="2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HILIP</w:t>
            </w:r>
            <w:r>
              <w:rPr>
                <w:rFonts w:ascii="Arial" w:cs="Arial" w:eastAsia="Arial" w:hAnsi="Arial"/>
                <w:sz w:val="18"/>
                <w:szCs w:val="18"/>
                <w:color w:val="auto"/>
              </w:rPr>
              <w:t xml:space="preserve"> S</w:t>
            </w:r>
            <w:r>
              <w:rPr>
                <w:rFonts w:ascii="Arial" w:cs="Arial" w:eastAsia="Arial" w:hAnsi="Arial"/>
                <w:sz w:val="12"/>
                <w:szCs w:val="12"/>
                <w:color w:val="auto"/>
              </w:rPr>
              <w:t>ERLIN</w:t>
            </w:r>
          </w:p>
        </w:tc>
        <w:tc>
          <w:tcPr>
            <w:tcW w:w="240" w:type="dxa"/>
            <w:vAlign w:val="bottom"/>
          </w:tcPr>
          <w:p>
            <w:pPr>
              <w:spacing w:after="0"/>
              <w:rPr>
                <w:sz w:val="24"/>
                <w:szCs w:val="24"/>
                <w:color w:val="auto"/>
              </w:rPr>
            </w:pPr>
          </w:p>
        </w:tc>
        <w:tc>
          <w:tcPr>
            <w:tcW w:w="5240" w:type="dxa"/>
            <w:vAlign w:val="bottom"/>
          </w:tcPr>
          <w:p>
            <w:pPr>
              <w:ind w:left="2320"/>
              <w:spacing w:after="0"/>
              <w:rPr>
                <w:sz w:val="20"/>
                <w:szCs w:val="20"/>
                <w:color w:val="auto"/>
              </w:rPr>
            </w:pPr>
            <w:r>
              <w:rPr>
                <w:rFonts w:ascii="Arial" w:cs="Arial" w:eastAsia="Arial" w:hAnsi="Arial"/>
                <w:sz w:val="18"/>
                <w:szCs w:val="18"/>
                <w:color w:val="auto"/>
              </w:rPr>
              <w:t>Director</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March 30, 2012</w:t>
            </w:r>
          </w:p>
        </w:tc>
        <w:tc>
          <w:tcPr>
            <w:tcW w:w="0" w:type="dxa"/>
            <w:vAlign w:val="bottom"/>
          </w:tcPr>
          <w:p>
            <w:pPr>
              <w:spacing w:after="0"/>
              <w:rPr>
                <w:sz w:val="1"/>
                <w:szCs w:val="1"/>
                <w:color w:val="auto"/>
              </w:rPr>
            </w:pPr>
          </w:p>
        </w:tc>
      </w:tr>
      <w:tr>
        <w:trPr>
          <w:trHeight w:val="228"/>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Philip Serlin</w:t>
            </w:r>
          </w:p>
        </w:tc>
        <w:tc>
          <w:tcPr>
            <w:tcW w:w="2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OHN</w:t>
            </w:r>
            <w:r>
              <w:rPr>
                <w:rFonts w:ascii="Arial" w:cs="Arial" w:eastAsia="Arial" w:hAnsi="Arial"/>
                <w:sz w:val="18"/>
                <w:szCs w:val="18"/>
                <w:color w:val="auto"/>
              </w:rPr>
              <w:t xml:space="preserve"> E</w:t>
            </w:r>
            <w:r>
              <w:rPr>
                <w:rFonts w:ascii="Arial" w:cs="Arial" w:eastAsia="Arial" w:hAnsi="Arial"/>
                <w:sz w:val="12"/>
                <w:szCs w:val="12"/>
                <w:color w:val="auto"/>
              </w:rPr>
              <w:t>NGELMAN</w:t>
            </w:r>
          </w:p>
        </w:tc>
        <w:tc>
          <w:tcPr>
            <w:tcW w:w="240" w:type="dxa"/>
            <w:vAlign w:val="bottom"/>
          </w:tcPr>
          <w:p>
            <w:pPr>
              <w:spacing w:after="0"/>
              <w:rPr>
                <w:sz w:val="24"/>
                <w:szCs w:val="24"/>
                <w:color w:val="auto"/>
              </w:rPr>
            </w:pPr>
          </w:p>
        </w:tc>
        <w:tc>
          <w:tcPr>
            <w:tcW w:w="5240" w:type="dxa"/>
            <w:vAlign w:val="bottom"/>
          </w:tcPr>
          <w:p>
            <w:pPr>
              <w:ind w:left="2320"/>
              <w:spacing w:after="0"/>
              <w:rPr>
                <w:sz w:val="20"/>
                <w:szCs w:val="20"/>
                <w:color w:val="auto"/>
              </w:rPr>
            </w:pPr>
            <w:r>
              <w:rPr>
                <w:rFonts w:ascii="Arial" w:cs="Arial" w:eastAsia="Arial" w:hAnsi="Arial"/>
                <w:sz w:val="18"/>
                <w:szCs w:val="18"/>
                <w:color w:val="auto"/>
              </w:rPr>
              <w:t>Director</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March 30, 2012</w:t>
            </w:r>
          </w:p>
        </w:tc>
        <w:tc>
          <w:tcPr>
            <w:tcW w:w="0" w:type="dxa"/>
            <w:vAlign w:val="bottom"/>
          </w:tcPr>
          <w:p>
            <w:pPr>
              <w:spacing w:after="0"/>
              <w:rPr>
                <w:sz w:val="1"/>
                <w:szCs w:val="1"/>
                <w:color w:val="auto"/>
              </w:rPr>
            </w:pPr>
          </w:p>
        </w:tc>
      </w:tr>
      <w:tr>
        <w:trPr>
          <w:trHeight w:val="228"/>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John Engelman</w:t>
            </w:r>
          </w:p>
        </w:tc>
        <w:tc>
          <w:tcPr>
            <w:tcW w:w="2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EOFFREY</w:t>
            </w:r>
            <w:r>
              <w:rPr>
                <w:rFonts w:ascii="Arial" w:cs="Arial" w:eastAsia="Arial" w:hAnsi="Arial"/>
                <w:sz w:val="18"/>
                <w:szCs w:val="18"/>
                <w:color w:val="auto"/>
              </w:rPr>
              <w:t xml:space="preserve"> S</w:t>
            </w:r>
            <w:r>
              <w:rPr>
                <w:rFonts w:ascii="Arial" w:cs="Arial" w:eastAsia="Arial" w:hAnsi="Arial"/>
                <w:sz w:val="12"/>
                <w:szCs w:val="12"/>
                <w:color w:val="auto"/>
              </w:rPr>
              <w:t>KOLNIK</w:t>
            </w:r>
          </w:p>
        </w:tc>
        <w:tc>
          <w:tcPr>
            <w:tcW w:w="240" w:type="dxa"/>
            <w:vAlign w:val="bottom"/>
          </w:tcPr>
          <w:p>
            <w:pPr>
              <w:spacing w:after="0"/>
              <w:rPr>
                <w:sz w:val="24"/>
                <w:szCs w:val="24"/>
                <w:color w:val="auto"/>
              </w:rPr>
            </w:pPr>
          </w:p>
        </w:tc>
        <w:tc>
          <w:tcPr>
            <w:tcW w:w="5240" w:type="dxa"/>
            <w:vAlign w:val="bottom"/>
          </w:tcPr>
          <w:p>
            <w:pPr>
              <w:ind w:left="2320"/>
              <w:spacing w:after="0"/>
              <w:rPr>
                <w:sz w:val="20"/>
                <w:szCs w:val="20"/>
                <w:color w:val="auto"/>
              </w:rPr>
            </w:pPr>
            <w:r>
              <w:rPr>
                <w:rFonts w:ascii="Arial" w:cs="Arial" w:eastAsia="Arial" w:hAnsi="Arial"/>
                <w:sz w:val="18"/>
                <w:szCs w:val="18"/>
                <w:color w:val="auto"/>
              </w:rPr>
              <w:t>Director</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March 30, 2012</w:t>
            </w:r>
          </w:p>
        </w:tc>
        <w:tc>
          <w:tcPr>
            <w:tcW w:w="0" w:type="dxa"/>
            <w:vAlign w:val="bottom"/>
          </w:tcPr>
          <w:p>
            <w:pPr>
              <w:spacing w:after="0"/>
              <w:rPr>
                <w:sz w:val="1"/>
                <w:szCs w:val="1"/>
                <w:color w:val="auto"/>
              </w:rPr>
            </w:pPr>
          </w:p>
        </w:tc>
      </w:tr>
      <w:tr>
        <w:trPr>
          <w:trHeight w:val="228"/>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Geoffrey Skolnik</w:t>
            </w:r>
          </w:p>
        </w:tc>
        <w:tc>
          <w:tcPr>
            <w:tcW w:w="2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7"/>
        </w:trPr>
        <w:tc>
          <w:tcPr>
            <w:tcW w:w="2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2"/>
          </w:tcPr>
          <w:p>
            <w:pPr>
              <w:spacing w:after="0"/>
              <w:rPr>
                <w:sz w:val="20"/>
                <w:szCs w:val="20"/>
                <w:color w:val="auto"/>
              </w:rPr>
            </w:pPr>
            <w:r>
              <w:rPr>
                <w:rFonts w:ascii="Arial" w:cs="Arial" w:eastAsia="Arial" w:hAnsi="Arial"/>
                <w:sz w:val="18"/>
                <w:szCs w:val="18"/>
                <w:i w:val="1"/>
                <w:iCs w:val="1"/>
                <w:color w:val="auto"/>
              </w:rPr>
              <w:t>Exhibits</w:t>
            </w:r>
          </w:p>
        </w:tc>
        <w:tc>
          <w:tcPr>
            <w:tcW w:w="9800" w:type="dxa"/>
            <w:vAlign w:val="bottom"/>
          </w:tcPr>
          <w:p>
            <w:pPr>
              <w:spacing w:after="0"/>
              <w:rPr>
                <w:sz w:val="20"/>
                <w:szCs w:val="20"/>
                <w:color w:val="auto"/>
              </w:rPr>
            </w:pPr>
          </w:p>
        </w:tc>
      </w:tr>
      <w:tr>
        <w:trPr>
          <w:trHeight w:val="414"/>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800" w:type="dxa"/>
            <w:vAlign w:val="bottom"/>
          </w:tcPr>
          <w:p>
            <w:pPr>
              <w:spacing w:after="0"/>
              <w:rPr>
                <w:sz w:val="24"/>
                <w:szCs w:val="24"/>
                <w:color w:val="auto"/>
              </w:rPr>
            </w:pPr>
          </w:p>
        </w:tc>
      </w:tr>
      <w:tr>
        <w:trPr>
          <w:trHeight w:val="234"/>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98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38"/>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580" w:type="dxa"/>
            <w:vAlign w:val="bottom"/>
          </w:tcPr>
          <w:p>
            <w:pPr>
              <w:spacing w:after="0"/>
              <w:rPr>
                <w:sz w:val="24"/>
                <w:szCs w:val="24"/>
                <w:color w:val="auto"/>
              </w:rPr>
            </w:pPr>
          </w:p>
        </w:tc>
        <w:tc>
          <w:tcPr>
            <w:tcW w:w="98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Amended and Restated Certificate of Incorporation (incorporated by reference our Registration Statement on Form S-1 filed on May</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18, 2010)</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Amended and Restated Bylaws (incorporated by reference from our Registration Statement on Form S-1 filing on January 29, 2010)</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Specimen unit certificate (incorporated by reference from our Registration Statement on Form S-1 filing on May 18, 2010)</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Specimen common stock certificate (incorporated by reference from our Registration Statement on Form S-1 filing on May 18, 2010)</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8"/>
              </w:rPr>
              <w:t>Specimen warrant certificate (incorporated by reference from our Registration Statement on Form S-1 filing on May 18, 2010)</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6"/>
              </w:rPr>
              <w:t>Form of Warrant Agreement (incorporated by reference from our Registration Statement on Form S-1 filing on March 29, 2010)</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Form of Special Bridge Warrants (incorporated by reference from our Registration Statement on Form S-1 filing on January 29, 2010)</w:t>
            </w:r>
          </w:p>
        </w:tc>
      </w:tr>
      <w:tr>
        <w:trPr>
          <w:trHeight w:val="445"/>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Form of Management Option Agreement (incorporated by reference from our Registration Statement on Form S-1 filing on March 29,</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2010)</w:t>
            </w:r>
          </w:p>
        </w:tc>
      </w:tr>
      <w:tr>
        <w:trPr>
          <w:trHeight w:val="445"/>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6"/>
              </w:rPr>
              <w:t>Master Content Provider Agreement, dated June 3, 2009, by and between the Registrant and Maxis Mobile Services SDN BHD</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(incorporated by reference from our Registration Statement on Form S-1 filing on January 29, 2010)</w:t>
            </w:r>
          </w:p>
        </w:tc>
      </w:tr>
      <w:tr>
        <w:trPr>
          <w:trHeight w:val="445"/>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9"/>
              </w:rPr>
              <w:t>Marketing Agreement, dated June 30, 2009, by and between the Registrant and Emirates Telecommunications Corporation</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(incorporated by reference from our Registration Statement on Form S-1 filing on January 29, 2010)</w:t>
            </w:r>
          </w:p>
        </w:tc>
      </w:tr>
      <w:tr>
        <w:trPr>
          <w:trHeight w:val="445"/>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Marketing Agreement, dated December 29, 2009, by and between the Registrant and Hungama Digital Media Entertainment Pvt. Ltd.</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(incorporated by reference from our Registration Statement on Form S-1 filing on January 29, 2010)</w:t>
            </w:r>
          </w:p>
        </w:tc>
      </w:tr>
      <w:tr>
        <w:trPr>
          <w:trHeight w:val="445"/>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Summary of Rental Agreement, dated March 27, 2006, by and between Registrant and BIG Power Centers (incorporated by reference</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from our Registration Statement on Form S-1 filing on January 29, 2010)</w:t>
            </w:r>
          </w:p>
        </w:tc>
      </w:tr>
      <w:tr>
        <w:trPr>
          <w:trHeight w:val="445"/>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Employment Agreement, dated March 18, 2010, by and between the Registrant and Andrew Perlman (incorporated by reference from</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our Registration Statement on Form S-1 filing on March 29, 2010)</w:t>
            </w:r>
          </w:p>
        </w:tc>
      </w:tr>
      <w:tr>
        <w:trPr>
          <w:trHeight w:val="445"/>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Marketing Agreement, dated February 2, 2010, by and between the Registrant and RTL Belgium S.A. (incorporated by reference from</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our Registration Statement on Form S-1 filing on March 29, 2010)</w:t>
            </w:r>
          </w:p>
        </w:tc>
      </w:tr>
      <w:tr>
        <w:trPr>
          <w:trHeight w:val="445"/>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Agreement on Cooperation, dated July 15, 2010, between the Company and Retromedya (incorporated by reference from our Current</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Report on Form 8-K filed on July 19, 2010)</w:t>
            </w:r>
          </w:p>
        </w:tc>
      </w:tr>
      <w:tr>
        <w:trPr>
          <w:trHeight w:val="445"/>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Marketing Agreement, dated August 19, 2010, between the Company and Everything Everywhere Limited. (incorporated by reference</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from our Form 10-Q filing on November 15, 2010)</w:t>
            </w:r>
          </w:p>
        </w:tc>
      </w:tr>
      <w:tr>
        <w:trPr>
          <w:trHeight w:val="445"/>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Collaboration Agreement, dated September 15, 2010, between the Company and Starhub Mobile PTE Ltd. (incorporated by reference</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from our Form 10-Q filing on November 15, 2010)</w:t>
            </w:r>
          </w:p>
        </w:tc>
      </w:tr>
      <w:tr>
        <w:trPr>
          <w:trHeight w:val="445"/>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Employment Agreement, dated December 15, 2010, by and between the Company and Ellen Cohl (incorporated by reference from our</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Current Report on Form 8-K filed on December 20, 2010)</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Intercompany Cost Plus Agreement (incorporated by reference from our Form 10-K filing on March 31, 2011)</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95"/>
              </w:rPr>
              <w:t>10.12*^</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License agreement with ZTE Corporation, dated November 2, 2011</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96"/>
              </w:rPr>
              <w:t>21*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List of Subsidiaries</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99"/>
              </w:rPr>
              <w:t>23.1*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675"/>
        </w:trPr>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143"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jc w:val="right"/>
              <w:ind w:right="350"/>
              <w:spacing w:after="0"/>
              <w:rPr>
                <w:sz w:val="20"/>
                <w:szCs w:val="20"/>
                <w:color w:val="auto"/>
              </w:rPr>
            </w:pPr>
            <w:r>
              <w:rPr>
                <w:rFonts w:ascii="Arial" w:cs="Arial" w:eastAsia="Arial" w:hAnsi="Arial"/>
                <w:sz w:val="18"/>
                <w:szCs w:val="18"/>
                <w:color w:val="auto"/>
              </w:rPr>
              <w:t>24.1*</w:t>
            </w:r>
          </w:p>
        </w:tc>
        <w:tc>
          <w:tcPr>
            <w:tcW w:w="10240" w:type="dxa"/>
            <w:vAlign w:val="bottom"/>
          </w:tcPr>
          <w:p>
            <w:pPr>
              <w:ind w:left="440"/>
              <w:spacing w:after="0"/>
              <w:rPr>
                <w:sz w:val="20"/>
                <w:szCs w:val="20"/>
                <w:color w:val="auto"/>
              </w:rPr>
            </w:pPr>
            <w:r>
              <w:rPr>
                <w:rFonts w:ascii="Arial" w:cs="Arial" w:eastAsia="Arial" w:hAnsi="Arial"/>
                <w:sz w:val="18"/>
                <w:szCs w:val="18"/>
                <w:color w:val="auto"/>
              </w:rPr>
              <w:t>Power of Attorney (included on signature page)</w:t>
            </w:r>
          </w:p>
        </w:tc>
      </w:tr>
      <w:tr>
        <w:trPr>
          <w:trHeight w:val="445"/>
        </w:trPr>
        <w:tc>
          <w:tcPr>
            <w:tcW w:w="1180" w:type="dxa"/>
            <w:vAlign w:val="bottom"/>
            <w:gridSpan w:val="2"/>
          </w:tcPr>
          <w:p>
            <w:pPr>
              <w:jc w:val="right"/>
              <w:ind w:right="350"/>
              <w:spacing w:after="0"/>
              <w:rPr>
                <w:sz w:val="20"/>
                <w:szCs w:val="20"/>
                <w:color w:val="auto"/>
              </w:rPr>
            </w:pPr>
            <w:r>
              <w:rPr>
                <w:rFonts w:ascii="Arial" w:cs="Arial" w:eastAsia="Arial" w:hAnsi="Arial"/>
                <w:sz w:val="18"/>
                <w:szCs w:val="18"/>
                <w:color w:val="auto"/>
              </w:rPr>
              <w:t>31.1*</w:t>
            </w:r>
          </w:p>
        </w:tc>
        <w:tc>
          <w:tcPr>
            <w:tcW w:w="10240" w:type="dxa"/>
            <w:vAlign w:val="bottom"/>
          </w:tcPr>
          <w:p>
            <w:pPr>
              <w:ind w:left="440"/>
              <w:spacing w:after="0"/>
              <w:rPr>
                <w:sz w:val="20"/>
                <w:szCs w:val="20"/>
                <w:color w:val="auto"/>
              </w:rPr>
            </w:pPr>
            <w:r>
              <w:rPr>
                <w:rFonts w:ascii="Arial" w:cs="Arial" w:eastAsia="Arial" w:hAnsi="Arial"/>
                <w:sz w:val="18"/>
                <w:szCs w:val="18"/>
                <w:color w:val="auto"/>
                <w:w w:val="92"/>
              </w:rPr>
              <w:t>Certification of Principal Executive Officer Pursuant to Rule 13-14(a) of the Securities Exchange Act of 1934, pursuant to Section 302</w:t>
            </w: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40" w:type="dxa"/>
            <w:vAlign w:val="bottom"/>
          </w:tcPr>
          <w:p>
            <w:pPr>
              <w:ind w:left="440"/>
              <w:spacing w:after="0"/>
              <w:rPr>
                <w:sz w:val="20"/>
                <w:szCs w:val="20"/>
                <w:color w:val="auto"/>
              </w:rPr>
            </w:pPr>
            <w:r>
              <w:rPr>
                <w:rFonts w:ascii="Arial" w:cs="Arial" w:eastAsia="Arial" w:hAnsi="Arial"/>
                <w:sz w:val="18"/>
                <w:szCs w:val="18"/>
                <w:color w:val="auto"/>
              </w:rPr>
              <w:t>of the Sarbanes-Oxley Act of 2002.</w:t>
            </w:r>
          </w:p>
        </w:tc>
      </w:tr>
      <w:tr>
        <w:trPr>
          <w:trHeight w:val="445"/>
        </w:trPr>
        <w:tc>
          <w:tcPr>
            <w:tcW w:w="1180" w:type="dxa"/>
            <w:vAlign w:val="bottom"/>
            <w:gridSpan w:val="2"/>
          </w:tcPr>
          <w:p>
            <w:pPr>
              <w:jc w:val="right"/>
              <w:ind w:right="350"/>
              <w:spacing w:after="0"/>
              <w:rPr>
                <w:sz w:val="20"/>
                <w:szCs w:val="20"/>
                <w:color w:val="auto"/>
              </w:rPr>
            </w:pPr>
            <w:r>
              <w:rPr>
                <w:rFonts w:ascii="Arial" w:cs="Arial" w:eastAsia="Arial" w:hAnsi="Arial"/>
                <w:sz w:val="18"/>
                <w:szCs w:val="18"/>
                <w:color w:val="auto"/>
              </w:rPr>
              <w:t>31.2*</w:t>
            </w:r>
          </w:p>
        </w:tc>
        <w:tc>
          <w:tcPr>
            <w:tcW w:w="10240" w:type="dxa"/>
            <w:vAlign w:val="bottom"/>
          </w:tcPr>
          <w:p>
            <w:pPr>
              <w:ind w:left="440"/>
              <w:spacing w:after="0"/>
              <w:rPr>
                <w:sz w:val="20"/>
                <w:szCs w:val="20"/>
                <w:color w:val="auto"/>
              </w:rPr>
            </w:pPr>
            <w:r>
              <w:rPr>
                <w:rFonts w:ascii="Arial" w:cs="Arial" w:eastAsia="Arial" w:hAnsi="Arial"/>
                <w:sz w:val="18"/>
                <w:szCs w:val="18"/>
                <w:color w:val="auto"/>
                <w:w w:val="93"/>
              </w:rPr>
              <w:t>Certification of Principal Financial Officer Pursuant to Rule 13-14(a) of the Securities Exchange Act of 1934, pursuant to Section 302</w:t>
            </w: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40" w:type="dxa"/>
            <w:vAlign w:val="bottom"/>
          </w:tcPr>
          <w:p>
            <w:pPr>
              <w:ind w:left="440"/>
              <w:spacing w:after="0"/>
              <w:rPr>
                <w:sz w:val="20"/>
                <w:szCs w:val="20"/>
                <w:color w:val="auto"/>
              </w:rPr>
            </w:pPr>
            <w:r>
              <w:rPr>
                <w:rFonts w:ascii="Arial" w:cs="Arial" w:eastAsia="Arial" w:hAnsi="Arial"/>
                <w:sz w:val="18"/>
                <w:szCs w:val="18"/>
                <w:color w:val="auto"/>
              </w:rPr>
              <w:t>of the Sarbanes-Oxley Act of 2002.</w:t>
            </w:r>
          </w:p>
        </w:tc>
      </w:tr>
      <w:tr>
        <w:trPr>
          <w:trHeight w:val="445"/>
        </w:trPr>
        <w:tc>
          <w:tcPr>
            <w:tcW w:w="1180" w:type="dxa"/>
            <w:vAlign w:val="bottom"/>
            <w:gridSpan w:val="2"/>
          </w:tcPr>
          <w:p>
            <w:pPr>
              <w:jc w:val="right"/>
              <w:ind w:right="350"/>
              <w:spacing w:after="0"/>
              <w:rPr>
                <w:sz w:val="20"/>
                <w:szCs w:val="20"/>
                <w:color w:val="auto"/>
              </w:rPr>
            </w:pPr>
            <w:r>
              <w:rPr>
                <w:rFonts w:ascii="Arial" w:cs="Arial" w:eastAsia="Arial" w:hAnsi="Arial"/>
                <w:sz w:val="18"/>
                <w:szCs w:val="18"/>
                <w:color w:val="auto"/>
              </w:rPr>
              <w:t>32.1*</w:t>
            </w:r>
          </w:p>
        </w:tc>
        <w:tc>
          <w:tcPr>
            <w:tcW w:w="10240" w:type="dxa"/>
            <w:vAlign w:val="bottom"/>
          </w:tcPr>
          <w:p>
            <w:pPr>
              <w:ind w:left="440"/>
              <w:spacing w:after="0"/>
              <w:rPr>
                <w:sz w:val="20"/>
                <w:szCs w:val="20"/>
                <w:color w:val="auto"/>
              </w:rPr>
            </w:pPr>
            <w:r>
              <w:rPr>
                <w:rFonts w:ascii="Arial" w:cs="Arial" w:eastAsia="Arial" w:hAnsi="Arial"/>
                <w:sz w:val="18"/>
                <w:szCs w:val="18"/>
                <w:color w:val="auto"/>
                <w:w w:val="92"/>
              </w:rPr>
              <w:t>Certification of Principal Executive Officer Pursuant to 18 U.S.C. Section 1350, pursuant to Section 906 of the Sarbanes-Oxley Act of</w:t>
            </w: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40" w:type="dxa"/>
            <w:vAlign w:val="bottom"/>
          </w:tcPr>
          <w:p>
            <w:pPr>
              <w:ind w:left="440"/>
              <w:spacing w:after="0"/>
              <w:rPr>
                <w:sz w:val="20"/>
                <w:szCs w:val="20"/>
                <w:color w:val="auto"/>
              </w:rPr>
            </w:pPr>
            <w:r>
              <w:rPr>
                <w:rFonts w:ascii="Arial" w:cs="Arial" w:eastAsia="Arial" w:hAnsi="Arial"/>
                <w:sz w:val="18"/>
                <w:szCs w:val="18"/>
                <w:color w:val="auto"/>
              </w:rPr>
              <w:t>2002.</w:t>
            </w:r>
          </w:p>
        </w:tc>
      </w:tr>
      <w:tr>
        <w:trPr>
          <w:trHeight w:val="445"/>
        </w:trPr>
        <w:tc>
          <w:tcPr>
            <w:tcW w:w="1180" w:type="dxa"/>
            <w:vAlign w:val="bottom"/>
            <w:gridSpan w:val="2"/>
          </w:tcPr>
          <w:p>
            <w:pPr>
              <w:jc w:val="right"/>
              <w:ind w:right="350"/>
              <w:spacing w:after="0"/>
              <w:rPr>
                <w:sz w:val="20"/>
                <w:szCs w:val="20"/>
                <w:color w:val="auto"/>
              </w:rPr>
            </w:pPr>
            <w:r>
              <w:rPr>
                <w:rFonts w:ascii="Arial" w:cs="Arial" w:eastAsia="Arial" w:hAnsi="Arial"/>
                <w:sz w:val="18"/>
                <w:szCs w:val="18"/>
                <w:color w:val="auto"/>
              </w:rPr>
              <w:t>32.2*</w:t>
            </w:r>
          </w:p>
        </w:tc>
        <w:tc>
          <w:tcPr>
            <w:tcW w:w="10240" w:type="dxa"/>
            <w:vAlign w:val="bottom"/>
          </w:tcPr>
          <w:p>
            <w:pPr>
              <w:ind w:left="440"/>
              <w:spacing w:after="0"/>
              <w:rPr>
                <w:sz w:val="20"/>
                <w:szCs w:val="20"/>
                <w:color w:val="auto"/>
              </w:rPr>
            </w:pPr>
            <w:r>
              <w:rPr>
                <w:rFonts w:ascii="Arial" w:cs="Arial" w:eastAsia="Arial" w:hAnsi="Arial"/>
                <w:sz w:val="18"/>
                <w:szCs w:val="18"/>
                <w:color w:val="auto"/>
                <w:w w:val="93"/>
              </w:rPr>
              <w:t>Certification of Principal Financial Officer Pursuant to 18 U.S.C. Section 1350, pursuant to Section 906 of the Sarbanes-Oxley Act of</w:t>
            </w: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40" w:type="dxa"/>
            <w:vAlign w:val="bottom"/>
          </w:tcPr>
          <w:p>
            <w:pPr>
              <w:ind w:left="440"/>
              <w:spacing w:after="0"/>
              <w:rPr>
                <w:sz w:val="20"/>
                <w:szCs w:val="20"/>
                <w:color w:val="auto"/>
              </w:rPr>
            </w:pPr>
            <w:r>
              <w:rPr>
                <w:rFonts w:ascii="Arial" w:cs="Arial" w:eastAsia="Arial" w:hAnsi="Arial"/>
                <w:sz w:val="18"/>
                <w:szCs w:val="18"/>
                <w:color w:val="auto"/>
              </w:rPr>
              <w:t>2002.</w:t>
            </w:r>
          </w:p>
        </w:tc>
      </w:tr>
      <w:tr>
        <w:trPr>
          <w:trHeight w:val="216"/>
        </w:trPr>
        <w:tc>
          <w:tcPr>
            <w:tcW w:w="1180" w:type="dxa"/>
            <w:vAlign w:val="bottom"/>
            <w:gridSpan w:val="2"/>
          </w:tcPr>
          <w:p>
            <w:pPr>
              <w:spacing w:after="0"/>
              <w:rPr>
                <w:sz w:val="18"/>
                <w:szCs w:val="18"/>
                <w:color w:val="auto"/>
              </w:rPr>
            </w:pPr>
          </w:p>
        </w:tc>
        <w:tc>
          <w:tcPr>
            <w:tcW w:w="102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6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70"/>
              </w:rPr>
              <w:t>^</w:t>
            </w:r>
          </w:p>
        </w:tc>
        <w:tc>
          <w:tcPr>
            <w:tcW w:w="1024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92"/>
              </w:rPr>
              <w:t>Certain portions have been omitted pursuant to a confidential treatment request. Omitted information has been filed separately with</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40" w:type="dxa"/>
            <w:vAlign w:val="bottom"/>
          </w:tcPr>
          <w:p>
            <w:pPr>
              <w:ind w:left="540"/>
              <w:spacing w:after="0"/>
              <w:rPr>
                <w:sz w:val="20"/>
                <w:szCs w:val="20"/>
                <w:color w:val="auto"/>
              </w:rPr>
            </w:pPr>
            <w:r>
              <w:rPr>
                <w:rFonts w:ascii="Arial" w:cs="Arial" w:eastAsia="Arial" w:hAnsi="Arial"/>
                <w:sz w:val="18"/>
                <w:szCs w:val="18"/>
                <w:color w:val="auto"/>
              </w:rPr>
              <w:t>the SEC.</w:t>
            </w:r>
          </w:p>
        </w:tc>
      </w:tr>
      <w:tr>
        <w:trPr>
          <w:trHeight w:val="230"/>
        </w:trPr>
        <w:tc>
          <w:tcPr>
            <w:tcW w:w="118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10240" w:type="dxa"/>
            <w:vAlign w:val="bottom"/>
          </w:tcPr>
          <w:p>
            <w:pPr>
              <w:ind w:left="540"/>
              <w:spacing w:after="0"/>
              <w:rPr>
                <w:sz w:val="20"/>
                <w:szCs w:val="20"/>
                <w:color w:val="auto"/>
              </w:rPr>
            </w:pPr>
            <w:r>
              <w:rPr>
                <w:rFonts w:ascii="Arial" w:cs="Arial" w:eastAsia="Arial" w:hAnsi="Arial"/>
                <w:sz w:val="18"/>
                <w:szCs w:val="18"/>
                <w:color w:val="auto"/>
              </w:rPr>
              <w:t>Filed herewith</w:t>
            </w:r>
          </w:p>
        </w:tc>
      </w:tr>
      <w:tr>
        <w:trPr>
          <w:trHeight w:val="648"/>
        </w:trPr>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THIS AGREEMENT is made and entered into as of this 2nd day of November, 2011 (the “</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by and between Vringo, Inc., a company organized under the laws of the State of Delaware, with a place of business at 44 West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1414, New York, NY 10001, (hereinafter referred to as “</w:t>
      </w:r>
      <w:r>
        <w:rPr>
          <w:rFonts w:ascii="Arial" w:cs="Arial" w:eastAsia="Arial" w:hAnsi="Arial"/>
          <w:sz w:val="18"/>
          <w:szCs w:val="18"/>
          <w:b w:val="1"/>
          <w:bCs w:val="1"/>
          <w:u w:val="single" w:color="auto"/>
          <w:color w:val="auto"/>
        </w:rPr>
        <w:t>Owner</w:t>
      </w:r>
      <w:r>
        <w:rPr>
          <w:rFonts w:ascii="Arial" w:cs="Arial" w:eastAsia="Arial" w:hAnsi="Arial"/>
          <w:sz w:val="18"/>
          <w:szCs w:val="18"/>
          <w:color w:val="auto"/>
        </w:rPr>
        <w:t>”) and ZTE Corporation, a company organized under the laws of P.R. China, with a place of business at Building J,889 Bibo Rd., Zhangjiang Hi-Tech Park, Pudong, Shanghai, P.R. China (hereinafter referred to as “</w:t>
      </w:r>
      <w:r>
        <w:rPr>
          <w:rFonts w:ascii="Arial" w:cs="Arial" w:eastAsia="Arial" w:hAnsi="Arial"/>
          <w:sz w:val="18"/>
          <w:szCs w:val="18"/>
          <w:b w:val="1"/>
          <w:bCs w:val="1"/>
          <w:u w:val="single" w:color="auto"/>
          <w:color w:val="auto"/>
        </w:rPr>
        <w:t>Licensee</w:t>
      </w:r>
      <w:r>
        <w:rPr>
          <w:rFonts w:ascii="Arial" w:cs="Arial" w:eastAsia="Arial" w:hAnsi="Arial"/>
          <w:sz w:val="18"/>
          <w:szCs w:val="18"/>
          <w:color w:val="auto"/>
        </w:rPr>
        <w:t>”).</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consideration of the mutual covenants and agreements contained herein and for other good and valuable consideration, the receipt and sufficiency of which are hereby acknowledged, and intending to be legally bound, the parties hereby agree as follows:</w:t>
      </w:r>
    </w:p>
    <w:p>
      <w:pPr>
        <w:spacing w:after="0" w:line="166" w:lineRule="exact"/>
        <w:rPr>
          <w:sz w:val="20"/>
          <w:szCs w:val="20"/>
          <w:color w:val="auto"/>
        </w:rPr>
      </w:pPr>
    </w:p>
    <w:p>
      <w:pPr>
        <w:jc w:val="both"/>
        <w:ind w:left="660" w:hanging="652"/>
        <w:spacing w:after="0" w:line="25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NON-EXCLUSIVE LICENSE. </w:t>
      </w:r>
      <w:r>
        <w:rPr>
          <w:rFonts w:ascii="Arial" w:cs="Arial" w:eastAsia="Arial" w:hAnsi="Arial"/>
          <w:sz w:val="18"/>
          <w:szCs w:val="18"/>
          <w:color w:val="auto"/>
        </w:rPr>
        <w:t>Owner hereby grants to Licensee and its Affiliate, during the Term and pursuant to the terms and conditions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 non-exclusive, non-transferable, worldwide license to copy and embed a generic “Premium” version of Owner’s Facetones mobile application product (the “</w:t>
      </w:r>
      <w:r>
        <w:rPr>
          <w:rFonts w:ascii="Arial" w:cs="Arial" w:eastAsia="Arial" w:hAnsi="Arial"/>
          <w:sz w:val="18"/>
          <w:szCs w:val="18"/>
          <w:b w:val="1"/>
          <w:bCs w:val="1"/>
          <w:u w:val="single" w:color="auto"/>
          <w:color w:val="auto"/>
        </w:rPr>
        <w:t>Application</w:t>
      </w:r>
      <w:r>
        <w:rPr>
          <w:rFonts w:ascii="Arial" w:cs="Arial" w:eastAsia="Arial" w:hAnsi="Arial"/>
          <w:sz w:val="18"/>
          <w:szCs w:val="18"/>
          <w:color w:val="auto"/>
        </w:rPr>
        <w:t xml:space="preserve">”) in Licensee’s Android mobile handsets, and Licensee agrees, during the Term and pursuant to the terms and conditions of this Agreement, at a minimum, to embed the Application on at least </w:t>
      </w:r>
      <w:r>
        <w:rPr>
          <w:rFonts w:ascii="Arial" w:cs="Arial" w:eastAsia="Arial" w:hAnsi="Arial"/>
          <w:sz w:val="18"/>
          <w:szCs w:val="18"/>
          <w:b w:val="1"/>
          <w:bCs w:val="1"/>
          <w:color w:val="auto"/>
        </w:rPr>
        <w:t>[***]</w:t>
      </w:r>
      <w:r>
        <w:rPr>
          <w:rFonts w:ascii="Arial" w:cs="Arial" w:eastAsia="Arial" w:hAnsi="Arial"/>
          <w:sz w:val="18"/>
          <w:szCs w:val="18"/>
          <w:color w:val="auto"/>
        </w:rPr>
        <w:t xml:space="preserve"> of its Android handsets. “</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shall mean any entity which, directly or indirectly, Controls, is Controlled by, or is under common Control with Licensee. As used herein, “</w:t>
      </w:r>
      <w:r>
        <w:rPr>
          <w:rFonts w:ascii="Arial" w:cs="Arial" w:eastAsia="Arial" w:hAnsi="Arial"/>
          <w:sz w:val="18"/>
          <w:szCs w:val="18"/>
          <w:b w:val="1"/>
          <w:bCs w:val="1"/>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and policies of an entity through direct ownership of more than 50% of the voting securities of any such entity. Since Licensee’s Affiliates are not contractual parties to this Agreement, Licensee shall be fully responsible for any breach of the terms and conditions of this Agreement by its Affiliates as if such Affiliates executed this Agreement directly with Owner.</w:t>
      </w:r>
    </w:p>
    <w:p>
      <w:pPr>
        <w:spacing w:after="0" w:line="189" w:lineRule="exact"/>
        <w:rPr>
          <w:rFonts w:ascii="Arial" w:cs="Arial" w:eastAsia="Arial" w:hAnsi="Arial"/>
          <w:sz w:val="18"/>
          <w:szCs w:val="18"/>
          <w:color w:val="auto"/>
        </w:rPr>
      </w:pPr>
    </w:p>
    <w:p>
      <w:pPr>
        <w:jc w:val="both"/>
        <w:ind w:left="660" w:hanging="652"/>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The initial term of this Agreement shall be for a three (3) year period beginning on the Effective Date hereof (the “</w:t>
      </w:r>
      <w:r>
        <w:rPr>
          <w:rFonts w:ascii="Arial" w:cs="Arial" w:eastAsia="Arial" w:hAnsi="Arial"/>
          <w:sz w:val="18"/>
          <w:szCs w:val="18"/>
          <w:b w:val="1"/>
          <w:bCs w:val="1"/>
          <w:u w:val="single" w:color="auto"/>
          <w:color w:val="auto"/>
        </w:rPr>
        <w:t>Initial Term</w:t>
      </w:r>
      <w:r>
        <w:rPr>
          <w:rFonts w:ascii="Arial" w:cs="Arial" w:eastAsia="Arial" w:hAnsi="Arial"/>
          <w:sz w:val="18"/>
          <w:szCs w:val="18"/>
          <w:color w:val="auto"/>
        </w:rPr>
        <w:t>”)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renew for successive one (1) year terms (each a “</w:t>
      </w:r>
      <w:r>
        <w:rPr>
          <w:rFonts w:ascii="Arial" w:cs="Arial" w:eastAsia="Arial" w:hAnsi="Arial"/>
          <w:sz w:val="18"/>
          <w:szCs w:val="18"/>
          <w:b w:val="1"/>
          <w:bCs w:val="1"/>
          <w:u w:val="single" w:color="auto"/>
          <w:color w:val="auto"/>
        </w:rPr>
        <w:t>Renewal Term</w:t>
      </w:r>
      <w:r>
        <w:rPr>
          <w:rFonts w:ascii="Arial" w:cs="Arial" w:eastAsia="Arial" w:hAnsi="Arial"/>
          <w:sz w:val="18"/>
          <w:szCs w:val="18"/>
          <w:color w:val="auto"/>
        </w:rPr>
        <w:t>”, and the Initial Term together with all Renewal Terms collectively referred to herein as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until terminated by either party at any time after the Initial Term by providing the other party with not less than sixty (60) days prior written notice.</w:t>
      </w:r>
    </w:p>
    <w:p>
      <w:pPr>
        <w:spacing w:after="0" w:line="180" w:lineRule="exact"/>
        <w:rPr>
          <w:rFonts w:ascii="Arial" w:cs="Arial" w:eastAsia="Arial" w:hAnsi="Arial"/>
          <w:sz w:val="18"/>
          <w:szCs w:val="18"/>
          <w:color w:val="auto"/>
        </w:rPr>
      </w:pPr>
    </w:p>
    <w:p>
      <w:pPr>
        <w:ind w:left="660" w:right="20" w:hanging="652"/>
        <w:spacing w:after="0" w:line="28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ADVANCE. </w:t>
      </w:r>
      <w:r>
        <w:rPr>
          <w:rFonts w:ascii="Arial" w:cs="Arial" w:eastAsia="Arial" w:hAnsi="Arial"/>
          <w:sz w:val="18"/>
          <w:szCs w:val="18"/>
          <w:color w:val="auto"/>
        </w:rPr>
        <w:t>Licensee agrees to pay Owner a non-recoupable, non-refundable up-front prepayment of USD</w:t>
      </w:r>
      <w:r>
        <w:rPr>
          <w:rFonts w:ascii="Arial" w:cs="Arial" w:eastAsia="Arial" w:hAnsi="Arial"/>
          <w:sz w:val="18"/>
          <w:szCs w:val="18"/>
          <w:b w:val="1"/>
          <w:bCs w:val="1"/>
          <w:color w:val="auto"/>
        </w:rPr>
        <w:t xml:space="preserve"> [***] </w:t>
      </w:r>
      <w:r>
        <w:rPr>
          <w:rFonts w:ascii="Arial" w:cs="Arial" w:eastAsia="Arial" w:hAnsi="Arial"/>
          <w:sz w:val="18"/>
          <w:szCs w:val="18"/>
          <w:color w:val="auto"/>
        </w:rPr>
        <w:t>(the “</w:t>
      </w:r>
      <w:r>
        <w:rPr>
          <w:rFonts w:ascii="Arial" w:cs="Arial" w:eastAsia="Arial" w:hAnsi="Arial"/>
          <w:sz w:val="18"/>
          <w:szCs w:val="18"/>
          <w:b w:val="1"/>
          <w:bCs w:val="1"/>
          <w:u w:val="single" w:color="auto"/>
          <w:color w:val="auto"/>
        </w:rPr>
        <w:t>Advance</w:t>
      </w:r>
      <w:r>
        <w:rPr>
          <w:rFonts w:ascii="Arial" w:cs="Arial" w:eastAsia="Arial" w:hAnsi="Arial"/>
          <w:sz w:val="18"/>
          <w:szCs w:val="18"/>
          <w:color w:val="auto"/>
        </w:rPr>
        <w:t>”), due and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full upon Licensee’s shipment of the first </w:t>
      </w:r>
      <w:r>
        <w:rPr>
          <w:rFonts w:ascii="Arial" w:cs="Arial" w:eastAsia="Arial" w:hAnsi="Arial"/>
          <w:sz w:val="18"/>
          <w:szCs w:val="18"/>
          <w:b w:val="1"/>
          <w:bCs w:val="1"/>
          <w:color w:val="auto"/>
        </w:rPr>
        <w:t>[***]</w:t>
      </w:r>
      <w:r>
        <w:rPr>
          <w:rFonts w:ascii="Arial" w:cs="Arial" w:eastAsia="Arial" w:hAnsi="Arial"/>
          <w:sz w:val="18"/>
          <w:szCs w:val="18"/>
          <w:color w:val="auto"/>
        </w:rPr>
        <w:t xml:space="preserve"> Android devices preloaded with the Application.</w:t>
      </w:r>
    </w:p>
    <w:p>
      <w:pPr>
        <w:spacing w:after="0" w:line="161"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ROYALTY PAYMENTS. </w:t>
      </w:r>
      <w:r>
        <w:rPr>
          <w:rFonts w:ascii="Arial" w:cs="Arial" w:eastAsia="Arial" w:hAnsi="Arial"/>
          <w:sz w:val="18"/>
          <w:szCs w:val="18"/>
          <w:color w:val="auto"/>
        </w:rPr>
        <w:t>In addition to the Advance payment, Licensee agrees to pay Owner royalty payments (“</w:t>
      </w:r>
      <w:r>
        <w:rPr>
          <w:rFonts w:ascii="Arial" w:cs="Arial" w:eastAsia="Arial" w:hAnsi="Arial"/>
          <w:sz w:val="18"/>
          <w:szCs w:val="18"/>
          <w:b w:val="1"/>
          <w:bCs w:val="1"/>
          <w:u w:val="single" w:color="auto"/>
          <w:color w:val="auto"/>
        </w:rPr>
        <w:t>Royalty Payments</w:t>
      </w:r>
      <w:r>
        <w:rPr>
          <w:rFonts w:ascii="Arial" w:cs="Arial" w:eastAsia="Arial" w:hAnsi="Arial"/>
          <w:sz w:val="18"/>
          <w:szCs w:val="18"/>
          <w:color w:val="auto"/>
        </w:rPr>
        <w:t>”)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pre-installed devices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Pricing For Premium Generic Version Of The Application</w:t>
      </w:r>
    </w:p>
    <w:p>
      <w:pPr>
        <w:spacing w:after="0" w:line="23" w:lineRule="exact"/>
        <w:rPr>
          <w:sz w:val="20"/>
          <w:szCs w:val="20"/>
          <w:color w:val="auto"/>
        </w:rPr>
      </w:pPr>
    </w:p>
    <w:p>
      <w:pPr>
        <w:ind w:left="1620" w:hanging="64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USD$</w:t>
      </w:r>
      <w:r>
        <w:rPr>
          <w:rFonts w:ascii="Arial" w:cs="Arial" w:eastAsia="Arial" w:hAnsi="Arial"/>
          <w:sz w:val="18"/>
          <w:szCs w:val="18"/>
          <w:b w:val="1"/>
          <w:bCs w:val="1"/>
          <w:color w:val="auto"/>
        </w:rPr>
        <w:t>[***]</w:t>
      </w:r>
      <w:r>
        <w:rPr>
          <w:rFonts w:ascii="Arial" w:cs="Arial" w:eastAsia="Arial" w:hAnsi="Arial"/>
          <w:sz w:val="18"/>
          <w:szCs w:val="18"/>
          <w:color w:val="auto"/>
        </w:rPr>
        <w:t xml:space="preserve"> per pre-installed device for the first </w:t>
      </w:r>
      <w:r>
        <w:rPr>
          <w:rFonts w:ascii="Arial" w:cs="Arial" w:eastAsia="Arial" w:hAnsi="Arial"/>
          <w:sz w:val="18"/>
          <w:szCs w:val="18"/>
          <w:b w:val="1"/>
          <w:bCs w:val="1"/>
          <w:color w:val="auto"/>
        </w:rPr>
        <w:t>[***]</w:t>
      </w:r>
      <w:r>
        <w:rPr>
          <w:rFonts w:ascii="Arial" w:cs="Arial" w:eastAsia="Arial" w:hAnsi="Arial"/>
          <w:sz w:val="18"/>
          <w:szCs w:val="18"/>
          <w:color w:val="auto"/>
        </w:rPr>
        <w:t xml:space="preserve"> devices;</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USD$</w:t>
      </w:r>
      <w:r>
        <w:rPr>
          <w:rFonts w:ascii="Arial" w:cs="Arial" w:eastAsia="Arial" w:hAnsi="Arial"/>
          <w:sz w:val="18"/>
          <w:szCs w:val="18"/>
          <w:b w:val="1"/>
          <w:bCs w:val="1"/>
          <w:color w:val="auto"/>
        </w:rPr>
        <w:t>[***]</w:t>
      </w:r>
      <w:r>
        <w:rPr>
          <w:rFonts w:ascii="Arial" w:cs="Arial" w:eastAsia="Arial" w:hAnsi="Arial"/>
          <w:sz w:val="18"/>
          <w:szCs w:val="18"/>
          <w:color w:val="auto"/>
        </w:rPr>
        <w:t xml:space="preserve"> per pre-installed device for the next </w:t>
      </w:r>
      <w:r>
        <w:rPr>
          <w:rFonts w:ascii="Arial" w:cs="Arial" w:eastAsia="Arial" w:hAnsi="Arial"/>
          <w:sz w:val="18"/>
          <w:szCs w:val="18"/>
          <w:b w:val="1"/>
          <w:bCs w:val="1"/>
          <w:color w:val="auto"/>
        </w:rPr>
        <w:t>[***]</w:t>
      </w:r>
      <w:r>
        <w:rPr>
          <w:rFonts w:ascii="Arial" w:cs="Arial" w:eastAsia="Arial" w:hAnsi="Arial"/>
          <w:sz w:val="18"/>
          <w:szCs w:val="18"/>
          <w:color w:val="auto"/>
        </w:rPr>
        <w:t xml:space="preserve"> devices; and</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USD$</w:t>
      </w:r>
      <w:r>
        <w:rPr>
          <w:rFonts w:ascii="Arial" w:cs="Arial" w:eastAsia="Arial" w:hAnsi="Arial"/>
          <w:sz w:val="18"/>
          <w:szCs w:val="18"/>
          <w:b w:val="1"/>
          <w:bCs w:val="1"/>
          <w:color w:val="auto"/>
        </w:rPr>
        <w:t>[***]</w:t>
      </w:r>
      <w:r>
        <w:rPr>
          <w:rFonts w:ascii="Arial" w:cs="Arial" w:eastAsia="Arial" w:hAnsi="Arial"/>
          <w:sz w:val="18"/>
          <w:szCs w:val="18"/>
          <w:color w:val="auto"/>
        </w:rPr>
        <w:t xml:space="preserve"> per pre-installed device for any installation over </w:t>
      </w:r>
      <w:r>
        <w:rPr>
          <w:rFonts w:ascii="Arial" w:cs="Arial" w:eastAsia="Arial" w:hAnsi="Arial"/>
          <w:sz w:val="18"/>
          <w:szCs w:val="18"/>
          <w:b w:val="1"/>
          <w:bCs w:val="1"/>
          <w:color w:val="auto"/>
        </w:rPr>
        <w:t>[***]</w:t>
      </w:r>
      <w:r>
        <w:rPr>
          <w:rFonts w:ascii="Arial" w:cs="Arial" w:eastAsia="Arial" w:hAnsi="Arial"/>
          <w:sz w:val="18"/>
          <w:szCs w:val="18"/>
          <w:color w:val="auto"/>
        </w:rPr>
        <w:t xml:space="preserve"> devices in calendar years 2012 and 2013.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shall negotiate in good faith regarding Royalty Payments after calendar year 2013.</w:t>
      </w:r>
    </w:p>
    <w:p>
      <w:pPr>
        <w:spacing w:after="0" w:line="221" w:lineRule="exact"/>
        <w:rPr>
          <w:sz w:val="20"/>
          <w:szCs w:val="20"/>
          <w:color w:val="auto"/>
        </w:rPr>
      </w:pPr>
    </w:p>
    <w:p>
      <w:pPr>
        <w:jc w:val="both"/>
        <w:ind w:left="660" w:hanging="652"/>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ROYALTY REPORTS. </w:t>
      </w:r>
      <w:r>
        <w:rPr>
          <w:rFonts w:ascii="Arial" w:cs="Arial" w:eastAsia="Arial" w:hAnsi="Arial"/>
          <w:sz w:val="18"/>
          <w:szCs w:val="18"/>
          <w:color w:val="auto"/>
        </w:rPr>
        <w:t>All Royalty Reports shall be in a form and format reasonably approved by Owner (the “</w:t>
      </w:r>
      <w:r>
        <w:rPr>
          <w:rFonts w:ascii="Arial" w:cs="Arial" w:eastAsia="Arial" w:hAnsi="Arial"/>
          <w:sz w:val="18"/>
          <w:szCs w:val="18"/>
          <w:b w:val="1"/>
          <w:bCs w:val="1"/>
          <w:u w:val="single" w:color="auto"/>
          <w:color w:val="auto"/>
        </w:rPr>
        <w:t>Royalty Reports</w:t>
      </w:r>
      <w:r>
        <w:rPr>
          <w:rFonts w:ascii="Arial" w:cs="Arial" w:eastAsia="Arial" w:hAnsi="Arial"/>
          <w:sz w:val="18"/>
          <w:szCs w:val="18"/>
          <w:color w:val="auto"/>
        </w:rPr>
        <w:t>”). Within thirty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(30) days from the end of each calendar month, Licensee shall furnish Royalty Reports and make corresponding Royalty Payments to Owner in U.S. Dollars pursuant to Section 4 at Licensee's sole expense. All Royalty Reports shall be sent electronically to Owner at the following email address: </w:t>
      </w:r>
      <w:r>
        <w:rPr>
          <w:rFonts w:ascii="Arial" w:cs="Arial" w:eastAsia="Arial" w:hAnsi="Arial"/>
          <w:sz w:val="18"/>
          <w:szCs w:val="18"/>
          <w:u w:val="single" w:color="auto"/>
          <w:color w:val="auto"/>
        </w:rPr>
        <w:t>josh.wolff@vringo.com</w:t>
      </w:r>
      <w:r>
        <w:rPr>
          <w:rFonts w:ascii="Arial" w:cs="Arial" w:eastAsia="Arial" w:hAnsi="Arial"/>
          <w:sz w:val="18"/>
          <w:szCs w:val="18"/>
          <w:color w:val="auto"/>
        </w:rPr>
        <w:t>. Royalty Reports shall be furnished whether or not any devices have been pre-installed with the Application during the relevant calendar month</w:t>
      </w:r>
    </w:p>
    <w:p>
      <w:pPr>
        <w:spacing w:after="0" w:line="183" w:lineRule="exact"/>
        <w:rPr>
          <w:rFonts w:ascii="Arial" w:cs="Arial" w:eastAsia="Arial" w:hAnsi="Arial"/>
          <w:sz w:val="18"/>
          <w:szCs w:val="18"/>
          <w:color w:val="auto"/>
        </w:rPr>
      </w:pPr>
    </w:p>
    <w:p>
      <w:pPr>
        <w:ind w:left="660" w:right="20" w:hanging="652"/>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METHOD OF PAYMENTS. </w:t>
      </w:r>
      <w:r>
        <w:rPr>
          <w:rFonts w:ascii="Arial" w:cs="Arial" w:eastAsia="Arial" w:hAnsi="Arial"/>
          <w:sz w:val="18"/>
          <w:szCs w:val="18"/>
          <w:color w:val="auto"/>
        </w:rPr>
        <w:t>The Advance, all Royalty Payments, other payments and any applicable interest shall be made payable to Owner</w:t>
      </w:r>
      <w:r>
        <w:rPr>
          <w:rFonts w:ascii="Arial" w:cs="Arial" w:eastAsia="Arial" w:hAnsi="Arial"/>
          <w:sz w:val="18"/>
          <w:szCs w:val="18"/>
          <w:b w:val="1"/>
          <w:bCs w:val="1"/>
          <w:color w:val="auto"/>
        </w:rPr>
        <w:t xml:space="preserve"> </w:t>
      </w:r>
      <w:r>
        <w:rPr>
          <w:rFonts w:ascii="Arial" w:cs="Arial" w:eastAsia="Arial" w:hAnsi="Arial"/>
          <w:sz w:val="18"/>
          <w:szCs w:val="18"/>
          <w:color w:val="auto"/>
        </w:rPr>
        <w:t>utilizing electronic bank transfer paid to:</w:t>
      </w:r>
    </w:p>
    <w:p>
      <w:pPr>
        <w:ind w:left="1960" w:right="6680"/>
        <w:spacing w:after="0" w:line="265" w:lineRule="auto"/>
        <w:rPr>
          <w:rFonts w:ascii="Arial" w:cs="Arial" w:eastAsia="Arial" w:hAnsi="Arial"/>
          <w:sz w:val="18"/>
          <w:szCs w:val="18"/>
          <w:color w:val="auto"/>
        </w:rPr>
      </w:pPr>
      <w:r>
        <w:rPr>
          <w:rFonts w:ascii="Arial" w:cs="Arial" w:eastAsia="Arial" w:hAnsi="Arial"/>
          <w:sz w:val="17"/>
          <w:szCs w:val="17"/>
          <w:color w:val="auto"/>
        </w:rPr>
        <w:t>FC - SILICON VALLEY BANK 3003 TASMAN DRIVE SANTA CLARA, CA 95054, USA ROUTING &amp; TRANSIT #:121140399</w:t>
      </w:r>
    </w:p>
    <w:p>
      <w:pPr>
        <w:ind w:left="1960"/>
        <w:spacing w:after="0"/>
        <w:rPr>
          <w:rFonts w:ascii="Arial" w:cs="Arial" w:eastAsia="Arial" w:hAnsi="Arial"/>
          <w:sz w:val="18"/>
          <w:szCs w:val="18"/>
          <w:color w:val="auto"/>
        </w:rPr>
      </w:pPr>
      <w:r>
        <w:rPr>
          <w:rFonts w:ascii="Arial" w:cs="Arial" w:eastAsia="Arial" w:hAnsi="Arial"/>
          <w:sz w:val="18"/>
          <w:szCs w:val="18"/>
          <w:color w:val="auto"/>
        </w:rPr>
        <w:t>SWIFT CODE: SVBKUS6S</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FOR CREDIT OF: Vringo, Inc.</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FINAL CREDIT ACCOUNT #: 3300532133</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BY ORDER OF: (Name of Sender)</w:t>
      </w:r>
    </w:p>
    <w:p>
      <w:pPr>
        <w:spacing w:after="0" w:line="210"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Wire transfer fees as well as all other bank fees related to any payments required to be made by Licensee under this Agreement shall be the sole expense of Licensee, so that Owner shall receive the full amount of all payments without reduction.</w:t>
      </w:r>
    </w:p>
    <w:p>
      <w:pPr>
        <w:spacing w:after="0" w:line="170"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Written confirmation of each electronic transfer and all Royalty Reports and any other reports of payments as required by this Agreement shall be certified as accurate by Licensee's authorized officer, and shall be sent to Owner electronically on or before the due date.</w:t>
      </w:r>
    </w:p>
    <w:p>
      <w:pPr>
        <w:spacing w:after="0" w:line="146"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Any past due amount by Licensee shall bear interest at the lesser of: (i) 1.5% per month or (ii) the highest rate allowed by law; which in either case is applicable from the due date until the date of payment.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207" w:lineRule="exact"/>
        <w:rPr>
          <w:sz w:val="20"/>
          <w:szCs w:val="20"/>
          <w:color w:val="auto"/>
        </w:rPr>
      </w:pPr>
    </w:p>
    <w:p>
      <w:pPr>
        <w:jc w:val="both"/>
        <w:ind w:left="660" w:hanging="652"/>
        <w:spacing w:after="0" w:line="269"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TAXES AND DUTIES. </w:t>
      </w:r>
      <w:r>
        <w:rPr>
          <w:rFonts w:ascii="Arial" w:cs="Arial" w:eastAsia="Arial" w:hAnsi="Arial"/>
          <w:sz w:val="17"/>
          <w:szCs w:val="17"/>
          <w:color w:val="auto"/>
        </w:rPr>
        <w:t>All taxes and duties in connection with this Agreement levied by P.R. China on Licensee shall be borne by Licensee. All</w:t>
      </w:r>
      <w:r>
        <w:rPr>
          <w:rFonts w:ascii="Arial" w:cs="Arial" w:eastAsia="Arial" w:hAnsi="Arial"/>
          <w:sz w:val="17"/>
          <w:szCs w:val="17"/>
          <w:b w:val="1"/>
          <w:bCs w:val="1"/>
          <w:color w:val="auto"/>
        </w:rPr>
        <w:t xml:space="preserve"> </w:t>
      </w:r>
      <w:r>
        <w:rPr>
          <w:rFonts w:ascii="Arial" w:cs="Arial" w:eastAsia="Arial" w:hAnsi="Arial"/>
          <w:sz w:val="17"/>
          <w:szCs w:val="17"/>
          <w:color w:val="auto"/>
        </w:rPr>
        <w:t>taxes and duties levied by P.R. China on Owner, in connection with this Agreement, according to the income tax laws of P.R. China and the agreement between P.R. China and the USA for the reciprocal avoidance of double taxation and the prevention of fiscal evasion with respect to taxes on income shall be borne by Owner. Licensee is legally obligated to withhold as a withholding agent, the amount of taxes pro-rated to each taxable payment under this Agreement and pay them to the relevant tax authorities of P.R. China. After receiving the tax receipts issued by the relevant tax authorities of P.R. China for the aforesaid withholding taxes, Licensee shall forward and pay them to Owner without delay. All taxes and duties arising outside P.R. China in connection with this Agreement shall be borne by Owner. Any tax levied by a tax jurisdiction outside China shall be borne by Owner. Licensee shall submit to Owner originals of the remittance vouchers and the official receipts evidencing the payment of all taxes. Licensee shall fully cooperate with Owner and provide such documents, information and records as Owner may require in connection with any application by Owner to a relevant tax authority including, without limitation, qualifying Owner for the minimum amount of withholding tax allowable under applicable tax treaties, and the obtaining of a credit for any withholding tax paid in any country from which Royalty Payments and any other payments are being made by Licensee to Owner pursuant to this Agreement.</w:t>
      </w:r>
    </w:p>
    <w:p>
      <w:pPr>
        <w:spacing w:after="0" w:line="179" w:lineRule="exact"/>
        <w:rPr>
          <w:rFonts w:ascii="Arial" w:cs="Arial" w:eastAsia="Arial" w:hAnsi="Arial"/>
          <w:sz w:val="17"/>
          <w:szCs w:val="17"/>
          <w:color w:val="auto"/>
        </w:rPr>
      </w:pPr>
    </w:p>
    <w:p>
      <w:pPr>
        <w:jc w:val="both"/>
        <w:ind w:left="660" w:hanging="652"/>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Except as otherwise expressly provided herein, all acts, duties, obligations and responsibilities of Licensee under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at Licensee’s sole cost and expense. No costs of any kind, paid or incurred, directly or indirectly, by Licensee or any person or entity associated with Licensee, or any other activities of Licensee hereunder, shall be recouped, deducted or otherwise charged to Owner or against any amounts owed to Owner under this Agreement.</w:t>
      </w:r>
    </w:p>
    <w:p>
      <w:pPr>
        <w:spacing w:after="0" w:line="180" w:lineRule="exact"/>
        <w:rPr>
          <w:rFonts w:ascii="Arial" w:cs="Arial" w:eastAsia="Arial" w:hAnsi="Arial"/>
          <w:sz w:val="18"/>
          <w:szCs w:val="18"/>
          <w:color w:val="auto"/>
        </w:rPr>
      </w:pPr>
    </w:p>
    <w:p>
      <w:pPr>
        <w:jc w:val="both"/>
        <w:ind w:left="660" w:hanging="652"/>
        <w:spacing w:after="0" w:line="274"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RECORDS. </w:t>
      </w:r>
      <w:r>
        <w:rPr>
          <w:rFonts w:ascii="Arial" w:cs="Arial" w:eastAsia="Arial" w:hAnsi="Arial"/>
          <w:sz w:val="17"/>
          <w:szCs w:val="17"/>
          <w:color w:val="auto"/>
        </w:rPr>
        <w:t>During the Term of this Agreement and for at least three (3) years thereafter, Licensee shall keep in its possession or under its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accurate records covering all transactions. Such records shall substantiate and support the Royalty Reports submitted to Owner and shall be accurate enough that Owner can re-perform royalty calculations using reasonable and customary accounting procedures to reconcile and confirm the accuracy of all such reports. Records shall include, but not be limited to, correspondence, inventory records, manufacturing records, quality control and approvals, invoices and credit memos, financial information and general ledgers. Records shall be provided in electronic format (CSV, Excel, Access or tabular text format) such that text included in the records is searchable.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207" w:lineRule="exact"/>
        <w:rPr>
          <w:sz w:val="20"/>
          <w:szCs w:val="20"/>
          <w:color w:val="auto"/>
        </w:rPr>
      </w:pPr>
    </w:p>
    <w:p>
      <w:pPr>
        <w:jc w:val="both"/>
        <w:ind w:left="660" w:hanging="652"/>
        <w:spacing w:after="0" w:line="289"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AUDIT. </w:t>
      </w:r>
      <w:r>
        <w:rPr>
          <w:rFonts w:ascii="Arial" w:cs="Arial" w:eastAsia="Arial" w:hAnsi="Arial"/>
          <w:sz w:val="16"/>
          <w:szCs w:val="16"/>
          <w:color w:val="auto"/>
        </w:rPr>
        <w:t>Owner shall have the right to conduct an audit of Licensee not more than once in any twenty-four (24) month period, at Owner’s cost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and make copies of all records listed in Section 9, and to make a physical inventory count of devices pre-installed with the Application in production and/or storage during the Term or following the conclusion of the Term. If the audit reveals an underpayment of Royalty Payments or reveals that devices pre-installed with the Application are not accounted for, Licensee agrees to immediately pay Owner any past due Royalty Payments plus applicable interest. If the audit reveals a royalty underpayment of three percent (3%) or more, Licensee agrees to reimburse Owner for all of its out-of-pocket costs and expenses of the audit for the audited period (in addition to past due Royalty Payments plus applicable interest). Audit information shall only be used for purposes of this Agreement, unless used to judicially enforce obligations of Licensee. The exercise by Owner, in whole or in part, or at any time or times, of the right to inspect or audit records and accounts or of any other right herein granted, or the acceptance by Owner of any Royalty Report, or the receipt or deposit by Owner of any Royalty Payment from Licensee, shall be without prejudice to any other rights or remedies of Owner and shall not stop or prevent Owner from thereafter disputing the accuracy of any such Royalty Report.</w:t>
      </w:r>
    </w:p>
    <w:p>
      <w:pPr>
        <w:spacing w:after="0" w:line="161" w:lineRule="exact"/>
        <w:rPr>
          <w:rFonts w:ascii="Arial" w:cs="Arial" w:eastAsia="Arial" w:hAnsi="Arial"/>
          <w:sz w:val="16"/>
          <w:szCs w:val="16"/>
          <w:color w:val="auto"/>
        </w:rPr>
      </w:pPr>
    </w:p>
    <w:p>
      <w:pPr>
        <w:jc w:val="both"/>
        <w:ind w:left="660" w:hanging="652"/>
        <w:spacing w:after="0" w:line="295"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TITLE. </w:t>
      </w:r>
      <w:r>
        <w:rPr>
          <w:rFonts w:ascii="Arial" w:cs="Arial" w:eastAsia="Arial" w:hAnsi="Arial"/>
          <w:sz w:val="16"/>
          <w:szCs w:val="16"/>
          <w:color w:val="auto"/>
        </w:rPr>
        <w:t>Licensee acknowledges that the Application (i) is protected by copyright and trade secret rights, (ii) is and shall remain the sole property of</w:t>
      </w:r>
      <w:r>
        <w:rPr>
          <w:rFonts w:ascii="Arial" w:cs="Arial" w:eastAsia="Arial" w:hAnsi="Arial"/>
          <w:sz w:val="16"/>
          <w:szCs w:val="16"/>
          <w:b w:val="1"/>
          <w:bCs w:val="1"/>
          <w:color w:val="auto"/>
        </w:rPr>
        <w:t xml:space="preserve"> </w:t>
      </w:r>
      <w:r>
        <w:rPr>
          <w:rFonts w:ascii="Arial" w:cs="Arial" w:eastAsia="Arial" w:hAnsi="Arial"/>
          <w:sz w:val="16"/>
          <w:szCs w:val="16"/>
          <w:color w:val="auto"/>
        </w:rPr>
        <w:t>Owner and (iii) title and full Ownership rights in the Application are reserved to and shall remain with Owner. Licensee acknowledges Owner’s ownership of the Application, and that all rights therein (including trademark and copyright) and good will attached thereto, belongs exclusively to Owner. Licensee shall not challenge, attack or put in issue the title or any rights of Owner in and to the Application. Licensee covenants that it will never take any action which it knows or has reason to know would threaten to injure the image or reputation of Owner or the Application. Licensee represents and warrants that it shall reproduce all relevant copyright notices on all permitted copies of the Application.</w:t>
      </w:r>
    </w:p>
    <w:p>
      <w:pPr>
        <w:spacing w:after="0" w:line="155" w:lineRule="exact"/>
        <w:rPr>
          <w:rFonts w:ascii="Arial" w:cs="Arial" w:eastAsia="Arial" w:hAnsi="Arial"/>
          <w:sz w:val="16"/>
          <w:szCs w:val="16"/>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RESERVATION OF RIGHTS. </w:t>
      </w:r>
      <w:r>
        <w:rPr>
          <w:rFonts w:ascii="Arial" w:cs="Arial" w:eastAsia="Arial" w:hAnsi="Arial"/>
          <w:sz w:val="18"/>
          <w:szCs w:val="18"/>
          <w:color w:val="auto"/>
        </w:rPr>
        <w:t>Owner explicitly reserves and retains all rights not expressly granted to Licensee herein.</w:t>
      </w:r>
    </w:p>
    <w:p>
      <w:pPr>
        <w:spacing w:after="0" w:line="225" w:lineRule="exact"/>
        <w:rPr>
          <w:rFonts w:ascii="Arial" w:cs="Arial" w:eastAsia="Arial" w:hAnsi="Arial"/>
          <w:sz w:val="18"/>
          <w:szCs w:val="18"/>
          <w:color w:val="auto"/>
        </w:rPr>
      </w:pPr>
    </w:p>
    <w:p>
      <w:pPr>
        <w:ind w:left="660" w:right="20" w:hanging="652"/>
        <w:spacing w:after="0" w:line="28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COMPLIANCE. </w:t>
      </w:r>
      <w:r>
        <w:rPr>
          <w:rFonts w:ascii="Arial" w:cs="Arial" w:eastAsia="Arial" w:hAnsi="Arial"/>
          <w:sz w:val="18"/>
          <w:szCs w:val="18"/>
          <w:color w:val="auto"/>
        </w:rPr>
        <w:t>Licensee’s performance hereunder including, without limitation, embedding of the Application in Licensee’s mobile handsets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shall be conducted in accordance with all applicable laws and regulations.</w:t>
      </w:r>
    </w:p>
    <w:p>
      <w:pPr>
        <w:spacing w:after="0" w:line="161" w:lineRule="exact"/>
        <w:rPr>
          <w:rFonts w:ascii="Arial" w:cs="Arial" w:eastAsia="Arial" w:hAnsi="Arial"/>
          <w:sz w:val="18"/>
          <w:szCs w:val="18"/>
          <w:color w:val="auto"/>
        </w:rPr>
      </w:pPr>
    </w:p>
    <w:p>
      <w:pPr>
        <w:jc w:val="both"/>
        <w:ind w:left="660" w:hanging="652"/>
        <w:spacing w:after="0" w:line="289"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NOTICE OF INFRINGEMENT. </w:t>
      </w:r>
      <w:r>
        <w:rPr>
          <w:rFonts w:ascii="Arial" w:cs="Arial" w:eastAsia="Arial" w:hAnsi="Arial"/>
          <w:sz w:val="17"/>
          <w:szCs w:val="17"/>
          <w:color w:val="auto"/>
        </w:rPr>
        <w:t>Licensee shall notify Owner promptly in writing of any alleged infringements or imitations by others of Owner’s</w:t>
      </w:r>
      <w:r>
        <w:rPr>
          <w:rFonts w:ascii="Arial" w:cs="Arial" w:eastAsia="Arial" w:hAnsi="Arial"/>
          <w:sz w:val="17"/>
          <w:szCs w:val="17"/>
          <w:b w:val="1"/>
          <w:bCs w:val="1"/>
          <w:color w:val="auto"/>
        </w:rPr>
        <w:t xml:space="preserve"> </w:t>
      </w:r>
      <w:r>
        <w:rPr>
          <w:rFonts w:ascii="Arial" w:cs="Arial" w:eastAsia="Arial" w:hAnsi="Arial"/>
          <w:sz w:val="17"/>
          <w:szCs w:val="17"/>
          <w:color w:val="auto"/>
        </w:rPr>
        <w:t>name, intellectual property, or the Application which come to Licensee’s attention. Licensee shall corporate with Owner to determine what, if any, actions shall be taken on account of any such infringements. Owner shall indemnify Licensee according to section 16 hereunder.</w:t>
      </w:r>
    </w:p>
    <w:p>
      <w:pPr>
        <w:spacing w:after="0" w:line="158" w:lineRule="exact"/>
        <w:rPr>
          <w:rFonts w:ascii="Arial" w:cs="Arial" w:eastAsia="Arial" w:hAnsi="Arial"/>
          <w:sz w:val="17"/>
          <w:szCs w:val="17"/>
          <w:color w:val="auto"/>
        </w:rPr>
      </w:pPr>
    </w:p>
    <w:p>
      <w:pPr>
        <w:jc w:val="both"/>
        <w:ind w:left="660" w:hanging="652"/>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UNAUTHORIZED USE. </w:t>
      </w:r>
      <w:r>
        <w:rPr>
          <w:rFonts w:ascii="Arial" w:cs="Arial" w:eastAsia="Arial" w:hAnsi="Arial"/>
          <w:sz w:val="18"/>
          <w:szCs w:val="18"/>
          <w:color w:val="auto"/>
        </w:rPr>
        <w:t>Licensee acknowledges that the Application possesses special, unique, and extraordinary characteristics, which make</w:t>
      </w:r>
      <w:r>
        <w:rPr>
          <w:rFonts w:ascii="Arial" w:cs="Arial" w:eastAsia="Arial" w:hAnsi="Arial"/>
          <w:sz w:val="18"/>
          <w:szCs w:val="18"/>
          <w:b w:val="1"/>
          <w:bCs w:val="1"/>
          <w:color w:val="auto"/>
        </w:rPr>
        <w:t xml:space="preserve"> </w:t>
      </w:r>
      <w:r>
        <w:rPr>
          <w:rFonts w:ascii="Arial" w:cs="Arial" w:eastAsia="Arial" w:hAnsi="Arial"/>
          <w:sz w:val="18"/>
          <w:szCs w:val="18"/>
          <w:color w:val="auto"/>
        </w:rPr>
        <w:t>difficult the assessment of monetary damages that Owner would sustain by Licensee’s unauthorized use. Licensee recognizes that Owner would suffer irreparable injury by such unauthorized use and agrees that injunctive and other equitable relief is appropriate in the event of a breach of this Agreement by Licensee. Such remedy shall not be exclusive of any other remedies available to Owner, nor shall it be deemed an election of remedies by Owner.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207" w:lineRule="exact"/>
        <w:rPr>
          <w:sz w:val="20"/>
          <w:szCs w:val="20"/>
          <w:color w:val="auto"/>
        </w:rPr>
      </w:pPr>
    </w:p>
    <w:p>
      <w:pPr>
        <w:jc w:val="both"/>
        <w:ind w:left="660" w:hanging="652"/>
        <w:spacing w:after="0" w:line="277"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REPRESENTATION AND WARRANTY</w:t>
      </w:r>
      <w:r>
        <w:rPr>
          <w:rFonts w:ascii="Arial" w:cs="Arial" w:eastAsia="Arial" w:hAnsi="Arial"/>
          <w:sz w:val="17"/>
          <w:szCs w:val="17"/>
          <w:color w:val="auto"/>
        </w:rPr>
        <w:t>. Licensee and Owner each represent and warrant to the other party that it has the full power and</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authority to enter into this Agreement, to grant the rights granted herein and to perform its obligations hereunder. THE APPLICATION IS PROVIDED "AS IS." ALL WARRANTIES AND REPRESENTATIONS OF ANY KIND WITH REGARD TO THE APPLICATION ARE HEREBY DISCLAIMED, INCLUDING THE IMPLIED WARRANTIES OF MERCHANTABILITY AND FITNESS FOR A PARTICULAR PURPOSE OR WARRANTIES AS TO ANY RESULTS TO BE OBTAINED BY ANY END-USERS FROM THE USE OF THE APPLICATION.</w:t>
      </w:r>
    </w:p>
    <w:p>
      <w:pPr>
        <w:spacing w:after="0" w:line="168" w:lineRule="exact"/>
        <w:rPr>
          <w:rFonts w:ascii="Arial" w:cs="Arial" w:eastAsia="Arial" w:hAnsi="Arial"/>
          <w:sz w:val="17"/>
          <w:szCs w:val="17"/>
          <w:color w:val="auto"/>
        </w:rPr>
      </w:pPr>
    </w:p>
    <w:p>
      <w:pPr>
        <w:jc w:val="both"/>
        <w:ind w:left="660" w:hanging="652"/>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Licensee and Owner shall each indemnify, defend, and hold the other party harmless against all third-party claims or</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and any liabilities, losses, expenses, damages and costs (including, but not limited to, reasonable attorneys’ fees) related thereto, to the extent same arise out of any breach or alleged breach of Licensee’s or Owner’s, as the case may be, representations, warranties and/or covenants contained in this Agreement. Each indemnified party shall cooperate fully with the indemnifying party in the defense of any claims covered under this Section. Each party claiming a right of indemnification shall give notice to the other party within fifteen (15) days after learning of any claim, but failure to do so in such time period shall only relieve the indemnifying party of its obligations to indemnify to the extent such delay actually prejudices the indemnifying party.</w:t>
      </w:r>
    </w:p>
    <w:p>
      <w:pPr>
        <w:spacing w:after="0" w:line="189" w:lineRule="exact"/>
        <w:rPr>
          <w:rFonts w:ascii="Arial" w:cs="Arial" w:eastAsia="Arial" w:hAnsi="Arial"/>
          <w:sz w:val="18"/>
          <w:szCs w:val="18"/>
          <w:color w:val="auto"/>
        </w:rPr>
      </w:pPr>
    </w:p>
    <w:p>
      <w:pPr>
        <w:jc w:val="both"/>
        <w:ind w:left="660" w:hanging="652"/>
        <w:spacing w:after="0" w:line="270"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LIMITATION OF LIABILITY</w:t>
      </w:r>
      <w:r>
        <w:rPr>
          <w:rFonts w:ascii="Arial" w:cs="Arial" w:eastAsia="Arial" w:hAnsi="Arial"/>
          <w:sz w:val="17"/>
          <w:szCs w:val="17"/>
          <w:color w:val="auto"/>
        </w:rPr>
        <w:t>. NOTWITHSTANDING ANY CONTRARY PROVISION HEREIN, IN NO EVENT SHALL OWNER BE OR</w:t>
      </w:r>
      <w:r>
        <w:rPr>
          <w:rFonts w:ascii="Arial" w:cs="Arial" w:eastAsia="Arial" w:hAnsi="Arial"/>
          <w:sz w:val="17"/>
          <w:szCs w:val="17"/>
          <w:b w:val="1"/>
          <w:bCs w:val="1"/>
          <w:color w:val="auto"/>
        </w:rPr>
        <w:t xml:space="preserve"> </w:t>
      </w:r>
      <w:r>
        <w:rPr>
          <w:rFonts w:ascii="Arial" w:cs="Arial" w:eastAsia="Arial" w:hAnsi="Arial"/>
          <w:sz w:val="17"/>
          <w:szCs w:val="17"/>
          <w:color w:val="auto"/>
        </w:rPr>
        <w:t>BECOME LIABLE FOR LOST PROFITS, LOST SAVINGS, OR OTHER CONSEQUENTIAL, INCIDENTAL, SPECIAL OR INDIRECT DAMAGES ARISING OUT OF THIS AGREEMENT OR ANY USE OF OR INABILITY TO USE THE APPLICATION OR ANY PORTION THEREOF, REGARDLESS OF WHETHER OWNER HAS BEEN ADVISED OF THE POSSIBILITY OF SUCH DAMAGES OCCURRING AND REGARDLESS OF THE FORM OF ACTION, WHETHER IN CONTRACT, WARRANTY, TORT (INCLUDING NEGLIGENCE), STRICT LIABILITY, OR OTHERWISE. Notwithstanding any contrary provision herein, the total aggregate liability of Owner to Licensee for all losses or liabilities arising out of this Agreement, shall be limited to an amount not to exceed the amount of payment from Licensee during the twelve (12) months prior to the date the basis for the claim arose with respect to the actions that are the subject of, or gave rise to, the claim. This limitation of liability shall apply regardless of the form of action, whether in contract, warranty, tort (including negligence), strict liability, or otherwise, and shall apply to any losses or liabilities including, without limitation, losses or liabilities incurred in connection with (i) any use or inability to use the Application or any portion thereof; or (ii) any errors, omissions, delays, or inaccuracies of the Application.</w:t>
      </w:r>
    </w:p>
    <w:p>
      <w:pPr>
        <w:spacing w:after="0" w:line="174" w:lineRule="exact"/>
        <w:rPr>
          <w:rFonts w:ascii="Arial" w:cs="Arial" w:eastAsia="Arial" w:hAnsi="Arial"/>
          <w:sz w:val="17"/>
          <w:szCs w:val="17"/>
          <w:color w:val="auto"/>
        </w:rPr>
      </w:pPr>
    </w:p>
    <w:p>
      <w:pPr>
        <w:jc w:val="both"/>
        <w:ind w:left="660" w:hanging="652"/>
        <w:spacing w:after="0" w:line="295"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CONFIDENTIALITY. </w:t>
      </w:r>
      <w:r>
        <w:rPr>
          <w:rFonts w:ascii="Arial" w:cs="Arial" w:eastAsia="Arial" w:hAnsi="Arial"/>
          <w:sz w:val="16"/>
          <w:szCs w:val="16"/>
          <w:color w:val="auto"/>
        </w:rPr>
        <w:t>During the Term of this Agreement and for a period of three (3) years after this Agreement expires or is terminated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reason, neither party, without prior written permission of the other party, shall disclose, reveal, divulge, use or by whatever means make available, except as required to perform its obligations or exercise its rights pursuant to this Agreement, the terms and conditions of this Agreement, information relating to the Application, and information of the other party which was (a) denominated or marked as “confidential” at the time of disclosure, or (b) confirmed in writing as “confidential” within thirty (30) days from an oral disclosure obtained from the other party. Each party hereto may disclose confidential information from the other party to its affiliates subject to all the terms and conditions of this Section.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obligations of confidentiality shall not apply to information which:</w:t>
      </w:r>
    </w:p>
    <w:p>
      <w:pPr>
        <w:spacing w:after="0" w:line="225" w:lineRule="exact"/>
        <w:rPr>
          <w:sz w:val="20"/>
          <w:szCs w:val="20"/>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is, or subsequently becomes, available to the public through no fault of the receiving party;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receiving party can show was previously known to it at the time of disclosure;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is subsequently obtained from a third party who has obtained the information through no fault of the receiving party;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is independently developed as evidenced by the written records of the receiving party;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is disclosed to a third party by the disclosing party without a corresponding obligation of confidence; or</w:t>
      </w:r>
    </w:p>
    <w:p>
      <w:pPr>
        <w:spacing w:after="0" w:line="9" w:lineRule="exact"/>
        <w:rPr>
          <w:rFonts w:ascii="Arial" w:cs="Arial" w:eastAsia="Arial" w:hAnsi="Arial"/>
          <w:sz w:val="18"/>
          <w:szCs w:val="18"/>
          <w:color w:val="auto"/>
        </w:rPr>
      </w:pPr>
    </w:p>
    <w:p>
      <w:pPr>
        <w:ind w:left="1300" w:right="20" w:hanging="644"/>
        <w:spacing w:after="0" w:line="261"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is required to be disclosed by the receiving party pursuant to a requirement, order or directive of a government agency or by operation of law subject to prior consultation with the disclosing party’s legal counsel.</w:t>
      </w:r>
    </w:p>
    <w:p>
      <w:pPr>
        <w:spacing w:after="0" w:line="179" w:lineRule="exact"/>
        <w:rPr>
          <w:rFonts w:ascii="Arial" w:cs="Arial" w:eastAsia="Arial" w:hAnsi="Arial"/>
          <w:sz w:val="18"/>
          <w:szCs w:val="18"/>
          <w:color w:val="auto"/>
        </w:rPr>
      </w:pPr>
    </w:p>
    <w:p>
      <w:pPr>
        <w:jc w:val="both"/>
        <w:ind w:left="660" w:hanging="652"/>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NO RIGHT TO ASSIGN. </w:t>
      </w:r>
      <w:r>
        <w:rPr>
          <w:rFonts w:ascii="Arial" w:cs="Arial" w:eastAsia="Arial" w:hAnsi="Arial"/>
          <w:sz w:val="18"/>
          <w:szCs w:val="18"/>
          <w:color w:val="auto"/>
        </w:rPr>
        <w:t>This Agreement and all rights and duties herein are personal to Licensee and are not assignable, in whole or in part, by</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without Owner’s prior written consent. Except as provided herein, any grant or attempted grant by Licensee of any assignment of part or all of this Agreement, is prohibited, whether it is voluntary or involuntary, by merger, consolidation, dissolution, operation of law, sublicense, subcontract, or any other act of Licensee which in any way attempts to encumber or transfer, or, in fact, encumbers or transfers any of Licensee’s rights and obligations hereunder. Any assignment or other change approved by Owner shall make this Agreement fully binding upon and enforceable against any successors or assigns.</w:t>
      </w:r>
    </w:p>
    <w:p>
      <w:pPr>
        <w:spacing w:after="0" w:line="187"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Without prejudice to any other rights herein, Owner shall have the right to terminate this Agreement upon written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at any time, provided Owner first notice Licensee and Licensee fail to cure after thirty (30) days of such notice:</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If Licensee does not diligently and commercially embed the Application in its mobile handsets after one (1) year of the Effective Date.</w:t>
      </w:r>
    </w:p>
    <w:p>
      <w:pPr>
        <w:spacing w:after="0" w:line="34" w:lineRule="exact"/>
        <w:rPr>
          <w:rFonts w:ascii="Arial" w:cs="Arial" w:eastAsia="Arial" w:hAnsi="Arial"/>
          <w:sz w:val="17"/>
          <w:szCs w:val="17"/>
          <w:color w:val="auto"/>
        </w:rPr>
      </w:pPr>
    </w:p>
    <w:p>
      <w:pPr>
        <w:ind w:left="1300" w:hanging="644"/>
        <w:spacing w:after="0" w:line="250"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Owner or Licensee is ordered to withdraw, discontinue, remove or recall the Application from Licensee’s mobile handsets by a government or governmental agency, regulatory body, court or the like.</w:t>
      </w:r>
    </w:p>
    <w:p>
      <w:pPr>
        <w:ind w:left="1300" w:hanging="644"/>
        <w:spacing w:after="0" w:line="250"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Licensee does not begin the bona fide distribution and sale of mobile handsets with the Application embedded on or before January 1, 2012.</w:t>
      </w:r>
    </w:p>
    <w:p>
      <w:pPr>
        <w:jc w:val="both"/>
        <w:ind w:left="1300" w:right="20" w:hanging="644"/>
        <w:spacing w:after="0" w:line="255"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Licensee uses the Application in an unauthorized manner, asserts rights in the Application without Owner’s prior written consent, or if Licensee fails to obtain Owner’s approval or exceeds Owner’s approval, or ignores Owner’s disapproval for any action not explicitly permitted hereunder.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211" w:lineRule="exact"/>
        <w:rPr>
          <w:sz w:val="20"/>
          <w:szCs w:val="20"/>
          <w:color w:val="auto"/>
        </w:rPr>
      </w:pPr>
    </w:p>
    <w:p>
      <w:pPr>
        <w:ind w:left="130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Licensee shall fail to perform any other material term or condition of this Agreement or otherwise materially breaches any provision herein and does not cure such failure within thirty (30) days after written notice from Owner.</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Termination of the license under the provisions of this Section shall be without prejudice to any rights that Owner may otherwise have against Licensee. Notwithstanding any termination or expiration of this Agreement, Owner shall have and hereby reserves all rights and remedies which it has or which are granted to it by operation of law, to enjoin the unlawful or unauthorized use of the Application.</w:t>
      </w:r>
    </w:p>
    <w:p>
      <w:pPr>
        <w:spacing w:after="0" w:line="177" w:lineRule="exact"/>
        <w:rPr>
          <w:sz w:val="20"/>
          <w:szCs w:val="20"/>
          <w:color w:val="auto"/>
        </w:rPr>
      </w:pPr>
    </w:p>
    <w:p>
      <w:pPr>
        <w:ind w:left="660" w:right="20" w:hanging="652"/>
        <w:spacing w:after="0" w:line="28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DISTRIBUTION REQUIREMENTS. </w:t>
      </w:r>
      <w:r>
        <w:rPr>
          <w:rFonts w:ascii="Arial" w:cs="Arial" w:eastAsia="Arial" w:hAnsi="Arial"/>
          <w:sz w:val="18"/>
          <w:szCs w:val="18"/>
          <w:color w:val="auto"/>
        </w:rPr>
        <w:t>Licensee shall begin the bona fide distribution and sale of its mobile handsets with the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embedded on or before January 1, 2012.</w:t>
      </w:r>
    </w:p>
    <w:p>
      <w:pPr>
        <w:spacing w:after="0" w:line="161" w:lineRule="exact"/>
        <w:rPr>
          <w:rFonts w:ascii="Arial" w:cs="Arial" w:eastAsia="Arial" w:hAnsi="Arial"/>
          <w:sz w:val="18"/>
          <w:szCs w:val="18"/>
          <w:color w:val="auto"/>
        </w:rPr>
      </w:pPr>
    </w:p>
    <w:p>
      <w:pPr>
        <w:jc w:val="both"/>
        <w:ind w:left="660" w:hanging="652"/>
        <w:spacing w:after="0" w:line="289"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ADVERTISING. </w:t>
      </w:r>
      <w:r>
        <w:rPr>
          <w:rFonts w:ascii="Arial" w:cs="Arial" w:eastAsia="Arial" w:hAnsi="Arial"/>
          <w:sz w:val="17"/>
          <w:szCs w:val="17"/>
          <w:color w:val="auto"/>
        </w:rPr>
        <w:t>Licensee shall not advertise the Application in any publication or communications medium that could damage the goodwill of</w:t>
      </w:r>
      <w:r>
        <w:rPr>
          <w:rFonts w:ascii="Arial" w:cs="Arial" w:eastAsia="Arial" w:hAnsi="Arial"/>
          <w:sz w:val="17"/>
          <w:szCs w:val="17"/>
          <w:b w:val="1"/>
          <w:bCs w:val="1"/>
          <w:color w:val="auto"/>
        </w:rPr>
        <w:t xml:space="preserve"> </w:t>
      </w:r>
      <w:r>
        <w:rPr>
          <w:rFonts w:ascii="Arial" w:cs="Arial" w:eastAsia="Arial" w:hAnsi="Arial"/>
          <w:sz w:val="17"/>
          <w:szCs w:val="17"/>
          <w:color w:val="auto"/>
        </w:rPr>
        <w:t>Owner or the Application in any way. In particular, and without limitation, the Application shall not be advertised in any illegal, vulgar, obscene, immoral, unsavory or offensive manner or in any potentially controversial publication or other controversial media or setting whatsoever.</w:t>
      </w:r>
    </w:p>
    <w:p>
      <w:pPr>
        <w:spacing w:after="0" w:line="158" w:lineRule="exact"/>
        <w:rPr>
          <w:rFonts w:ascii="Arial" w:cs="Arial" w:eastAsia="Arial" w:hAnsi="Arial"/>
          <w:sz w:val="17"/>
          <w:szCs w:val="17"/>
          <w:color w:val="auto"/>
        </w:rPr>
      </w:pPr>
    </w:p>
    <w:p>
      <w:pPr>
        <w:jc w:val="both"/>
        <w:ind w:left="660" w:hanging="652"/>
        <w:spacing w:after="0" w:line="271"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PRESS RELEASES. </w:t>
      </w:r>
      <w:r>
        <w:rPr>
          <w:rFonts w:ascii="Arial" w:cs="Arial" w:eastAsia="Arial" w:hAnsi="Arial"/>
          <w:sz w:val="17"/>
          <w:szCs w:val="17"/>
          <w:color w:val="auto"/>
        </w:rPr>
        <w:t>Upon the full execution of this Agreement, the parties may mutually agree in writing to place one or more press/media</w:t>
      </w:r>
      <w:r>
        <w:rPr>
          <w:rFonts w:ascii="Arial" w:cs="Arial" w:eastAsia="Arial" w:hAnsi="Arial"/>
          <w:sz w:val="17"/>
          <w:szCs w:val="17"/>
          <w:b w:val="1"/>
          <w:bCs w:val="1"/>
          <w:color w:val="auto"/>
        </w:rPr>
        <w:t xml:space="preserve"> </w:t>
      </w:r>
      <w:r>
        <w:rPr>
          <w:rFonts w:ascii="Arial" w:cs="Arial" w:eastAsia="Arial" w:hAnsi="Arial"/>
          <w:sz w:val="17"/>
          <w:szCs w:val="17"/>
          <w:color w:val="auto"/>
        </w:rPr>
        <w:t>announcements in such newspapers, periodicals, websites and other hardcopy and/or online media sources as they may choose, describing the subject matter of this Agreement and license granted to Licensee herein, except limited by section 19. All press releases and/or public announcements with respect to the subject matter of this Agreement must be subject to the prior written approval of the parties as to content, timing and distribution of any such release. Since Owner is a publicly traded company, Licensee shall not have any rights against Owner for damages or other remedy by reason of Owner’s failure or refusal to grant approval of any press release due to any relevant laws and/or regulations relating to public companies regarding public disclosures, timing, and/or press/media announcements. Notwithstanding the foregoing, Licensee shall have the right to announce such transaction to the public without the Owner’s prior written approval as long as the timing and manner of such announcement does not cause Owner to violate the laws and/or regulations that it must comply with.</w:t>
      </w:r>
    </w:p>
    <w:p>
      <w:pPr>
        <w:spacing w:after="0" w:line="174" w:lineRule="exact"/>
        <w:rPr>
          <w:rFonts w:ascii="Arial" w:cs="Arial" w:eastAsia="Arial" w:hAnsi="Arial"/>
          <w:sz w:val="17"/>
          <w:szCs w:val="17"/>
          <w:color w:val="auto"/>
        </w:rPr>
      </w:pPr>
    </w:p>
    <w:p>
      <w:pPr>
        <w:jc w:val="both"/>
        <w:ind w:left="660" w:hanging="652"/>
        <w:spacing w:after="0" w:line="26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and statements to be given hereunder, shall be given or made at the respective address of the parties as set forth below unless</w:t>
      </w:r>
      <w:r>
        <w:rPr>
          <w:rFonts w:ascii="Arial" w:cs="Arial" w:eastAsia="Arial" w:hAnsi="Arial"/>
          <w:sz w:val="18"/>
          <w:szCs w:val="18"/>
          <w:b w:val="1"/>
          <w:bCs w:val="1"/>
          <w:color w:val="auto"/>
        </w:rPr>
        <w:t xml:space="preserve"> </w:t>
      </w:r>
      <w:r>
        <w:rPr>
          <w:rFonts w:ascii="Arial" w:cs="Arial" w:eastAsia="Arial" w:hAnsi="Arial"/>
          <w:sz w:val="18"/>
          <w:szCs w:val="18"/>
          <w:color w:val="auto"/>
        </w:rPr>
        <w:t>notification of a change of address is given in writing. Any notice shall be sent by registered or certified mail or by overnight courier providing a receipt upon delivery, and shall be deemed to have been given at the time it is mailed.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211" w:lineRule="exact"/>
        <w:rPr>
          <w:sz w:val="20"/>
          <w:szCs w:val="20"/>
          <w:color w:val="auto"/>
        </w:rPr>
      </w:pPr>
    </w:p>
    <w:tbl>
      <w:tblPr>
        <w:tblLayout w:type="fixed"/>
        <w:tblInd w:w="1780" w:type="dxa"/>
        <w:tblCellMar>
          <w:top w:w="0" w:type="dxa"/>
          <w:left w:w="0" w:type="dxa"/>
          <w:bottom w:w="0" w:type="dxa"/>
          <w:right w:w="0" w:type="dxa"/>
        </w:tblCellMar>
      </w:tblPr>
      <w:tr>
        <w:trPr>
          <w:trHeight w:val="220"/>
        </w:trPr>
        <w:tc>
          <w:tcPr>
            <w:tcW w:w="2200" w:type="dxa"/>
            <w:vAlign w:val="bottom"/>
          </w:tcPr>
          <w:p>
            <w:pPr>
              <w:jc w:val="center"/>
              <w:ind w:right="1070"/>
              <w:spacing w:after="0"/>
              <w:rPr>
                <w:sz w:val="20"/>
                <w:szCs w:val="20"/>
                <w:color w:val="auto"/>
              </w:rPr>
            </w:pPr>
            <w:r>
              <w:rPr>
                <w:rFonts w:ascii="Arial" w:cs="Arial" w:eastAsia="Arial" w:hAnsi="Arial"/>
                <w:sz w:val="18"/>
                <w:szCs w:val="18"/>
                <w:color w:val="auto"/>
                <w:w w:val="94"/>
              </w:rPr>
              <w:t>If to Owner:</w:t>
            </w:r>
          </w:p>
        </w:tc>
        <w:tc>
          <w:tcPr>
            <w:tcW w:w="4360" w:type="dxa"/>
            <w:vAlign w:val="bottom"/>
          </w:tcPr>
          <w:p>
            <w:pPr>
              <w:ind w:left="1180"/>
              <w:spacing w:after="0"/>
              <w:rPr>
                <w:sz w:val="20"/>
                <w:szCs w:val="20"/>
                <w:color w:val="auto"/>
              </w:rPr>
            </w:pPr>
            <w:r>
              <w:rPr>
                <w:rFonts w:ascii="Arial" w:cs="Arial" w:eastAsia="Arial" w:hAnsi="Arial"/>
                <w:sz w:val="18"/>
                <w:szCs w:val="18"/>
                <w:color w:val="auto"/>
              </w:rPr>
              <w:t>Vringo, Inc.</w:t>
            </w:r>
          </w:p>
        </w:tc>
      </w:tr>
      <w:tr>
        <w:trPr>
          <w:trHeight w:val="253"/>
        </w:trPr>
        <w:tc>
          <w:tcPr>
            <w:tcW w:w="2200" w:type="dxa"/>
            <w:vAlign w:val="bottom"/>
          </w:tcPr>
          <w:p>
            <w:pPr>
              <w:spacing w:after="0"/>
              <w:rPr>
                <w:sz w:val="21"/>
                <w:szCs w:val="21"/>
                <w:color w:val="auto"/>
              </w:rPr>
            </w:pPr>
          </w:p>
        </w:tc>
        <w:tc>
          <w:tcPr>
            <w:tcW w:w="4360" w:type="dxa"/>
            <w:vAlign w:val="bottom"/>
          </w:tcPr>
          <w:p>
            <w:pPr>
              <w:ind w:left="1180"/>
              <w:spacing w:after="0" w:line="253" w:lineRule="exact"/>
              <w:rPr>
                <w:sz w:val="20"/>
                <w:szCs w:val="20"/>
                <w:color w:val="auto"/>
              </w:rPr>
            </w:pPr>
            <w:r>
              <w:rPr>
                <w:rFonts w:ascii="Arial" w:cs="Arial" w:eastAsia="Arial" w:hAnsi="Arial"/>
                <w:sz w:val="18"/>
                <w:szCs w:val="18"/>
                <w:color w:val="auto"/>
              </w:rPr>
              <w:t>44 West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w:t>
            </w:r>
          </w:p>
        </w:tc>
      </w:tr>
      <w:tr>
        <w:trPr>
          <w:trHeight w:val="216"/>
        </w:trPr>
        <w:tc>
          <w:tcPr>
            <w:tcW w:w="2200" w:type="dxa"/>
            <w:vAlign w:val="bottom"/>
          </w:tcPr>
          <w:p>
            <w:pPr>
              <w:spacing w:after="0"/>
              <w:rPr>
                <w:sz w:val="18"/>
                <w:szCs w:val="18"/>
                <w:color w:val="auto"/>
              </w:rPr>
            </w:pPr>
          </w:p>
        </w:tc>
        <w:tc>
          <w:tcPr>
            <w:tcW w:w="4360" w:type="dxa"/>
            <w:vAlign w:val="bottom"/>
          </w:tcPr>
          <w:p>
            <w:pPr>
              <w:ind w:left="1180"/>
              <w:spacing w:after="0"/>
              <w:rPr>
                <w:sz w:val="20"/>
                <w:szCs w:val="20"/>
                <w:color w:val="auto"/>
              </w:rPr>
            </w:pPr>
            <w:r>
              <w:rPr>
                <w:rFonts w:ascii="Arial" w:cs="Arial" w:eastAsia="Arial" w:hAnsi="Arial"/>
                <w:sz w:val="18"/>
                <w:szCs w:val="18"/>
                <w:color w:val="auto"/>
              </w:rPr>
              <w:t>Suite 1414</w:t>
            </w:r>
          </w:p>
        </w:tc>
      </w:tr>
      <w:tr>
        <w:trPr>
          <w:trHeight w:val="216"/>
        </w:trPr>
        <w:tc>
          <w:tcPr>
            <w:tcW w:w="2200" w:type="dxa"/>
            <w:vAlign w:val="bottom"/>
          </w:tcPr>
          <w:p>
            <w:pPr>
              <w:spacing w:after="0"/>
              <w:rPr>
                <w:sz w:val="18"/>
                <w:szCs w:val="18"/>
                <w:color w:val="auto"/>
              </w:rPr>
            </w:pPr>
          </w:p>
        </w:tc>
        <w:tc>
          <w:tcPr>
            <w:tcW w:w="4360" w:type="dxa"/>
            <w:vAlign w:val="bottom"/>
          </w:tcPr>
          <w:p>
            <w:pPr>
              <w:ind w:left="1180"/>
              <w:spacing w:after="0"/>
              <w:rPr>
                <w:sz w:val="20"/>
                <w:szCs w:val="20"/>
                <w:color w:val="auto"/>
              </w:rPr>
            </w:pPr>
            <w:r>
              <w:rPr>
                <w:rFonts w:ascii="Arial" w:cs="Arial" w:eastAsia="Arial" w:hAnsi="Arial"/>
                <w:sz w:val="18"/>
                <w:szCs w:val="18"/>
                <w:color w:val="auto"/>
              </w:rPr>
              <w:t>New York, NY 10001</w:t>
            </w:r>
          </w:p>
        </w:tc>
      </w:tr>
      <w:tr>
        <w:trPr>
          <w:trHeight w:val="230"/>
        </w:trPr>
        <w:tc>
          <w:tcPr>
            <w:tcW w:w="2200" w:type="dxa"/>
            <w:vAlign w:val="bottom"/>
          </w:tcPr>
          <w:p>
            <w:pPr>
              <w:spacing w:after="0"/>
              <w:rPr>
                <w:sz w:val="20"/>
                <w:szCs w:val="20"/>
                <w:color w:val="auto"/>
              </w:rPr>
            </w:pPr>
          </w:p>
        </w:tc>
        <w:tc>
          <w:tcPr>
            <w:tcW w:w="4360" w:type="dxa"/>
            <w:vAlign w:val="bottom"/>
          </w:tcPr>
          <w:p>
            <w:pPr>
              <w:ind w:left="1180"/>
              <w:spacing w:after="0"/>
              <w:rPr>
                <w:sz w:val="20"/>
                <w:szCs w:val="20"/>
                <w:color w:val="auto"/>
              </w:rPr>
            </w:pPr>
            <w:r>
              <w:rPr>
                <w:rFonts w:ascii="Arial" w:cs="Arial" w:eastAsia="Arial" w:hAnsi="Arial"/>
                <w:sz w:val="18"/>
                <w:szCs w:val="18"/>
                <w:color w:val="auto"/>
              </w:rPr>
              <w:t>Attention: Mr. Andrew Perlman</w:t>
            </w:r>
          </w:p>
        </w:tc>
      </w:tr>
      <w:tr>
        <w:trPr>
          <w:trHeight w:val="418"/>
        </w:trPr>
        <w:tc>
          <w:tcPr>
            <w:tcW w:w="2200" w:type="dxa"/>
            <w:vAlign w:val="bottom"/>
          </w:tcPr>
          <w:p>
            <w:pPr>
              <w:jc w:val="center"/>
              <w:ind w:right="1070"/>
              <w:spacing w:after="0"/>
              <w:rPr>
                <w:sz w:val="20"/>
                <w:szCs w:val="20"/>
                <w:color w:val="auto"/>
              </w:rPr>
            </w:pPr>
            <w:r>
              <w:rPr>
                <w:rFonts w:ascii="Arial" w:cs="Arial" w:eastAsia="Arial" w:hAnsi="Arial"/>
                <w:sz w:val="18"/>
                <w:szCs w:val="18"/>
                <w:color w:val="auto"/>
                <w:w w:val="92"/>
              </w:rPr>
              <w:t>If to Licensee:</w:t>
            </w:r>
          </w:p>
        </w:tc>
        <w:tc>
          <w:tcPr>
            <w:tcW w:w="4360" w:type="dxa"/>
            <w:vAlign w:val="bottom"/>
          </w:tcPr>
          <w:p>
            <w:pPr>
              <w:ind w:left="1180"/>
              <w:spacing w:after="0"/>
              <w:rPr>
                <w:sz w:val="20"/>
                <w:szCs w:val="20"/>
                <w:color w:val="auto"/>
              </w:rPr>
            </w:pPr>
            <w:r>
              <w:rPr>
                <w:rFonts w:ascii="Arial" w:cs="Arial" w:eastAsia="Arial" w:hAnsi="Arial"/>
                <w:sz w:val="18"/>
                <w:szCs w:val="18"/>
                <w:color w:val="auto"/>
              </w:rPr>
              <w:t>ZTE Corporation</w:t>
            </w:r>
          </w:p>
        </w:tc>
      </w:tr>
      <w:tr>
        <w:trPr>
          <w:trHeight w:val="216"/>
        </w:trPr>
        <w:tc>
          <w:tcPr>
            <w:tcW w:w="2200" w:type="dxa"/>
            <w:vAlign w:val="bottom"/>
          </w:tcPr>
          <w:p>
            <w:pPr>
              <w:spacing w:after="0"/>
              <w:rPr>
                <w:sz w:val="18"/>
                <w:szCs w:val="18"/>
                <w:color w:val="auto"/>
              </w:rPr>
            </w:pPr>
          </w:p>
        </w:tc>
        <w:tc>
          <w:tcPr>
            <w:tcW w:w="4360" w:type="dxa"/>
            <w:vAlign w:val="bottom"/>
          </w:tcPr>
          <w:p>
            <w:pPr>
              <w:ind w:left="1180"/>
              <w:spacing w:after="0"/>
              <w:rPr>
                <w:sz w:val="20"/>
                <w:szCs w:val="20"/>
                <w:color w:val="auto"/>
              </w:rPr>
            </w:pPr>
            <w:r>
              <w:rPr>
                <w:rFonts w:ascii="Arial" w:cs="Arial" w:eastAsia="Arial" w:hAnsi="Arial"/>
                <w:sz w:val="18"/>
                <w:szCs w:val="18"/>
                <w:color w:val="auto"/>
                <w:w w:val="88"/>
              </w:rPr>
              <w:t>Handset Product System, Commercial Team</w:t>
            </w:r>
          </w:p>
        </w:tc>
      </w:tr>
      <w:tr>
        <w:trPr>
          <w:trHeight w:val="216"/>
        </w:trPr>
        <w:tc>
          <w:tcPr>
            <w:tcW w:w="2200" w:type="dxa"/>
            <w:vAlign w:val="bottom"/>
          </w:tcPr>
          <w:p>
            <w:pPr>
              <w:spacing w:after="0"/>
              <w:rPr>
                <w:sz w:val="18"/>
                <w:szCs w:val="18"/>
                <w:color w:val="auto"/>
              </w:rPr>
            </w:pPr>
          </w:p>
        </w:tc>
        <w:tc>
          <w:tcPr>
            <w:tcW w:w="4360" w:type="dxa"/>
            <w:vAlign w:val="bottom"/>
          </w:tcPr>
          <w:p>
            <w:pPr>
              <w:ind w:left="1180"/>
              <w:spacing w:after="0"/>
              <w:rPr>
                <w:sz w:val="20"/>
                <w:szCs w:val="20"/>
                <w:color w:val="auto"/>
              </w:rPr>
            </w:pPr>
            <w:r>
              <w:rPr>
                <w:rFonts w:ascii="Arial" w:cs="Arial" w:eastAsia="Arial" w:hAnsi="Arial"/>
                <w:sz w:val="18"/>
                <w:szCs w:val="18"/>
                <w:color w:val="auto"/>
              </w:rPr>
              <w:t>Building J,889 Bibo Rd.</w:t>
            </w:r>
          </w:p>
        </w:tc>
      </w:tr>
      <w:tr>
        <w:trPr>
          <w:trHeight w:val="216"/>
        </w:trPr>
        <w:tc>
          <w:tcPr>
            <w:tcW w:w="2200" w:type="dxa"/>
            <w:vAlign w:val="bottom"/>
          </w:tcPr>
          <w:p>
            <w:pPr>
              <w:spacing w:after="0"/>
              <w:rPr>
                <w:sz w:val="18"/>
                <w:szCs w:val="18"/>
                <w:color w:val="auto"/>
              </w:rPr>
            </w:pPr>
          </w:p>
        </w:tc>
        <w:tc>
          <w:tcPr>
            <w:tcW w:w="4360" w:type="dxa"/>
            <w:vAlign w:val="bottom"/>
          </w:tcPr>
          <w:p>
            <w:pPr>
              <w:ind w:left="1180"/>
              <w:spacing w:after="0"/>
              <w:rPr>
                <w:sz w:val="20"/>
                <w:szCs w:val="20"/>
                <w:color w:val="auto"/>
              </w:rPr>
            </w:pPr>
            <w:r>
              <w:rPr>
                <w:rFonts w:ascii="Arial" w:cs="Arial" w:eastAsia="Arial" w:hAnsi="Arial"/>
                <w:sz w:val="18"/>
                <w:szCs w:val="18"/>
                <w:color w:val="auto"/>
              </w:rPr>
              <w:t>Zhangjiang Hi-Tech Park</w:t>
            </w:r>
          </w:p>
        </w:tc>
      </w:tr>
      <w:tr>
        <w:trPr>
          <w:trHeight w:val="216"/>
        </w:trPr>
        <w:tc>
          <w:tcPr>
            <w:tcW w:w="2200" w:type="dxa"/>
            <w:vAlign w:val="bottom"/>
          </w:tcPr>
          <w:p>
            <w:pPr>
              <w:spacing w:after="0"/>
              <w:rPr>
                <w:sz w:val="18"/>
                <w:szCs w:val="18"/>
                <w:color w:val="auto"/>
              </w:rPr>
            </w:pPr>
          </w:p>
        </w:tc>
        <w:tc>
          <w:tcPr>
            <w:tcW w:w="4360" w:type="dxa"/>
            <w:vAlign w:val="bottom"/>
          </w:tcPr>
          <w:p>
            <w:pPr>
              <w:ind w:left="1180"/>
              <w:spacing w:after="0"/>
              <w:rPr>
                <w:sz w:val="20"/>
                <w:szCs w:val="20"/>
                <w:color w:val="auto"/>
              </w:rPr>
            </w:pPr>
            <w:r>
              <w:rPr>
                <w:rFonts w:ascii="Arial" w:cs="Arial" w:eastAsia="Arial" w:hAnsi="Arial"/>
                <w:sz w:val="18"/>
                <w:szCs w:val="18"/>
                <w:color w:val="auto"/>
              </w:rPr>
              <w:t>Pudong, Shanghai, P.R. China</w:t>
            </w:r>
          </w:p>
        </w:tc>
      </w:tr>
      <w:tr>
        <w:trPr>
          <w:trHeight w:val="230"/>
        </w:trPr>
        <w:tc>
          <w:tcPr>
            <w:tcW w:w="2200" w:type="dxa"/>
            <w:vAlign w:val="bottom"/>
          </w:tcPr>
          <w:p>
            <w:pPr>
              <w:spacing w:after="0"/>
              <w:rPr>
                <w:sz w:val="20"/>
                <w:szCs w:val="20"/>
                <w:color w:val="auto"/>
              </w:rPr>
            </w:pPr>
          </w:p>
        </w:tc>
        <w:tc>
          <w:tcPr>
            <w:tcW w:w="4360" w:type="dxa"/>
            <w:vAlign w:val="bottom"/>
          </w:tcPr>
          <w:p>
            <w:pPr>
              <w:ind w:left="1180"/>
              <w:spacing w:after="0"/>
              <w:rPr>
                <w:sz w:val="20"/>
                <w:szCs w:val="20"/>
                <w:color w:val="auto"/>
              </w:rPr>
            </w:pPr>
            <w:r>
              <w:rPr>
                <w:rFonts w:ascii="Arial" w:cs="Arial" w:eastAsia="Arial" w:hAnsi="Arial"/>
                <w:sz w:val="18"/>
                <w:szCs w:val="18"/>
                <w:color w:val="auto"/>
              </w:rPr>
              <w:t>Attention: Mr. Fu Zhifang</w:t>
            </w:r>
          </w:p>
        </w:tc>
      </w:tr>
    </w:tbl>
    <w:p>
      <w:pPr>
        <w:spacing w:after="0" w:line="198" w:lineRule="exact"/>
        <w:rPr>
          <w:sz w:val="20"/>
          <w:szCs w:val="20"/>
          <w:color w:val="auto"/>
        </w:rPr>
      </w:pPr>
    </w:p>
    <w:p>
      <w:pPr>
        <w:jc w:val="both"/>
        <w:ind w:left="660" w:hanging="652"/>
        <w:spacing w:after="0" w:line="303"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ENTIRE AGREEMENT. </w:t>
      </w:r>
      <w:r>
        <w:rPr>
          <w:rFonts w:ascii="Arial" w:cs="Arial" w:eastAsia="Arial" w:hAnsi="Arial"/>
          <w:sz w:val="16"/>
          <w:szCs w:val="16"/>
          <w:color w:val="auto"/>
        </w:rPr>
        <w:t>This Agreement constitutes the entire agreement and understanding between the parties hereto and terminates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supersedes any prior agreement or understanding, either oral or written, relating to the subject matter hereof between Owner and Licensee. None of the provisions of this Agreement can be waived or modified except in a writing signed by both parties. There are no representations, discussions, proposals, promises, agreements, warranties, covenants or undertakings, whether oral or written, other than those contained herein.</w:t>
      </w:r>
    </w:p>
    <w:p>
      <w:pPr>
        <w:spacing w:after="0" w:line="151" w:lineRule="exact"/>
        <w:rPr>
          <w:rFonts w:ascii="Arial" w:cs="Arial" w:eastAsia="Arial" w:hAnsi="Arial"/>
          <w:sz w:val="16"/>
          <w:szCs w:val="16"/>
          <w:color w:val="auto"/>
        </w:rPr>
      </w:pPr>
    </w:p>
    <w:p>
      <w:pPr>
        <w:jc w:val="both"/>
        <w:ind w:left="660" w:hanging="652"/>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NO JOINT VENTURE. </w:t>
      </w:r>
      <w:r>
        <w:rPr>
          <w:rFonts w:ascii="Arial" w:cs="Arial" w:eastAsia="Arial" w:hAnsi="Arial"/>
          <w:sz w:val="18"/>
          <w:szCs w:val="18"/>
          <w:color w:val="auto"/>
        </w:rPr>
        <w:t>The parties to this Agreement each shall be deemed to be independent contractors and in no event shall the acts or</w:t>
      </w:r>
      <w:r>
        <w:rPr>
          <w:rFonts w:ascii="Arial" w:cs="Arial" w:eastAsia="Arial" w:hAnsi="Arial"/>
          <w:sz w:val="18"/>
          <w:szCs w:val="18"/>
          <w:b w:val="1"/>
          <w:bCs w:val="1"/>
          <w:color w:val="auto"/>
        </w:rPr>
        <w:t xml:space="preserve"> </w:t>
      </w:r>
      <w:r>
        <w:rPr>
          <w:rFonts w:ascii="Arial" w:cs="Arial" w:eastAsia="Arial" w:hAnsi="Arial"/>
          <w:sz w:val="18"/>
          <w:szCs w:val="18"/>
          <w:color w:val="auto"/>
        </w:rPr>
        <w:t>omissions of one party be attributable to the other party. Neither party, nor its employees, shall be or shall be deemed to be an employee of the other party for any purpose whatsoever. Nothing herein contained shall be construed to place the parties in the relationship of partners, joint venturers, or any agency relationship, and neither party shall have any right or power to obligate or bind the other in any manner whatsoever except as authorized in this Agreement or otherwise specifically authorized in writing.</w:t>
      </w:r>
    </w:p>
    <w:p>
      <w:pPr>
        <w:spacing w:after="0" w:line="183" w:lineRule="exact"/>
        <w:rPr>
          <w:rFonts w:ascii="Arial" w:cs="Arial" w:eastAsia="Arial" w:hAnsi="Arial"/>
          <w:sz w:val="18"/>
          <w:szCs w:val="18"/>
          <w:color w:val="auto"/>
        </w:rPr>
      </w:pPr>
    </w:p>
    <w:p>
      <w:pPr>
        <w:jc w:val="both"/>
        <w:ind w:left="660" w:hanging="652"/>
        <w:spacing w:after="0" w:line="289"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 xml:space="preserve">SURVIVAL. </w:t>
      </w:r>
      <w:r>
        <w:rPr>
          <w:rFonts w:ascii="Arial" w:cs="Arial" w:eastAsia="Arial" w:hAnsi="Arial"/>
          <w:sz w:val="17"/>
          <w:szCs w:val="17"/>
          <w:color w:val="auto"/>
        </w:rPr>
        <w:t>Upon any expiration or termination of this Agreement, neither party shall have any obligations to the other except as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Sections 3, 4, 9, 10, 11, 12, 15, 16, 17, 18, 19 and 29 hereof which shall survive the termination of this Agreement, as well as the provisions of this Agreement which by their terms or by implication are to have continuing effect after the termination or expiration of this Agreement.</w:t>
      </w:r>
    </w:p>
    <w:p>
      <w:pPr>
        <w:spacing w:after="0" w:line="158" w:lineRule="exact"/>
        <w:rPr>
          <w:rFonts w:ascii="Arial" w:cs="Arial" w:eastAsia="Arial" w:hAnsi="Arial"/>
          <w:sz w:val="17"/>
          <w:szCs w:val="17"/>
          <w:color w:val="auto"/>
        </w:rPr>
      </w:pPr>
    </w:p>
    <w:p>
      <w:pPr>
        <w:jc w:val="both"/>
        <w:ind w:left="660" w:hanging="652"/>
        <w:spacing w:after="0" w:line="25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APPLICABLE LAW AND JURISDICTION. </w:t>
      </w:r>
      <w:r>
        <w:rPr>
          <w:rFonts w:ascii="Arial" w:cs="Arial" w:eastAsia="Arial" w:hAnsi="Arial"/>
          <w:sz w:val="18"/>
          <w:szCs w:val="18"/>
          <w:color w:val="auto"/>
        </w:rPr>
        <w:t>The terms and provisions of this Agreement shall be interpreted in accordance with and governed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England and Wales. Each party irrevocably agrees to submit to the exclusive jurisdiction of the Courts of England and Wales over any claim or matter arising under or in connection with this Agreement or the legal relationships established by this Agreement. The arbitration board will be constituted of three (3) arbitrators, each party shall select one arbitrator and the third arbitrator will be selected by the two arbitrators, who will be selected by the Courts of England and Wales if the two arbitrators can’t reach an agreement. The arbitration language will be English and the arbitration fees shall be borne by the losing party except as otherwise awarded by the arbitration board. Licensee consents to a jurisdiction in said arbitration center (</w:t>
      </w:r>
      <w:r>
        <w:rPr>
          <w:rFonts w:ascii="Arial" w:cs="Arial" w:eastAsia="Arial" w:hAnsi="Arial"/>
          <w:sz w:val="18"/>
          <w:szCs w:val="18"/>
          <w:i w:val="1"/>
          <w:iCs w:val="1"/>
          <w:color w:val="auto"/>
        </w:rPr>
        <w:t>i.e.,</w:t>
      </w:r>
      <w:r>
        <w:rPr>
          <w:rFonts w:ascii="Arial" w:cs="Arial" w:eastAsia="Arial" w:hAnsi="Arial"/>
          <w:sz w:val="18"/>
          <w:szCs w:val="18"/>
          <w:color w:val="auto"/>
        </w:rPr>
        <w:t xml:space="preserve"> England and Wales) and shall not seek to transfer or to change the venue of any action brought in compliance with this Section.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207" w:lineRule="exact"/>
        <w:rPr>
          <w:sz w:val="20"/>
          <w:szCs w:val="20"/>
          <w:color w:val="auto"/>
        </w:rPr>
      </w:pPr>
    </w:p>
    <w:p>
      <w:pPr>
        <w:jc w:val="both"/>
        <w:ind w:left="660" w:hanging="652"/>
        <w:spacing w:after="0" w:line="271"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The provisions of this Agreement are severable, and if any clause or provision shall be held invalid or unenforceable, in</w:t>
      </w:r>
      <w:r>
        <w:rPr>
          <w:rFonts w:ascii="Arial" w:cs="Arial" w:eastAsia="Arial" w:hAnsi="Arial"/>
          <w:sz w:val="17"/>
          <w:szCs w:val="17"/>
          <w:b w:val="1"/>
          <w:bCs w:val="1"/>
          <w:color w:val="auto"/>
        </w:rPr>
        <w:t xml:space="preserve"> </w:t>
      </w:r>
      <w:r>
        <w:rPr>
          <w:rFonts w:ascii="Arial" w:cs="Arial" w:eastAsia="Arial" w:hAnsi="Arial"/>
          <w:sz w:val="17"/>
          <w:szCs w:val="17"/>
          <w:color w:val="auto"/>
        </w:rPr>
        <w:t>whole or in part, the remaining terms and provisions shall be unimpaired and the unenforceable term or provision shall be replaced by such enforceable term or provision as comes closest to the intention underlying the unenforceable term or provision. This Agreement is the product of arms-length negotiations between parties knowledgeable of its subject matter who have had the opportunity to consult counsel concerning the terms and conditions of this Agreement prior to the execution hereof. Any rule of law that would require interpretation of any provision against the party responsible for its inclusion herein shall have no effect on the interpretation of this Agreement. Each party agrees that, in its respective dealings with the other party under or in connection with this Agreement, it shall act in good faith and fair dealing. This Agreement may be executed in counterparts, each of which shall be deemed an original, but all of which together shall constitute one and the same instrument. A facsimile copy of an executed counterpart shall be valid and have the same force and effect as an original.</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parties hereto has caused this Agreement to be executed by its duly authorized officer as of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Vringo, Inc.</w:t>
            </w:r>
          </w:p>
        </w:tc>
        <w:tc>
          <w:tcPr>
            <w:tcW w:w="180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ZTE Corporation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Andrew Perlman</w:t>
            </w:r>
          </w:p>
        </w:tc>
        <w:tc>
          <w:tcPr>
            <w:tcW w:w="1800" w:type="dxa"/>
            <w:vAlign w:val="bottom"/>
            <w:tcBorders>
              <w:bottom w:val="single" w:sz="8" w:color="auto"/>
            </w:tcBorders>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Fu Zhifang</w:t>
            </w:r>
          </w:p>
        </w:tc>
      </w:tr>
      <w:tr>
        <w:trPr>
          <w:trHeight w:val="182"/>
        </w:trPr>
        <w:tc>
          <w:tcPr>
            <w:tcW w:w="58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3340" w:type="dxa"/>
            <w:vAlign w:val="bottom"/>
          </w:tcPr>
          <w:p>
            <w:pPr>
              <w:spacing w:after="0" w:line="182" w:lineRule="exact"/>
              <w:rPr>
                <w:sz w:val="20"/>
                <w:szCs w:val="20"/>
                <w:color w:val="auto"/>
              </w:rPr>
            </w:pPr>
            <w:r>
              <w:rPr>
                <w:rFonts w:ascii="Arial" w:cs="Arial" w:eastAsia="Arial" w:hAnsi="Arial"/>
                <w:sz w:val="18"/>
                <w:szCs w:val="18"/>
                <w:color w:val="auto"/>
              </w:rPr>
              <w:t>Andrew Perlman</w:t>
            </w:r>
          </w:p>
        </w:tc>
        <w:tc>
          <w:tcPr>
            <w:tcW w:w="1800" w:type="dxa"/>
            <w:vAlign w:val="bottom"/>
          </w:tcPr>
          <w:p>
            <w:pPr>
              <w:spacing w:after="0"/>
              <w:rPr>
                <w:sz w:val="15"/>
                <w:szCs w:val="15"/>
                <w:color w:val="auto"/>
              </w:rPr>
            </w:pPr>
          </w:p>
        </w:tc>
        <w:tc>
          <w:tcPr>
            <w:tcW w:w="56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5140" w:type="dxa"/>
            <w:vAlign w:val="bottom"/>
          </w:tcPr>
          <w:p>
            <w:pPr>
              <w:ind w:left="20"/>
              <w:spacing w:after="0" w:line="182" w:lineRule="exact"/>
              <w:rPr>
                <w:sz w:val="20"/>
                <w:szCs w:val="20"/>
                <w:color w:val="auto"/>
              </w:rPr>
            </w:pPr>
            <w:r>
              <w:rPr>
                <w:rFonts w:ascii="Arial" w:cs="Arial" w:eastAsia="Arial" w:hAnsi="Arial"/>
                <w:sz w:val="18"/>
                <w:szCs w:val="18"/>
                <w:color w:val="auto"/>
              </w:rPr>
              <w:t>Fu Zhifang</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Title: President</w:t>
            </w:r>
          </w:p>
        </w:tc>
        <w:tc>
          <w:tcPr>
            <w:tcW w:w="18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Title: Purchasing Manager</w:t>
            </w: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Date: November 2, 2011</w:t>
            </w:r>
          </w:p>
        </w:tc>
        <w:tc>
          <w:tcPr>
            <w:tcW w:w="180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Date: November 2, 2011</w:t>
            </w:r>
          </w:p>
        </w:tc>
      </w:tr>
      <w:tr>
        <w:trPr>
          <w:trHeight w:val="648"/>
        </w:trPr>
        <w:tc>
          <w:tcPr>
            <w:tcW w:w="5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9</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21</w:t>
            </w:r>
          </w:p>
        </w:tc>
        <w:tc>
          <w:tcPr>
            <w:tcW w:w="5600" w:type="dxa"/>
            <w:vAlign w:val="bottom"/>
          </w:tcPr>
          <w:p>
            <w:pPr>
              <w:spacing w:after="0"/>
              <w:rPr>
                <w:sz w:val="20"/>
                <w:szCs w:val="20"/>
                <w:color w:val="auto"/>
              </w:rPr>
            </w:pPr>
          </w:p>
        </w:tc>
      </w:tr>
      <w:tr>
        <w:trPr>
          <w:trHeight w:val="432"/>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SUBSIDIARIES</w:t>
            </w:r>
          </w:p>
        </w:tc>
        <w:tc>
          <w:tcPr>
            <w:tcW w:w="5600" w:type="dxa"/>
            <w:vAlign w:val="bottom"/>
          </w:tcPr>
          <w:p>
            <w:pPr>
              <w:spacing w:after="0"/>
              <w:rPr>
                <w:sz w:val="24"/>
                <w:szCs w:val="24"/>
                <w:color w:val="auto"/>
              </w:rPr>
            </w:pPr>
          </w:p>
        </w:tc>
      </w:tr>
      <w:tr>
        <w:trPr>
          <w:trHeight w:val="439"/>
        </w:trPr>
        <w:tc>
          <w:tcPr>
            <w:tcW w:w="5820" w:type="dxa"/>
            <w:vAlign w:val="bottom"/>
            <w:gridSpan w:val="3"/>
          </w:tcPr>
          <w:p>
            <w:pPr>
              <w:spacing w:after="0"/>
              <w:rPr>
                <w:sz w:val="20"/>
                <w:szCs w:val="20"/>
                <w:color w:val="auto"/>
              </w:rPr>
            </w:pPr>
            <w:r>
              <w:rPr>
                <w:rFonts w:ascii="Arial" w:cs="Arial" w:eastAsia="Arial" w:hAnsi="Arial"/>
                <w:sz w:val="18"/>
                <w:szCs w:val="18"/>
                <w:color w:val="auto"/>
              </w:rPr>
              <w:t>Name of Subsidiary</w:t>
            </w:r>
          </w:p>
        </w:tc>
        <w:tc>
          <w:tcPr>
            <w:tcW w:w="5600" w:type="dxa"/>
            <w:vAlign w:val="bottom"/>
          </w:tcPr>
          <w:p>
            <w:pPr>
              <w:spacing w:after="0"/>
              <w:rPr>
                <w:sz w:val="20"/>
                <w:szCs w:val="20"/>
                <w:color w:val="auto"/>
              </w:rPr>
            </w:pPr>
            <w:r>
              <w:rPr>
                <w:rFonts w:ascii="Arial" w:cs="Arial" w:eastAsia="Arial" w:hAnsi="Arial"/>
                <w:sz w:val="18"/>
                <w:szCs w:val="18"/>
                <w:color w:val="auto"/>
              </w:rPr>
              <w:t>Jurisdiction</w:t>
            </w:r>
          </w:p>
        </w:tc>
      </w:tr>
      <w:tr>
        <w:trPr>
          <w:trHeight w:val="230"/>
        </w:trPr>
        <w:tc>
          <w:tcPr>
            <w:tcW w:w="20" w:type="dxa"/>
            <w:vAlign w:val="bottom"/>
          </w:tcPr>
          <w:p>
            <w:pPr>
              <w:spacing w:after="0"/>
              <w:rPr>
                <w:sz w:val="20"/>
                <w:szCs w:val="20"/>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Vringo (Israel), Ltd.</w:t>
            </w:r>
          </w:p>
        </w:tc>
        <w:tc>
          <w:tcPr>
            <w:tcW w:w="200" w:type="dxa"/>
            <w:vAlign w:val="bottom"/>
          </w:tcPr>
          <w:p>
            <w:pPr>
              <w:spacing w:after="0"/>
              <w:rPr>
                <w:sz w:val="20"/>
                <w:szCs w:val="20"/>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Israel</w:t>
            </w:r>
          </w:p>
        </w:tc>
      </w:tr>
      <w:tr>
        <w:trPr>
          <w:trHeight w:val="634"/>
        </w:trPr>
        <w:tc>
          <w:tcPr>
            <w:tcW w:w="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4" w:name="page85"/>
    <w:bookmarkEnd w:id="84"/>
    <w:p>
      <w:pPr>
        <w:jc w:val="center"/>
        <w:ind w:right="-9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Vringo Inc. (Development Stage Company):</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(No. 333-164575 and No. 333-178700) on Forms S-3 of Vringo Inc. of our report dated March 30, 2012, with respect to the consolidated balance sheets of Vringo Inc. as of December 31, 2011 and 2010, and the related consolidated statements of operations, changes in stockholders' equity (deficit), and cash flows for each of the years in the two-year period ended December 31, 2011, and for the cumulative period from January 9, 2006 (inception of operations) through December 31, 2011, which report appears in the December 31, 2011 annual report on Form 10-K of Vringo Inc.</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report contains an explanatory paragraph that states that the Company has suffered recurring losses from operations, and has a deficit in stockholders’ equity, that raise substantial doubt about its ability to continue as a going concern. The consolidated financial statements do not include any adjustments that might result from the outcome of that uncertainty.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Perlman, certify that:</w:t>
      </w:r>
    </w:p>
    <w:p>
      <w:pPr>
        <w:spacing w:after="0" w:line="225"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Vringo, Inc.;</w:t>
      </w:r>
    </w:p>
    <w:p>
      <w:pPr>
        <w:spacing w:after="0" w:line="225"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periods covered by this annual report;</w:t>
      </w:r>
    </w:p>
    <w:p>
      <w:pPr>
        <w:spacing w:after="0" w:line="181" w:lineRule="exact"/>
        <w:rPr>
          <w:rFonts w:ascii="Arial" w:cs="Arial" w:eastAsia="Arial" w:hAnsi="Arial"/>
          <w:sz w:val="18"/>
          <w:szCs w:val="18"/>
          <w:color w:val="auto"/>
        </w:rPr>
      </w:pPr>
    </w:p>
    <w:p>
      <w:pPr>
        <w:ind w:right="20" w:firstLine="8"/>
        <w:spacing w:after="0" w:line="277" w:lineRule="auto"/>
        <w:tabs>
          <w:tab w:leader="none" w:pos="1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308" w:lineRule="auto"/>
        <w:tabs>
          <w:tab w:leader="none" w:pos="186" w:val="left"/>
        </w:tabs>
        <w:numPr>
          <w:ilvl w:val="0"/>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46" w:lineRule="exact"/>
        <w:rPr>
          <w:rFonts w:ascii="Arial" w:cs="Arial" w:eastAsia="Arial" w:hAnsi="Arial"/>
          <w:sz w:val="17"/>
          <w:szCs w:val="17"/>
          <w:color w:val="auto"/>
        </w:rPr>
      </w:pPr>
    </w:p>
    <w:p>
      <w:pPr>
        <w:jc w:val="both"/>
        <w:ind w:firstLine="8"/>
        <w:spacing w:after="0" w:line="264" w:lineRule="auto"/>
        <w:tabs>
          <w:tab w:leader="none" w:pos="1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30,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Andrew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Ellen Cohl, certify that:</w:t>
      </w:r>
    </w:p>
    <w:p>
      <w:pPr>
        <w:spacing w:after="0" w:line="225"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Vringo, Inc.;</w:t>
      </w:r>
    </w:p>
    <w:p>
      <w:pPr>
        <w:spacing w:after="0" w:line="225"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right="20" w:firstLine="8"/>
        <w:spacing w:after="0" w:line="277" w:lineRule="auto"/>
        <w:tabs>
          <w:tab w:leader="none" w:pos="1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308" w:lineRule="auto"/>
        <w:tabs>
          <w:tab w:leader="none" w:pos="186" w:val="left"/>
        </w:tabs>
        <w:numPr>
          <w:ilvl w:val="0"/>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46" w:lineRule="exact"/>
        <w:rPr>
          <w:rFonts w:ascii="Arial" w:cs="Arial" w:eastAsia="Arial" w:hAnsi="Arial"/>
          <w:sz w:val="17"/>
          <w:szCs w:val="17"/>
          <w:color w:val="auto"/>
        </w:rPr>
      </w:pPr>
    </w:p>
    <w:p>
      <w:pPr>
        <w:jc w:val="both"/>
        <w:ind w:firstLine="8"/>
        <w:spacing w:after="0" w:line="264" w:lineRule="auto"/>
        <w:tabs>
          <w:tab w:leader="none" w:pos="1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30,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w:t>
      </w:r>
      <w:r>
        <w:rPr>
          <w:rFonts w:ascii="Arial" w:cs="Arial" w:eastAsia="Arial" w:hAnsi="Arial"/>
          <w:sz w:val="12"/>
          <w:szCs w:val="12"/>
          <w:color w:val="auto"/>
        </w:rPr>
        <w:t>LLEN</w:t>
      </w:r>
      <w:r>
        <w:rPr>
          <w:rFonts w:ascii="Arial" w:cs="Arial" w:eastAsia="Arial" w:hAnsi="Arial"/>
          <w:sz w:val="18"/>
          <w:szCs w:val="18"/>
          <w:color w:val="auto"/>
        </w:rPr>
        <w:t xml:space="preserve"> C</w:t>
      </w:r>
      <w:r>
        <w:rPr>
          <w:rFonts w:ascii="Arial" w:cs="Arial" w:eastAsia="Arial" w:hAnsi="Arial"/>
          <w:sz w:val="12"/>
          <w:szCs w:val="12"/>
          <w:color w:val="auto"/>
        </w:rPr>
        <w:t>OHL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on Form 10-K of Vringo, Inc. (the "Company") for the year ended December 31, 2011 as filed with the Securities and Exchange Commission on the date hereof (the "Report") I, Andrew Perlman, Principal Executive Officer of the Company, certify, pursuant to § 906 of the Sarbanes-Oxley Act of 2002, 18 U.S.C. § 1350, that to my knowledge:</w:t>
      </w:r>
    </w:p>
    <w:p>
      <w:pPr>
        <w:spacing w:after="0" w:line="181"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 (d)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30, 2012</w:t>
      </w:r>
    </w:p>
    <w:p>
      <w:pPr>
        <w:ind w:left="5720"/>
        <w:spacing w:after="0"/>
        <w:rPr>
          <w:sz w:val="20"/>
          <w:szCs w:val="20"/>
          <w:color w:val="auto"/>
        </w:rPr>
      </w:pPr>
      <w:r>
        <w:rPr>
          <w:rFonts w:ascii="Arial" w:cs="Arial" w:eastAsia="Arial" w:hAnsi="Arial"/>
          <w:sz w:val="18"/>
          <w:szCs w:val="18"/>
          <w:color w:val="auto"/>
        </w:rPr>
        <w:t>/s/ ANDREW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on Form 10-K of Vringo, Inc. (the "Company") for the year ended December 31, 2011 as filed with the Securities and Exchange Commission on the date hereof (the "Report") I, Ellen Cohl, Chief Financial Officer of the Company, certify, pursuant to § 906 of the Sarbanes-Oxley Act of 2002, 18 U.S.C. § 1350, that to my knowledge:</w:t>
      </w:r>
    </w:p>
    <w:p>
      <w:pPr>
        <w:spacing w:after="0" w:line="181"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30, 2012</w:t>
      </w:r>
    </w:p>
    <w:p>
      <w:pPr>
        <w:ind w:left="5720"/>
        <w:spacing w:after="0"/>
        <w:rPr>
          <w:sz w:val="20"/>
          <w:szCs w:val="20"/>
          <w:color w:val="auto"/>
        </w:rPr>
      </w:pPr>
      <w:r>
        <w:rPr>
          <w:rFonts w:ascii="Arial" w:cs="Arial" w:eastAsia="Arial" w:hAnsi="Arial"/>
          <w:sz w:val="18"/>
          <w:szCs w:val="18"/>
          <w:color w:val="auto"/>
        </w:rPr>
        <w:t>/s/ E</w:t>
      </w:r>
      <w:r>
        <w:rPr>
          <w:rFonts w:ascii="Arial" w:cs="Arial" w:eastAsia="Arial" w:hAnsi="Arial"/>
          <w:sz w:val="12"/>
          <w:szCs w:val="12"/>
          <w:color w:val="auto"/>
        </w:rPr>
        <w:t>LLEN</w:t>
      </w:r>
      <w:r>
        <w:rPr>
          <w:rFonts w:ascii="Arial" w:cs="Arial" w:eastAsia="Arial" w:hAnsi="Arial"/>
          <w:sz w:val="18"/>
          <w:szCs w:val="18"/>
          <w:color w:val="auto"/>
        </w:rPr>
        <w:t xml:space="preserve"> C</w:t>
      </w:r>
      <w:r>
        <w:rPr>
          <w:rFonts w:ascii="Arial" w:cs="Arial" w:eastAsia="Arial" w:hAnsi="Arial"/>
          <w:sz w:val="12"/>
          <w:szCs w:val="12"/>
          <w:color w:val="auto"/>
        </w:rPr>
        <w:t>OHL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S"/>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lowerRoman"/>
      <w:start w:val="4"/>
    </w:lvl>
  </w:abstractNum>
  <w:abstractNum w:abstractNumId="8">
    <w:nsid w:val="2CA88611"/>
    <w:multiLevelType w:val="hybridMultilevel"/>
    <w:lvl w:ilvl="0">
      <w:lvlJc w:val="left"/>
      <w:lvlText w:val="%1."/>
      <w:numFmt w:val="decimal"/>
      <w:start w:val="15"/>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lvl w:ilvl="1">
      <w:lvlJc w:val="left"/>
      <w:lvlText w:val="(%2)"/>
      <w:numFmt w:val="lowerLetter"/>
      <w:start w:val="3"/>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3"/>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1"/>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lowerRoman"/>
      <w:start w:val="1"/>
    </w:lvl>
  </w:abstractNum>
  <w:abstractNum w:abstractNumId="27">
    <w:nsid w:val="7724C67E"/>
    <w:multiLevelType w:val="hybridMultilevel"/>
    <w:lvl w:ilvl="0">
      <w:lvlJc w:val="left"/>
      <w:lvlText w:val="%1."/>
      <w:numFmt w:val="decimal"/>
      <w:start w:val="5"/>
    </w:lvl>
  </w:abstractNum>
  <w:abstractNum w:abstractNumId="28">
    <w:nsid w:val="5C482A97"/>
    <w:multiLevelType w:val="hybridMultilevel"/>
    <w:lvl w:ilvl="0">
      <w:lvlJc w:val="left"/>
      <w:lvlText w:val="%1."/>
      <w:numFmt w:val="decimal"/>
      <w:start w:val="7"/>
    </w:lvl>
  </w:abstractNum>
  <w:abstractNum w:abstractNumId="29">
    <w:nsid w:val="2463B9EA"/>
    <w:multiLevelType w:val="hybridMultilevel"/>
    <w:lvl w:ilvl="0">
      <w:lvlJc w:val="left"/>
      <w:lvlText w:val="%1."/>
      <w:numFmt w:val="decimal"/>
      <w:start w:val="10"/>
    </w:lvl>
  </w:abstractNum>
  <w:abstractNum w:abstractNumId="30">
    <w:nsid w:val="5E884ADC"/>
    <w:multiLevelType w:val="hybridMultilevel"/>
    <w:lvl w:ilvl="0">
      <w:lvlJc w:val="left"/>
      <w:lvlText w:val="%1."/>
      <w:numFmt w:val="decimal"/>
      <w:start w:val="16"/>
    </w:lvl>
  </w:abstractNum>
  <w:abstractNum w:abstractNumId="31">
    <w:nsid w:val="51EAD36B"/>
    <w:multiLevelType w:val="hybridMultilevel"/>
    <w:lvl w:ilvl="0">
      <w:lvlJc w:val="left"/>
      <w:lvlText w:val="%1"/>
      <w:numFmt w:val="decimal"/>
      <w:start w:val="1"/>
    </w:lvl>
    <w:lvl w:ilvl="1">
      <w:lvlJc w:val="left"/>
      <w:lvlText w:val="(%2)"/>
      <w:numFmt w:val="lowerRoman"/>
      <w:start w:val="1"/>
    </w:lvl>
  </w:abstractNum>
  <w:abstractNum w:abstractNumId="32">
    <w:nsid w:val="2D517796"/>
    <w:multiLevelType w:val="hybridMultilevel"/>
    <w:lvl w:ilvl="0">
      <w:lvlJc w:val="left"/>
      <w:lvlText w:val="%1."/>
      <w:numFmt w:val="decimal"/>
      <w:start w:val="20"/>
    </w:lvl>
    <w:lvl w:ilvl="1">
      <w:lvlJc w:val="left"/>
      <w:lvlText w:val="(%2)"/>
      <w:numFmt w:val="lowerRoman"/>
      <w:start w:val="1"/>
    </w:lvl>
  </w:abstractNum>
  <w:abstractNum w:abstractNumId="33">
    <w:nsid w:val="580BD78F"/>
    <w:multiLevelType w:val="hybridMultilevel"/>
    <w:lvl w:ilvl="0">
      <w:lvlJc w:val="left"/>
      <w:lvlText w:val="(%1)"/>
      <w:numFmt w:val="lowerRoman"/>
      <w:start w:val="5"/>
    </w:lvl>
  </w:abstractNum>
  <w:abstractNum w:abstractNumId="34">
    <w:nsid w:val="153EA438"/>
    <w:multiLevelType w:val="hybridMultilevel"/>
    <w:lvl w:ilvl="0">
      <w:lvlJc w:val="left"/>
      <w:lvlText w:val="%1."/>
      <w:numFmt w:val="decimal"/>
      <w:start w:val="22"/>
    </w:lvl>
  </w:abstractNum>
  <w:abstractNum w:abstractNumId="35">
    <w:nsid w:val="3855585C"/>
    <w:multiLevelType w:val="hybridMultilevel"/>
    <w:lvl w:ilvl="0">
      <w:lvlJc w:val="left"/>
      <w:lvlText w:val="%1."/>
      <w:numFmt w:val="decimal"/>
      <w:start w:val="26"/>
    </w:lvl>
  </w:abstractNum>
  <w:abstractNum w:abstractNumId="36">
    <w:nsid w:val="70A64E2A"/>
    <w:multiLevelType w:val="hybridMultilevel"/>
    <w:lvl w:ilvl="0">
      <w:lvlJc w:val="left"/>
      <w:lvlText w:val="%1."/>
      <w:numFmt w:val="decimal"/>
      <w:start w:val="30"/>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2019-12-09T19:05:35Z</dcterms:created>
  <dcterms:modified xsi:type="dcterms:W3CDTF">2019-12-09T19:05:35Z</dcterms:modified>
</cp:coreProperties>
</file>