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3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Vringo, Inc.</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92911N104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May 4, 2015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   Rule 13d-1(b)</w:t>
      </w:r>
    </w:p>
    <w:p>
      <w:pPr>
        <w:spacing w:after="0" w:line="192" w:lineRule="exact"/>
        <w:rPr>
          <w:rFonts w:ascii="Arial" w:cs="Arial" w:eastAsia="Arial" w:hAnsi="Arial"/>
          <w:sz w:val="18"/>
          <w:szCs w:val="18"/>
          <w:color w:val="auto"/>
        </w:rPr>
      </w:pPr>
    </w:p>
    <w:p>
      <w:pPr>
        <w:ind w:left="580" w:hanging="572"/>
        <w:spacing w:after="0" w:line="207" w:lineRule="exact"/>
        <w:tabs>
          <w:tab w:leader="none" w:pos="58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13d-1(c)</w:t>
      </w:r>
    </w:p>
    <w:p>
      <w:pPr>
        <w:spacing w:after="0" w:line="257"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   Rule 13d-1(d)</w:t>
      </w:r>
    </w:p>
    <w:p>
      <w:pPr>
        <w:spacing w:after="0" w:line="225" w:lineRule="exact"/>
        <w:rPr>
          <w:sz w:val="24"/>
          <w:szCs w:val="24"/>
          <w:color w:val="auto"/>
        </w:rPr>
      </w:pPr>
    </w:p>
    <w:p>
      <w:pPr>
        <w:ind w:left="240" w:right="80" w:hanging="232"/>
        <w:spacing w:after="0" w:line="277" w:lineRule="auto"/>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259080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81"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92911N104</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600" w:type="dxa"/>
            <w:vAlign w:val="bottom"/>
            <w:tcBorders>
              <w:top w:val="single" w:sz="8" w:color="auto"/>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820" w:type="dxa"/>
            <w:vAlign w:val="bottom"/>
            <w:tcBorders>
              <w:top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Names of reporting persons.</w:t>
            </w: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108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108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Iroquois Capital Management L.L.C.</w:t>
            </w:r>
          </w:p>
        </w:tc>
      </w:tr>
      <w:tr>
        <w:trPr>
          <w:trHeight w:val="149"/>
        </w:trPr>
        <w:tc>
          <w:tcPr>
            <w:tcW w:w="600" w:type="dxa"/>
            <w:vAlign w:val="bottom"/>
            <w:tcBorders>
              <w:left w:val="single" w:sz="8" w:color="auto"/>
              <w:bottom w:val="single" w:sz="8" w:color="auto"/>
              <w:right w:val="single" w:sz="8" w:color="auto"/>
            </w:tcBorders>
          </w:tcPr>
          <w:p>
            <w:pPr>
              <w:spacing w:after="0"/>
              <w:rPr>
                <w:sz w:val="12"/>
                <w:szCs w:val="12"/>
                <w:color w:val="auto"/>
              </w:rPr>
            </w:pPr>
          </w:p>
        </w:tc>
        <w:tc>
          <w:tcPr>
            <w:tcW w:w="580" w:type="dxa"/>
            <w:vAlign w:val="bottom"/>
            <w:tcBorders>
              <w:bottom w:val="single" w:sz="8" w:color="auto"/>
            </w:tcBorders>
            <w:gridSpan w:val="2"/>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9560" w:type="dxa"/>
            <w:vAlign w:val="bottom"/>
            <w:tcBorders>
              <w:bottom w:val="single" w:sz="8" w:color="auto"/>
              <w:right w:val="single" w:sz="8" w:color="auto"/>
            </w:tcBorders>
          </w:tcPr>
          <w:p>
            <w:pPr>
              <w:spacing w:after="0"/>
              <w:rPr>
                <w:sz w:val="12"/>
                <w:szCs w:val="12"/>
                <w:color w:val="auto"/>
              </w:rPr>
            </w:pPr>
          </w:p>
        </w:tc>
      </w:tr>
      <w:tr>
        <w:trPr>
          <w:trHeight w:val="224"/>
        </w:trPr>
        <w:tc>
          <w:tcPr>
            <w:tcW w:w="6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8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r>
      <w:tr>
        <w:trPr>
          <w:trHeight w:val="404"/>
        </w:trPr>
        <w:tc>
          <w:tcPr>
            <w:tcW w:w="600" w:type="dxa"/>
            <w:vAlign w:val="bottom"/>
            <w:tcBorders>
              <w:left w:val="single" w:sz="8" w:color="auto"/>
              <w:right w:val="single" w:sz="8" w:color="auto"/>
            </w:tcBorders>
          </w:tcPr>
          <w:p>
            <w:pPr>
              <w:spacing w:after="0"/>
              <w:rPr>
                <w:sz w:val="24"/>
                <w:szCs w:val="24"/>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(a)</w:t>
            </w:r>
          </w:p>
        </w:tc>
        <w:tc>
          <w:tcPr>
            <w:tcW w:w="500" w:type="dxa"/>
            <w:vAlign w:val="bottom"/>
            <w:gridSpan w:val="2"/>
          </w:tcPr>
          <w:p>
            <w:pPr>
              <w:spacing w:after="0"/>
              <w:rPr>
                <w:sz w:val="20"/>
                <w:szCs w:val="20"/>
                <w:color w:val="auto"/>
              </w:rPr>
            </w:pPr>
            <w:r>
              <w:rPr>
                <w:rFonts w:ascii="Arial" w:cs="Arial" w:eastAsia="Arial" w:hAnsi="Arial"/>
                <w:sz w:val="18"/>
                <w:szCs w:val="18"/>
                <w:color w:val="auto"/>
              </w:rPr>
              <w:t>o</w:t>
            </w:r>
          </w:p>
        </w:tc>
        <w:tc>
          <w:tcPr>
            <w:tcW w:w="380" w:type="dxa"/>
            <w:vAlign w:val="bottom"/>
          </w:tcPr>
          <w:p>
            <w:pPr>
              <w:spacing w:after="0"/>
              <w:rPr>
                <w:sz w:val="24"/>
                <w:szCs w:val="24"/>
                <w:color w:val="auto"/>
              </w:rPr>
            </w:pPr>
          </w:p>
        </w:tc>
        <w:tc>
          <w:tcPr>
            <w:tcW w:w="9560" w:type="dxa"/>
            <w:vAlign w:val="bottom"/>
            <w:tcBorders>
              <w:right w:val="single" w:sz="8" w:color="auto"/>
            </w:tcBorders>
          </w:tcPr>
          <w:p>
            <w:pPr>
              <w:spacing w:after="0"/>
              <w:rPr>
                <w:sz w:val="24"/>
                <w:szCs w:val="24"/>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(b)</w:t>
            </w: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o</w:t>
            </w:r>
          </w:p>
        </w:tc>
        <w:tc>
          <w:tcPr>
            <w:tcW w:w="380" w:type="dxa"/>
            <w:vAlign w:val="bottom"/>
          </w:tcPr>
          <w:p>
            <w:pPr>
              <w:spacing w:after="0"/>
              <w:rPr>
                <w:sz w:val="20"/>
                <w:szCs w:val="20"/>
                <w:color w:val="auto"/>
              </w:rPr>
            </w:pPr>
          </w:p>
        </w:tc>
        <w:tc>
          <w:tcPr>
            <w:tcW w:w="9560" w:type="dxa"/>
            <w:vAlign w:val="bottom"/>
            <w:tcBorders>
              <w:right w:val="single" w:sz="8" w:color="auto"/>
            </w:tcBorders>
          </w:tcPr>
          <w:p>
            <w:pPr>
              <w:spacing w:after="0"/>
              <w:rPr>
                <w:sz w:val="20"/>
                <w:szCs w:val="20"/>
                <w:color w:val="auto"/>
              </w:rPr>
            </w:pPr>
          </w:p>
        </w:tc>
      </w:tr>
      <w:tr>
        <w:trPr>
          <w:trHeight w:val="216"/>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gridSpan w:val="2"/>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9560" w:type="dxa"/>
            <w:vAlign w:val="bottom"/>
            <w:tcBorders>
              <w:bottom w:val="single" w:sz="8" w:color="auto"/>
              <w:right w:val="single" w:sz="8" w:color="auto"/>
            </w:tcBorders>
          </w:tcPr>
          <w:p>
            <w:pPr>
              <w:spacing w:after="0"/>
              <w:rPr>
                <w:sz w:val="18"/>
                <w:szCs w:val="18"/>
                <w:color w:val="auto"/>
              </w:rPr>
            </w:pPr>
          </w:p>
        </w:tc>
      </w:tr>
      <w:tr>
        <w:trPr>
          <w:trHeight w:val="224"/>
        </w:trPr>
        <w:tc>
          <w:tcPr>
            <w:tcW w:w="6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6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9560" w:type="dxa"/>
            <w:vAlign w:val="bottom"/>
            <w:tcBorders>
              <w:right w:val="single" w:sz="8" w:color="auto"/>
            </w:tcBorders>
          </w:tcPr>
          <w:p>
            <w:pPr>
              <w:spacing w:after="0"/>
              <w:rPr>
                <w:sz w:val="19"/>
                <w:szCs w:val="19"/>
                <w:color w:val="auto"/>
              </w:rPr>
            </w:pPr>
          </w:p>
        </w:tc>
      </w:tr>
      <w:tr>
        <w:trPr>
          <w:trHeight w:val="202"/>
        </w:trPr>
        <w:tc>
          <w:tcPr>
            <w:tcW w:w="600" w:type="dxa"/>
            <w:vAlign w:val="bottom"/>
            <w:tcBorders>
              <w:left w:val="single" w:sz="8" w:color="auto"/>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gridSpan w:val="2"/>
          </w:tcPr>
          <w:p>
            <w:pPr>
              <w:spacing w:after="0"/>
              <w:rPr>
                <w:sz w:val="17"/>
                <w:szCs w:val="17"/>
                <w:color w:val="auto"/>
              </w:rPr>
            </w:pPr>
          </w:p>
        </w:tc>
        <w:tc>
          <w:tcPr>
            <w:tcW w:w="680" w:type="dxa"/>
            <w:vAlign w:val="bottom"/>
            <w:tcBorders>
              <w:bottom w:val="single" w:sz="8" w:color="auto"/>
            </w:tcBorders>
            <w:gridSpan w:val="2"/>
          </w:tcPr>
          <w:p>
            <w:pPr>
              <w:spacing w:after="0"/>
              <w:rPr>
                <w:sz w:val="17"/>
                <w:szCs w:val="17"/>
                <w:color w:val="auto"/>
              </w:rPr>
            </w:pPr>
          </w:p>
        </w:tc>
        <w:tc>
          <w:tcPr>
            <w:tcW w:w="9560" w:type="dxa"/>
            <w:vAlign w:val="bottom"/>
            <w:tcBorders>
              <w:bottom w:val="single" w:sz="8" w:color="auto"/>
              <w:right w:val="single" w:sz="8" w:color="auto"/>
            </w:tcBorders>
          </w:tcPr>
          <w:p>
            <w:pPr>
              <w:spacing w:after="0"/>
              <w:rPr>
                <w:sz w:val="17"/>
                <w:szCs w:val="17"/>
                <w:color w:val="auto"/>
              </w:rPr>
            </w:pPr>
          </w:p>
        </w:tc>
      </w:tr>
      <w:tr>
        <w:trPr>
          <w:trHeight w:val="224"/>
        </w:trPr>
        <w:tc>
          <w:tcPr>
            <w:tcW w:w="6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8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Citizenship or place of organization</w:t>
            </w:r>
          </w:p>
        </w:tc>
      </w:tr>
      <w:tr>
        <w:trPr>
          <w:trHeight w:val="418"/>
        </w:trPr>
        <w:tc>
          <w:tcPr>
            <w:tcW w:w="600" w:type="dxa"/>
            <w:vAlign w:val="bottom"/>
            <w:tcBorders>
              <w:left w:val="single" w:sz="8" w:color="auto"/>
              <w:right w:val="single" w:sz="8" w:color="auto"/>
            </w:tcBorders>
          </w:tcPr>
          <w:p>
            <w:pPr>
              <w:spacing w:after="0"/>
              <w:rPr>
                <w:sz w:val="24"/>
                <w:szCs w:val="24"/>
                <w:color w:val="auto"/>
              </w:rPr>
            </w:pPr>
          </w:p>
        </w:tc>
        <w:tc>
          <w:tcPr>
            <w:tcW w:w="880" w:type="dxa"/>
            <w:vAlign w:val="bottom"/>
            <w:gridSpan w:val="3"/>
          </w:tcPr>
          <w:p>
            <w:pPr>
              <w:ind w:left="100"/>
              <w:spacing w:after="0"/>
              <w:rPr>
                <w:sz w:val="20"/>
                <w:szCs w:val="20"/>
                <w:color w:val="auto"/>
              </w:rPr>
            </w:pPr>
            <w:r>
              <w:rPr>
                <w:rFonts w:ascii="Arial" w:cs="Arial" w:eastAsia="Arial" w:hAnsi="Arial"/>
                <w:sz w:val="18"/>
                <w:szCs w:val="18"/>
                <w:color w:val="auto"/>
                <w:w w:val="99"/>
              </w:rPr>
              <w:t>Delaware</w:t>
            </w:r>
          </w:p>
        </w:tc>
        <w:tc>
          <w:tcPr>
            <w:tcW w:w="380" w:type="dxa"/>
            <w:vAlign w:val="bottom"/>
          </w:tcPr>
          <w:p>
            <w:pPr>
              <w:spacing w:after="0"/>
              <w:rPr>
                <w:sz w:val="24"/>
                <w:szCs w:val="24"/>
                <w:color w:val="auto"/>
              </w:rPr>
            </w:pPr>
          </w:p>
        </w:tc>
        <w:tc>
          <w:tcPr>
            <w:tcW w:w="9560" w:type="dxa"/>
            <w:vAlign w:val="bottom"/>
            <w:tcBorders>
              <w:right w:val="single" w:sz="8" w:color="auto"/>
            </w:tcBorders>
          </w:tcPr>
          <w:p>
            <w:pPr>
              <w:spacing w:after="0"/>
              <w:rPr>
                <w:sz w:val="24"/>
                <w:szCs w:val="24"/>
                <w:color w:val="auto"/>
              </w:rPr>
            </w:pP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560" w:type="dxa"/>
            <w:vAlign w:val="bottom"/>
            <w:tcBorders>
              <w:bottom w:val="single" w:sz="8" w:color="auto"/>
              <w:right w:val="single" w:sz="8" w:color="auto"/>
            </w:tcBorders>
          </w:tcPr>
          <w:p>
            <w:pPr>
              <w:spacing w:after="0"/>
              <w:rPr>
                <w:sz w:val="8"/>
                <w:szCs w:val="8"/>
                <w:color w:val="auto"/>
              </w:rPr>
            </w:pPr>
          </w:p>
        </w:tc>
      </w:tr>
      <w:tr>
        <w:trPr>
          <w:trHeight w:val="195"/>
        </w:trPr>
        <w:tc>
          <w:tcPr>
            <w:tcW w:w="1180" w:type="dxa"/>
            <w:vAlign w:val="bottom"/>
            <w:tcBorders>
              <w:left w:val="single" w:sz="8" w:color="auto"/>
              <w:right w:val="single" w:sz="8" w:color="auto"/>
            </w:tcBorders>
            <w:gridSpan w:val="3"/>
          </w:tcPr>
          <w:p>
            <w:pPr>
              <w:jc w:val="center"/>
              <w:ind w:left="30"/>
              <w:spacing w:after="0" w:line="195" w:lineRule="exact"/>
              <w:rPr>
                <w:sz w:val="20"/>
                <w:szCs w:val="20"/>
                <w:color w:val="auto"/>
              </w:rPr>
            </w:pPr>
            <w:r>
              <w:rPr>
                <w:rFonts w:ascii="Arial" w:cs="Arial" w:eastAsia="Arial" w:hAnsi="Arial"/>
                <w:sz w:val="18"/>
                <w:szCs w:val="18"/>
                <w:color w:val="auto"/>
                <w:w w:val="92"/>
              </w:rPr>
              <w:t>Number of</w:t>
            </w:r>
          </w:p>
        </w:tc>
        <w:tc>
          <w:tcPr>
            <w:tcW w:w="300" w:type="dxa"/>
            <w:vAlign w:val="bottom"/>
          </w:tcPr>
          <w:p>
            <w:pPr>
              <w:spacing w:after="0"/>
              <w:rPr>
                <w:sz w:val="16"/>
                <w:szCs w:val="16"/>
                <w:color w:val="auto"/>
              </w:rPr>
            </w:pPr>
          </w:p>
        </w:tc>
        <w:tc>
          <w:tcPr>
            <w:tcW w:w="3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(5)</w:t>
            </w:r>
          </w:p>
        </w:tc>
        <w:tc>
          <w:tcPr>
            <w:tcW w:w="95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Sole voting power</w:t>
            </w:r>
          </w:p>
        </w:tc>
      </w:tr>
      <w:tr>
        <w:trPr>
          <w:trHeight w:val="216"/>
        </w:trPr>
        <w:tc>
          <w:tcPr>
            <w:tcW w:w="980" w:type="dxa"/>
            <w:vAlign w:val="bottom"/>
            <w:tcBorders>
              <w:left w:val="single" w:sz="8" w:color="auto"/>
            </w:tcBorders>
            <w:gridSpan w:val="2"/>
          </w:tcPr>
          <w:p>
            <w:pPr>
              <w:jc w:val="center"/>
              <w:ind w:left="230"/>
              <w:spacing w:after="0"/>
              <w:rPr>
                <w:sz w:val="20"/>
                <w:szCs w:val="20"/>
                <w:color w:val="auto"/>
              </w:rPr>
            </w:pPr>
            <w:r>
              <w:rPr>
                <w:rFonts w:ascii="Arial" w:cs="Arial" w:eastAsia="Arial" w:hAnsi="Arial"/>
                <w:sz w:val="18"/>
                <w:szCs w:val="18"/>
                <w:color w:val="auto"/>
                <w:w w:val="85"/>
              </w:rPr>
              <w:t>shares</w:t>
            </w:r>
          </w:p>
        </w:tc>
        <w:tc>
          <w:tcPr>
            <w:tcW w:w="2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9560" w:type="dxa"/>
            <w:vAlign w:val="bottom"/>
            <w:tcBorders>
              <w:right w:val="single" w:sz="8" w:color="auto"/>
            </w:tcBorders>
          </w:tcPr>
          <w:p>
            <w:pPr>
              <w:spacing w:after="0"/>
              <w:rPr>
                <w:sz w:val="18"/>
                <w:szCs w:val="18"/>
                <w:color w:val="auto"/>
              </w:rPr>
            </w:pPr>
          </w:p>
        </w:tc>
      </w:tr>
      <w:tr>
        <w:trPr>
          <w:trHeight w:val="216"/>
        </w:trPr>
        <w:tc>
          <w:tcPr>
            <w:tcW w:w="118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beneficially</w:t>
            </w:r>
          </w:p>
        </w:tc>
        <w:tc>
          <w:tcPr>
            <w:tcW w:w="30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0</w:t>
            </w:r>
          </w:p>
        </w:tc>
      </w:tr>
      <w:tr>
        <w:trPr>
          <w:trHeight w:val="216"/>
        </w:trPr>
        <w:tc>
          <w:tcPr>
            <w:tcW w:w="118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0"/>
              </w:rPr>
              <w:t>owned by</w:t>
            </w:r>
          </w:p>
        </w:tc>
        <w:tc>
          <w:tcPr>
            <w:tcW w:w="30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9560" w:type="dxa"/>
            <w:vAlign w:val="bottom"/>
            <w:tcBorders>
              <w:right w:val="single" w:sz="8" w:color="auto"/>
            </w:tcBorders>
          </w:tcPr>
          <w:p>
            <w:pPr>
              <w:spacing w:after="0"/>
              <w:rPr>
                <w:sz w:val="18"/>
                <w:szCs w:val="18"/>
                <w:color w:val="auto"/>
              </w:rPr>
            </w:pPr>
          </w:p>
        </w:tc>
      </w:tr>
      <w:tr>
        <w:trPr>
          <w:trHeight w:val="216"/>
        </w:trPr>
        <w:tc>
          <w:tcPr>
            <w:tcW w:w="980" w:type="dxa"/>
            <w:vAlign w:val="bottom"/>
            <w:tcBorders>
              <w:left w:val="single" w:sz="8" w:color="auto"/>
            </w:tcBorders>
            <w:gridSpan w:val="2"/>
          </w:tcPr>
          <w:p>
            <w:pPr>
              <w:jc w:val="center"/>
              <w:ind w:left="230"/>
              <w:spacing w:after="0"/>
              <w:rPr>
                <w:sz w:val="20"/>
                <w:szCs w:val="20"/>
                <w:color w:val="auto"/>
              </w:rPr>
            </w:pPr>
            <w:r>
              <w:rPr>
                <w:rFonts w:ascii="Arial" w:cs="Arial" w:eastAsia="Arial" w:hAnsi="Arial"/>
                <w:sz w:val="18"/>
                <w:szCs w:val="18"/>
                <w:color w:val="auto"/>
                <w:w w:val="86"/>
              </w:rPr>
              <w:t>each</w:t>
            </w:r>
          </w:p>
        </w:tc>
        <w:tc>
          <w:tcPr>
            <w:tcW w:w="2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9560" w:type="dxa"/>
            <w:vAlign w:val="bottom"/>
            <w:tcBorders>
              <w:right w:val="single" w:sz="8" w:color="auto"/>
            </w:tcBorders>
          </w:tcPr>
          <w:p>
            <w:pPr>
              <w:spacing w:after="0"/>
              <w:rPr>
                <w:sz w:val="18"/>
                <w:szCs w:val="18"/>
                <w:color w:val="auto"/>
              </w:rPr>
            </w:pPr>
          </w:p>
        </w:tc>
      </w:tr>
      <w:tr>
        <w:trPr>
          <w:trHeight w:val="216"/>
        </w:trPr>
        <w:tc>
          <w:tcPr>
            <w:tcW w:w="980" w:type="dxa"/>
            <w:vAlign w:val="bottom"/>
            <w:tcBorders>
              <w:left w:val="single" w:sz="8" w:color="auto"/>
            </w:tcBorders>
            <w:gridSpan w:val="2"/>
          </w:tcPr>
          <w:p>
            <w:pPr>
              <w:jc w:val="center"/>
              <w:ind w:left="230"/>
              <w:spacing w:after="0"/>
              <w:rPr>
                <w:sz w:val="20"/>
                <w:szCs w:val="20"/>
                <w:color w:val="auto"/>
              </w:rPr>
            </w:pPr>
            <w:r>
              <w:rPr>
                <w:rFonts w:ascii="Arial" w:cs="Arial" w:eastAsia="Arial" w:hAnsi="Arial"/>
                <w:sz w:val="18"/>
                <w:szCs w:val="18"/>
                <w:color w:val="auto"/>
                <w:w w:val="92"/>
              </w:rPr>
              <w:t>reporting</w:t>
            </w:r>
          </w:p>
        </w:tc>
        <w:tc>
          <w:tcPr>
            <w:tcW w:w="2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9560" w:type="dxa"/>
            <w:vAlign w:val="bottom"/>
            <w:tcBorders>
              <w:right w:val="single" w:sz="8" w:color="auto"/>
            </w:tcBorders>
          </w:tcPr>
          <w:p>
            <w:pPr>
              <w:spacing w:after="0"/>
              <w:rPr>
                <w:sz w:val="18"/>
                <w:szCs w:val="18"/>
                <w:color w:val="auto"/>
              </w:rPr>
            </w:pPr>
          </w:p>
        </w:tc>
      </w:tr>
      <w:tr>
        <w:trPr>
          <w:trHeight w:val="216"/>
        </w:trPr>
        <w:tc>
          <w:tcPr>
            <w:tcW w:w="980" w:type="dxa"/>
            <w:vAlign w:val="bottom"/>
            <w:tcBorders>
              <w:left w:val="single" w:sz="8" w:color="auto"/>
            </w:tcBorders>
            <w:gridSpan w:val="2"/>
          </w:tcPr>
          <w:p>
            <w:pPr>
              <w:jc w:val="center"/>
              <w:ind w:left="210"/>
              <w:spacing w:after="0"/>
              <w:rPr>
                <w:sz w:val="20"/>
                <w:szCs w:val="20"/>
                <w:color w:val="auto"/>
              </w:rPr>
            </w:pPr>
            <w:r>
              <w:rPr>
                <w:rFonts w:ascii="Arial" w:cs="Arial" w:eastAsia="Arial" w:hAnsi="Arial"/>
                <w:sz w:val="18"/>
                <w:szCs w:val="18"/>
                <w:color w:val="auto"/>
                <w:w w:val="87"/>
              </w:rPr>
              <w:t>person</w:t>
            </w:r>
          </w:p>
        </w:tc>
        <w:tc>
          <w:tcPr>
            <w:tcW w:w="2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9560" w:type="dxa"/>
            <w:vAlign w:val="bottom"/>
            <w:tcBorders>
              <w:right w:val="single" w:sz="8" w:color="auto"/>
            </w:tcBorders>
          </w:tcPr>
          <w:p>
            <w:pPr>
              <w:spacing w:after="0"/>
              <w:rPr>
                <w:sz w:val="18"/>
                <w:szCs w:val="18"/>
                <w:color w:val="auto"/>
              </w:rPr>
            </w:pPr>
          </w:p>
        </w:tc>
      </w:tr>
      <w:tr>
        <w:trPr>
          <w:trHeight w:val="230"/>
        </w:trPr>
        <w:tc>
          <w:tcPr>
            <w:tcW w:w="980" w:type="dxa"/>
            <w:vAlign w:val="bottom"/>
            <w:tcBorders>
              <w:left w:val="single" w:sz="8" w:color="auto"/>
            </w:tcBorders>
            <w:gridSpan w:val="2"/>
          </w:tcPr>
          <w:p>
            <w:pPr>
              <w:jc w:val="center"/>
              <w:ind w:left="230"/>
              <w:spacing w:after="0"/>
              <w:rPr>
                <w:sz w:val="20"/>
                <w:szCs w:val="20"/>
                <w:color w:val="auto"/>
              </w:rPr>
            </w:pPr>
            <w:r>
              <w:rPr>
                <w:rFonts w:ascii="Arial" w:cs="Arial" w:eastAsia="Arial" w:hAnsi="Arial"/>
                <w:sz w:val="18"/>
                <w:szCs w:val="18"/>
                <w:color w:val="auto"/>
              </w:rPr>
              <w:t>with:</w:t>
            </w:r>
          </w:p>
        </w:tc>
        <w:tc>
          <w:tcPr>
            <w:tcW w:w="200" w:type="dxa"/>
            <w:vAlign w:val="bottom"/>
            <w:tcBorders>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9560" w:type="dxa"/>
            <w:vAlign w:val="bottom"/>
            <w:tcBorders>
              <w:bottom w:val="single" w:sz="8" w:color="auto"/>
              <w:right w:val="single" w:sz="8" w:color="auto"/>
            </w:tcBorders>
          </w:tcPr>
          <w:p>
            <w:pPr>
              <w:spacing w:after="0"/>
              <w:rPr>
                <w:sz w:val="20"/>
                <w:szCs w:val="20"/>
                <w:color w:val="auto"/>
              </w:rPr>
            </w:pPr>
          </w:p>
        </w:tc>
      </w:tr>
      <w:tr>
        <w:trPr>
          <w:trHeight w:val="224"/>
        </w:trPr>
        <w:tc>
          <w:tcPr>
            <w:tcW w:w="600" w:type="dxa"/>
            <w:vAlign w:val="bottom"/>
            <w:tcBorders>
              <w:lef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voting power</w:t>
            </w:r>
          </w:p>
        </w:tc>
      </w:tr>
      <w:tr>
        <w:trPr>
          <w:trHeight w:val="404"/>
        </w:trPr>
        <w:tc>
          <w:tcPr>
            <w:tcW w:w="600" w:type="dxa"/>
            <w:vAlign w:val="bottom"/>
            <w:tcBorders>
              <w:lef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Convertible Notes convertible into 12,500,000 shares of common stock</w:t>
            </w:r>
          </w:p>
        </w:tc>
      </w:tr>
      <w:tr>
        <w:trPr>
          <w:trHeight w:val="230"/>
        </w:trPr>
        <w:tc>
          <w:tcPr>
            <w:tcW w:w="600" w:type="dxa"/>
            <w:vAlign w:val="bottom"/>
            <w:tcBorders>
              <w:lef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9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Warrants to purchase 2,219,803 shares of common stock (see Item 4)</w:t>
            </w:r>
          </w:p>
        </w:tc>
      </w:tr>
      <w:tr>
        <w:trPr>
          <w:trHeight w:val="224"/>
        </w:trPr>
        <w:tc>
          <w:tcPr>
            <w:tcW w:w="600" w:type="dxa"/>
            <w:vAlign w:val="bottom"/>
            <w:tcBorders>
              <w:lef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Sole dispositive power</w:t>
            </w:r>
          </w:p>
        </w:tc>
      </w:tr>
      <w:tr>
        <w:trPr>
          <w:trHeight w:val="418"/>
        </w:trPr>
        <w:tc>
          <w:tcPr>
            <w:tcW w:w="600" w:type="dxa"/>
            <w:vAlign w:val="bottom"/>
            <w:tcBorders>
              <w:lef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0</w:t>
            </w:r>
          </w:p>
        </w:tc>
      </w:tr>
      <w:tr>
        <w:trPr>
          <w:trHeight w:val="95"/>
        </w:trPr>
        <w:tc>
          <w:tcPr>
            <w:tcW w:w="600" w:type="dxa"/>
            <w:vAlign w:val="bottom"/>
            <w:tcBorders>
              <w:lef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80" w:type="dxa"/>
            <w:vAlign w:val="bottom"/>
            <w:tcBorders>
              <w:bottom w:val="single" w:sz="8" w:color="auto"/>
              <w:right w:val="single" w:sz="8" w:color="auto"/>
            </w:tcBorders>
          </w:tcPr>
          <w:p>
            <w:pPr>
              <w:spacing w:after="0"/>
              <w:rPr>
                <w:sz w:val="8"/>
                <w:szCs w:val="8"/>
                <w:color w:val="auto"/>
              </w:rPr>
            </w:pPr>
          </w:p>
        </w:tc>
        <w:tc>
          <w:tcPr>
            <w:tcW w:w="9560" w:type="dxa"/>
            <w:vAlign w:val="bottom"/>
            <w:tcBorders>
              <w:bottom w:val="single" w:sz="8" w:color="auto"/>
              <w:right w:val="single" w:sz="8" w:color="auto"/>
            </w:tcBorders>
          </w:tcPr>
          <w:p>
            <w:pPr>
              <w:spacing w:after="0"/>
              <w:rPr>
                <w:sz w:val="8"/>
                <w:szCs w:val="8"/>
                <w:color w:val="auto"/>
              </w:rPr>
            </w:pPr>
          </w:p>
        </w:tc>
      </w:tr>
      <w:tr>
        <w:trPr>
          <w:trHeight w:val="224"/>
        </w:trPr>
        <w:tc>
          <w:tcPr>
            <w:tcW w:w="600" w:type="dxa"/>
            <w:vAlign w:val="bottom"/>
            <w:tcBorders>
              <w:lef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dispositive power</w:t>
            </w:r>
          </w:p>
        </w:tc>
      </w:tr>
      <w:tr>
        <w:trPr>
          <w:trHeight w:val="404"/>
        </w:trPr>
        <w:tc>
          <w:tcPr>
            <w:tcW w:w="600" w:type="dxa"/>
            <w:vAlign w:val="bottom"/>
            <w:tcBorders>
              <w:lef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Convertible Notes convertible into 12,500,000 shares of common stock</w:t>
            </w:r>
          </w:p>
        </w:tc>
      </w:tr>
      <w:tr>
        <w:trPr>
          <w:trHeight w:val="230"/>
        </w:trPr>
        <w:tc>
          <w:tcPr>
            <w:tcW w:w="600" w:type="dxa"/>
            <w:vAlign w:val="bottom"/>
            <w:tcBorders>
              <w:left w:val="single" w:sz="8" w:color="auto"/>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9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Warrants to purchase 2,219,803 shares of common stock (see Item 4)</w:t>
            </w:r>
          </w:p>
        </w:tc>
      </w:tr>
      <w:tr>
        <w:trPr>
          <w:trHeight w:val="224"/>
        </w:trPr>
        <w:tc>
          <w:tcPr>
            <w:tcW w:w="6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8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r>
      <w:tr>
        <w:trPr>
          <w:trHeight w:val="404"/>
        </w:trPr>
        <w:tc>
          <w:tcPr>
            <w:tcW w:w="600" w:type="dxa"/>
            <w:vAlign w:val="bottom"/>
            <w:tcBorders>
              <w:left w:val="single" w:sz="8" w:color="auto"/>
              <w:right w:val="single" w:sz="8" w:color="auto"/>
            </w:tcBorders>
          </w:tcPr>
          <w:p>
            <w:pPr>
              <w:spacing w:after="0"/>
              <w:rPr>
                <w:sz w:val="24"/>
                <w:szCs w:val="24"/>
                <w:color w:val="auto"/>
              </w:rPr>
            </w:pPr>
          </w:p>
        </w:tc>
        <w:tc>
          <w:tcPr>
            <w:tcW w:w="108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Convertible Notes convertible into 12,500,000 shares of common stock</w:t>
            </w:r>
          </w:p>
        </w:tc>
      </w:tr>
      <w:tr>
        <w:trPr>
          <w:trHeight w:val="230"/>
        </w:trPr>
        <w:tc>
          <w:tcPr>
            <w:tcW w:w="600" w:type="dxa"/>
            <w:vAlign w:val="bottom"/>
            <w:tcBorders>
              <w:left w:val="single" w:sz="8" w:color="auto"/>
              <w:bottom w:val="single" w:sz="8" w:color="auto"/>
              <w:right w:val="single" w:sz="8" w:color="auto"/>
            </w:tcBorders>
          </w:tcPr>
          <w:p>
            <w:pPr>
              <w:spacing w:after="0"/>
              <w:rPr>
                <w:sz w:val="20"/>
                <w:szCs w:val="20"/>
                <w:color w:val="auto"/>
              </w:rPr>
            </w:pPr>
          </w:p>
        </w:tc>
        <w:tc>
          <w:tcPr>
            <w:tcW w:w="108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Warrants to purchase 2,219,803 shares of common stock (see Item 4)</w:t>
            </w:r>
          </w:p>
        </w:tc>
      </w:tr>
      <w:tr>
        <w:trPr>
          <w:trHeight w:val="224"/>
        </w:trPr>
        <w:tc>
          <w:tcPr>
            <w:tcW w:w="6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8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w:t>
            </w:r>
          </w:p>
        </w:tc>
      </w:tr>
      <w:tr>
        <w:trPr>
          <w:trHeight w:val="202"/>
        </w:trPr>
        <w:tc>
          <w:tcPr>
            <w:tcW w:w="600" w:type="dxa"/>
            <w:vAlign w:val="bottom"/>
            <w:tcBorders>
              <w:left w:val="single" w:sz="8" w:color="auto"/>
              <w:bottom w:val="single" w:sz="8" w:color="auto"/>
              <w:right w:val="single" w:sz="8" w:color="auto"/>
            </w:tcBorders>
          </w:tcPr>
          <w:p>
            <w:pPr>
              <w:spacing w:after="0"/>
              <w:rPr>
                <w:sz w:val="17"/>
                <w:szCs w:val="17"/>
                <w:color w:val="auto"/>
              </w:rPr>
            </w:pPr>
          </w:p>
        </w:tc>
        <w:tc>
          <w:tcPr>
            <w:tcW w:w="10820" w:type="dxa"/>
            <w:vAlign w:val="bottom"/>
            <w:tcBorders>
              <w:bottom w:val="single" w:sz="8" w:color="auto"/>
              <w:right w:val="single" w:sz="8" w:color="auto"/>
            </w:tcBorders>
            <w:gridSpan w:val="5"/>
          </w:tcPr>
          <w:p>
            <w:pPr>
              <w:spacing w:after="0"/>
              <w:rPr>
                <w:sz w:val="17"/>
                <w:szCs w:val="17"/>
                <w:color w:val="auto"/>
              </w:rPr>
            </w:pPr>
          </w:p>
        </w:tc>
      </w:tr>
      <w:tr>
        <w:trPr>
          <w:trHeight w:val="224"/>
        </w:trPr>
        <w:tc>
          <w:tcPr>
            <w:tcW w:w="6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8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r>
      <w:tr>
        <w:trPr>
          <w:trHeight w:val="418"/>
        </w:trPr>
        <w:tc>
          <w:tcPr>
            <w:tcW w:w="600" w:type="dxa"/>
            <w:vAlign w:val="bottom"/>
            <w:tcBorders>
              <w:left w:val="single" w:sz="8" w:color="auto"/>
              <w:right w:val="single" w:sz="8" w:color="auto"/>
            </w:tcBorders>
          </w:tcPr>
          <w:p>
            <w:pPr>
              <w:spacing w:after="0"/>
              <w:rPr>
                <w:sz w:val="24"/>
                <w:szCs w:val="24"/>
                <w:color w:val="auto"/>
              </w:rPr>
            </w:pPr>
          </w:p>
        </w:tc>
        <w:tc>
          <w:tcPr>
            <w:tcW w:w="108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9.9% (see Item 4)*</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10820" w:type="dxa"/>
            <w:vAlign w:val="bottom"/>
            <w:tcBorders>
              <w:bottom w:val="single" w:sz="8" w:color="auto"/>
              <w:right w:val="single" w:sz="8" w:color="auto"/>
            </w:tcBorders>
            <w:gridSpan w:val="5"/>
          </w:tcPr>
          <w:p>
            <w:pPr>
              <w:spacing w:after="0"/>
              <w:rPr>
                <w:sz w:val="8"/>
                <w:szCs w:val="8"/>
                <w:color w:val="auto"/>
              </w:rPr>
            </w:pPr>
          </w:p>
        </w:tc>
      </w:tr>
      <w:tr>
        <w:trPr>
          <w:trHeight w:val="224"/>
        </w:trPr>
        <w:tc>
          <w:tcPr>
            <w:tcW w:w="6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8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Type of reporting person (see instructions)</w:t>
            </w:r>
          </w:p>
        </w:tc>
      </w:tr>
      <w:tr>
        <w:trPr>
          <w:trHeight w:val="418"/>
        </w:trPr>
        <w:tc>
          <w:tcPr>
            <w:tcW w:w="600" w:type="dxa"/>
            <w:vAlign w:val="bottom"/>
            <w:tcBorders>
              <w:left w:val="single" w:sz="8" w:color="auto"/>
              <w:right w:val="single" w:sz="8" w:color="auto"/>
            </w:tcBorders>
          </w:tcPr>
          <w:p>
            <w:pPr>
              <w:spacing w:after="0"/>
              <w:rPr>
                <w:sz w:val="24"/>
                <w:szCs w:val="24"/>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w w:val="92"/>
              </w:rPr>
              <w:t>OO</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560" w:type="dxa"/>
            <w:vAlign w:val="bottom"/>
            <w:tcBorders>
              <w:right w:val="single" w:sz="8" w:color="auto"/>
            </w:tcBorders>
          </w:tcPr>
          <w:p>
            <w:pPr>
              <w:spacing w:after="0"/>
              <w:rPr>
                <w:sz w:val="24"/>
                <w:szCs w:val="24"/>
                <w:color w:val="auto"/>
              </w:rPr>
            </w:pP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560" w:type="dxa"/>
            <w:vAlign w:val="bottom"/>
            <w:tcBorders>
              <w:bottom w:val="single" w:sz="8" w:color="auto"/>
              <w:right w:val="single" w:sz="8" w:color="auto"/>
            </w:tcBorders>
          </w:tcPr>
          <w:p>
            <w:pPr>
              <w:spacing w:after="0"/>
              <w:rPr>
                <w:sz w:val="8"/>
                <w:szCs w:val="8"/>
                <w:color w:val="auto"/>
              </w:rPr>
            </w:pPr>
          </w:p>
        </w:tc>
      </w:tr>
    </w:tbl>
    <w:p>
      <w:pPr>
        <w:spacing w:after="0" w:line="202" w:lineRule="exact"/>
        <w:rPr>
          <w:sz w:val="20"/>
          <w:szCs w:val="20"/>
          <w:color w:val="auto"/>
        </w:rPr>
      </w:pPr>
    </w:p>
    <w:p>
      <w:pPr>
        <w:ind w:firstLine="8"/>
        <w:spacing w:after="0" w:line="276" w:lineRule="auto"/>
        <w:tabs>
          <w:tab w:leader="none" w:pos="13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Convertible Notes may not be converted, and the warrants are not exercisable, to the extent that the holder or any of its affiliates would own more than a maximum of 9.99% of the outstanding common stock of the Issuer after such conversion or exercise. The securities reported in rows (6), (8) and (9) show the number of shares of common stock that would be issuable upon full conversion of the Convertible Notes, and full exercise of the warrants, and do not give effect to the foregoing limitations. Therefore, the actual number of shares of common stock beneficially owned by the reporting person, after giving effect to these limitations, is less than the number of securities reported in rows (6), (8) and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92911N104</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600" w:type="dxa"/>
            <w:vAlign w:val="bottom"/>
            <w:tcBorders>
              <w:top w:val="single" w:sz="8" w:color="auto"/>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820" w:type="dxa"/>
            <w:vAlign w:val="bottom"/>
            <w:tcBorders>
              <w:top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Names of reporting persons.</w:t>
            </w: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108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108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Joshua Silverman</w:t>
            </w:r>
          </w:p>
        </w:tc>
      </w:tr>
      <w:tr>
        <w:trPr>
          <w:trHeight w:val="149"/>
        </w:trPr>
        <w:tc>
          <w:tcPr>
            <w:tcW w:w="600" w:type="dxa"/>
            <w:vAlign w:val="bottom"/>
            <w:tcBorders>
              <w:left w:val="single" w:sz="8" w:color="auto"/>
              <w:bottom w:val="single" w:sz="8" w:color="auto"/>
              <w:right w:val="single" w:sz="8" w:color="auto"/>
            </w:tcBorders>
          </w:tcPr>
          <w:p>
            <w:pPr>
              <w:spacing w:after="0"/>
              <w:rPr>
                <w:sz w:val="12"/>
                <w:szCs w:val="12"/>
                <w:color w:val="auto"/>
              </w:rPr>
            </w:pPr>
          </w:p>
        </w:tc>
        <w:tc>
          <w:tcPr>
            <w:tcW w:w="580" w:type="dxa"/>
            <w:vAlign w:val="bottom"/>
            <w:tcBorders>
              <w:bottom w:val="single" w:sz="8" w:color="auto"/>
            </w:tcBorders>
            <w:gridSpan w:val="2"/>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9560" w:type="dxa"/>
            <w:vAlign w:val="bottom"/>
            <w:tcBorders>
              <w:bottom w:val="single" w:sz="8" w:color="auto"/>
              <w:right w:val="single" w:sz="8" w:color="auto"/>
            </w:tcBorders>
          </w:tcPr>
          <w:p>
            <w:pPr>
              <w:spacing w:after="0"/>
              <w:rPr>
                <w:sz w:val="12"/>
                <w:szCs w:val="12"/>
                <w:color w:val="auto"/>
              </w:rPr>
            </w:pPr>
          </w:p>
        </w:tc>
      </w:tr>
      <w:tr>
        <w:trPr>
          <w:trHeight w:val="224"/>
        </w:trPr>
        <w:tc>
          <w:tcPr>
            <w:tcW w:w="6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8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r>
      <w:tr>
        <w:trPr>
          <w:trHeight w:val="404"/>
        </w:trPr>
        <w:tc>
          <w:tcPr>
            <w:tcW w:w="600" w:type="dxa"/>
            <w:vAlign w:val="bottom"/>
            <w:tcBorders>
              <w:left w:val="single" w:sz="8" w:color="auto"/>
              <w:right w:val="single" w:sz="8" w:color="auto"/>
            </w:tcBorders>
          </w:tcPr>
          <w:p>
            <w:pPr>
              <w:spacing w:after="0"/>
              <w:rPr>
                <w:sz w:val="24"/>
                <w:szCs w:val="24"/>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(a)</w:t>
            </w:r>
          </w:p>
        </w:tc>
        <w:tc>
          <w:tcPr>
            <w:tcW w:w="420" w:type="dxa"/>
            <w:vAlign w:val="bottom"/>
            <w:gridSpan w:val="2"/>
          </w:tcPr>
          <w:p>
            <w:pPr>
              <w:spacing w:after="0"/>
              <w:rPr>
                <w:sz w:val="20"/>
                <w:szCs w:val="20"/>
                <w:color w:val="auto"/>
              </w:rPr>
            </w:pPr>
            <w:r>
              <w:rPr>
                <w:rFonts w:ascii="Arial" w:cs="Arial" w:eastAsia="Arial" w:hAnsi="Arial"/>
                <w:sz w:val="18"/>
                <w:szCs w:val="18"/>
                <w:color w:val="auto"/>
              </w:rPr>
              <w:t>o</w:t>
            </w:r>
          </w:p>
        </w:tc>
        <w:tc>
          <w:tcPr>
            <w:tcW w:w="460" w:type="dxa"/>
            <w:vAlign w:val="bottom"/>
          </w:tcPr>
          <w:p>
            <w:pPr>
              <w:spacing w:after="0"/>
              <w:rPr>
                <w:sz w:val="24"/>
                <w:szCs w:val="24"/>
                <w:color w:val="auto"/>
              </w:rPr>
            </w:pPr>
          </w:p>
        </w:tc>
        <w:tc>
          <w:tcPr>
            <w:tcW w:w="9560" w:type="dxa"/>
            <w:vAlign w:val="bottom"/>
            <w:tcBorders>
              <w:right w:val="single" w:sz="8" w:color="auto"/>
            </w:tcBorders>
          </w:tcPr>
          <w:p>
            <w:pPr>
              <w:spacing w:after="0"/>
              <w:rPr>
                <w:sz w:val="24"/>
                <w:szCs w:val="24"/>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(b)</w:t>
            </w: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o</w:t>
            </w:r>
          </w:p>
        </w:tc>
        <w:tc>
          <w:tcPr>
            <w:tcW w:w="460" w:type="dxa"/>
            <w:vAlign w:val="bottom"/>
          </w:tcPr>
          <w:p>
            <w:pPr>
              <w:spacing w:after="0"/>
              <w:rPr>
                <w:sz w:val="20"/>
                <w:szCs w:val="20"/>
                <w:color w:val="auto"/>
              </w:rPr>
            </w:pPr>
          </w:p>
        </w:tc>
        <w:tc>
          <w:tcPr>
            <w:tcW w:w="9560" w:type="dxa"/>
            <w:vAlign w:val="bottom"/>
            <w:tcBorders>
              <w:right w:val="single" w:sz="8" w:color="auto"/>
            </w:tcBorders>
          </w:tcPr>
          <w:p>
            <w:pPr>
              <w:spacing w:after="0"/>
              <w:rPr>
                <w:sz w:val="20"/>
                <w:szCs w:val="20"/>
                <w:color w:val="auto"/>
              </w:rPr>
            </w:pPr>
          </w:p>
        </w:tc>
      </w:tr>
      <w:tr>
        <w:trPr>
          <w:trHeight w:val="216"/>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gridSpan w:val="2"/>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9560" w:type="dxa"/>
            <w:vAlign w:val="bottom"/>
            <w:tcBorders>
              <w:bottom w:val="single" w:sz="8" w:color="auto"/>
              <w:right w:val="single" w:sz="8" w:color="auto"/>
            </w:tcBorders>
          </w:tcPr>
          <w:p>
            <w:pPr>
              <w:spacing w:after="0"/>
              <w:rPr>
                <w:sz w:val="18"/>
                <w:szCs w:val="18"/>
                <w:color w:val="auto"/>
              </w:rPr>
            </w:pPr>
          </w:p>
        </w:tc>
      </w:tr>
      <w:tr>
        <w:trPr>
          <w:trHeight w:val="224"/>
        </w:trPr>
        <w:tc>
          <w:tcPr>
            <w:tcW w:w="6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6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9560" w:type="dxa"/>
            <w:vAlign w:val="bottom"/>
            <w:tcBorders>
              <w:right w:val="single" w:sz="8" w:color="auto"/>
            </w:tcBorders>
          </w:tcPr>
          <w:p>
            <w:pPr>
              <w:spacing w:after="0"/>
              <w:rPr>
                <w:sz w:val="19"/>
                <w:szCs w:val="19"/>
                <w:color w:val="auto"/>
              </w:rPr>
            </w:pPr>
          </w:p>
        </w:tc>
      </w:tr>
      <w:tr>
        <w:trPr>
          <w:trHeight w:val="202"/>
        </w:trPr>
        <w:tc>
          <w:tcPr>
            <w:tcW w:w="600" w:type="dxa"/>
            <w:vAlign w:val="bottom"/>
            <w:tcBorders>
              <w:left w:val="single" w:sz="8" w:color="auto"/>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gridSpan w:val="2"/>
          </w:tcPr>
          <w:p>
            <w:pPr>
              <w:spacing w:after="0"/>
              <w:rPr>
                <w:sz w:val="17"/>
                <w:szCs w:val="17"/>
                <w:color w:val="auto"/>
              </w:rPr>
            </w:pPr>
          </w:p>
        </w:tc>
        <w:tc>
          <w:tcPr>
            <w:tcW w:w="680" w:type="dxa"/>
            <w:vAlign w:val="bottom"/>
            <w:tcBorders>
              <w:bottom w:val="single" w:sz="8" w:color="auto"/>
            </w:tcBorders>
            <w:gridSpan w:val="2"/>
          </w:tcPr>
          <w:p>
            <w:pPr>
              <w:spacing w:after="0"/>
              <w:rPr>
                <w:sz w:val="17"/>
                <w:szCs w:val="17"/>
                <w:color w:val="auto"/>
              </w:rPr>
            </w:pPr>
          </w:p>
        </w:tc>
        <w:tc>
          <w:tcPr>
            <w:tcW w:w="9560" w:type="dxa"/>
            <w:vAlign w:val="bottom"/>
            <w:tcBorders>
              <w:bottom w:val="single" w:sz="8" w:color="auto"/>
              <w:right w:val="single" w:sz="8" w:color="auto"/>
            </w:tcBorders>
          </w:tcPr>
          <w:p>
            <w:pPr>
              <w:spacing w:after="0"/>
              <w:rPr>
                <w:sz w:val="17"/>
                <w:szCs w:val="17"/>
                <w:color w:val="auto"/>
              </w:rPr>
            </w:pPr>
          </w:p>
        </w:tc>
      </w:tr>
      <w:tr>
        <w:trPr>
          <w:trHeight w:val="224"/>
        </w:trPr>
        <w:tc>
          <w:tcPr>
            <w:tcW w:w="6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8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Citizenship or place of organization</w:t>
            </w:r>
          </w:p>
        </w:tc>
      </w:tr>
      <w:tr>
        <w:trPr>
          <w:trHeight w:val="418"/>
        </w:trPr>
        <w:tc>
          <w:tcPr>
            <w:tcW w:w="600" w:type="dxa"/>
            <w:vAlign w:val="bottom"/>
            <w:tcBorders>
              <w:left w:val="single" w:sz="8" w:color="auto"/>
              <w:right w:val="single" w:sz="8" w:color="auto"/>
            </w:tcBorders>
          </w:tcPr>
          <w:p>
            <w:pPr>
              <w:spacing w:after="0"/>
              <w:rPr>
                <w:sz w:val="24"/>
                <w:szCs w:val="24"/>
                <w:color w:val="auto"/>
              </w:rPr>
            </w:pPr>
          </w:p>
        </w:tc>
        <w:tc>
          <w:tcPr>
            <w:tcW w:w="108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United States of America</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9560" w:type="dxa"/>
            <w:vAlign w:val="bottom"/>
            <w:tcBorders>
              <w:bottom w:val="single" w:sz="8" w:color="auto"/>
              <w:right w:val="single" w:sz="8" w:color="auto"/>
            </w:tcBorders>
          </w:tcPr>
          <w:p>
            <w:pPr>
              <w:spacing w:after="0"/>
              <w:rPr>
                <w:sz w:val="8"/>
                <w:szCs w:val="8"/>
                <w:color w:val="auto"/>
              </w:rPr>
            </w:pPr>
          </w:p>
        </w:tc>
      </w:tr>
      <w:tr>
        <w:trPr>
          <w:trHeight w:val="195"/>
        </w:trPr>
        <w:tc>
          <w:tcPr>
            <w:tcW w:w="1180" w:type="dxa"/>
            <w:vAlign w:val="bottom"/>
            <w:tcBorders>
              <w:left w:val="single" w:sz="8" w:color="auto"/>
              <w:right w:val="single" w:sz="8" w:color="auto"/>
            </w:tcBorders>
            <w:gridSpan w:val="3"/>
          </w:tcPr>
          <w:p>
            <w:pPr>
              <w:jc w:val="center"/>
              <w:ind w:left="30"/>
              <w:spacing w:after="0" w:line="195" w:lineRule="exact"/>
              <w:rPr>
                <w:sz w:val="20"/>
                <w:szCs w:val="20"/>
                <w:color w:val="auto"/>
              </w:rPr>
            </w:pPr>
            <w:r>
              <w:rPr>
                <w:rFonts w:ascii="Arial" w:cs="Arial" w:eastAsia="Arial" w:hAnsi="Arial"/>
                <w:sz w:val="18"/>
                <w:szCs w:val="18"/>
                <w:color w:val="auto"/>
                <w:w w:val="92"/>
              </w:rPr>
              <w:t>Number of</w:t>
            </w:r>
          </w:p>
        </w:tc>
        <w:tc>
          <w:tcPr>
            <w:tcW w:w="220" w:type="dxa"/>
            <w:vAlign w:val="bottom"/>
          </w:tcPr>
          <w:p>
            <w:pPr>
              <w:spacing w:after="0"/>
              <w:rPr>
                <w:sz w:val="16"/>
                <w:szCs w:val="16"/>
                <w:color w:val="auto"/>
              </w:rPr>
            </w:pPr>
          </w:p>
        </w:tc>
        <w:tc>
          <w:tcPr>
            <w:tcW w:w="4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(5)</w:t>
            </w:r>
          </w:p>
        </w:tc>
        <w:tc>
          <w:tcPr>
            <w:tcW w:w="95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Sole voting power</w:t>
            </w:r>
          </w:p>
        </w:tc>
      </w:tr>
      <w:tr>
        <w:trPr>
          <w:trHeight w:val="216"/>
        </w:trPr>
        <w:tc>
          <w:tcPr>
            <w:tcW w:w="980" w:type="dxa"/>
            <w:vAlign w:val="bottom"/>
            <w:tcBorders>
              <w:left w:val="single" w:sz="8" w:color="auto"/>
            </w:tcBorders>
            <w:gridSpan w:val="2"/>
          </w:tcPr>
          <w:p>
            <w:pPr>
              <w:jc w:val="center"/>
              <w:ind w:left="230"/>
              <w:spacing w:after="0"/>
              <w:rPr>
                <w:sz w:val="20"/>
                <w:szCs w:val="20"/>
                <w:color w:val="auto"/>
              </w:rPr>
            </w:pPr>
            <w:r>
              <w:rPr>
                <w:rFonts w:ascii="Arial" w:cs="Arial" w:eastAsia="Arial" w:hAnsi="Arial"/>
                <w:sz w:val="18"/>
                <w:szCs w:val="18"/>
                <w:color w:val="auto"/>
                <w:w w:val="85"/>
              </w:rPr>
              <w:t>shares</w:t>
            </w:r>
          </w:p>
        </w:tc>
        <w:tc>
          <w:tcPr>
            <w:tcW w:w="2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9560" w:type="dxa"/>
            <w:vAlign w:val="bottom"/>
            <w:tcBorders>
              <w:right w:val="single" w:sz="8" w:color="auto"/>
            </w:tcBorders>
          </w:tcPr>
          <w:p>
            <w:pPr>
              <w:spacing w:after="0"/>
              <w:rPr>
                <w:sz w:val="18"/>
                <w:szCs w:val="18"/>
                <w:color w:val="auto"/>
              </w:rPr>
            </w:pPr>
          </w:p>
        </w:tc>
      </w:tr>
      <w:tr>
        <w:trPr>
          <w:trHeight w:val="216"/>
        </w:trPr>
        <w:tc>
          <w:tcPr>
            <w:tcW w:w="118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beneficially</w:t>
            </w: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0</w:t>
            </w:r>
          </w:p>
        </w:tc>
      </w:tr>
      <w:tr>
        <w:trPr>
          <w:trHeight w:val="216"/>
        </w:trPr>
        <w:tc>
          <w:tcPr>
            <w:tcW w:w="118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0"/>
              </w:rPr>
              <w:t>owned by</w:t>
            </w: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9560" w:type="dxa"/>
            <w:vAlign w:val="bottom"/>
            <w:tcBorders>
              <w:right w:val="single" w:sz="8" w:color="auto"/>
            </w:tcBorders>
          </w:tcPr>
          <w:p>
            <w:pPr>
              <w:spacing w:after="0"/>
              <w:rPr>
                <w:sz w:val="18"/>
                <w:szCs w:val="18"/>
                <w:color w:val="auto"/>
              </w:rPr>
            </w:pPr>
          </w:p>
        </w:tc>
      </w:tr>
      <w:tr>
        <w:trPr>
          <w:trHeight w:val="216"/>
        </w:trPr>
        <w:tc>
          <w:tcPr>
            <w:tcW w:w="980" w:type="dxa"/>
            <w:vAlign w:val="bottom"/>
            <w:tcBorders>
              <w:left w:val="single" w:sz="8" w:color="auto"/>
            </w:tcBorders>
            <w:gridSpan w:val="2"/>
          </w:tcPr>
          <w:p>
            <w:pPr>
              <w:jc w:val="center"/>
              <w:ind w:left="230"/>
              <w:spacing w:after="0"/>
              <w:rPr>
                <w:sz w:val="20"/>
                <w:szCs w:val="20"/>
                <w:color w:val="auto"/>
              </w:rPr>
            </w:pPr>
            <w:r>
              <w:rPr>
                <w:rFonts w:ascii="Arial" w:cs="Arial" w:eastAsia="Arial" w:hAnsi="Arial"/>
                <w:sz w:val="18"/>
                <w:szCs w:val="18"/>
                <w:color w:val="auto"/>
                <w:w w:val="86"/>
              </w:rPr>
              <w:t>each</w:t>
            </w:r>
          </w:p>
        </w:tc>
        <w:tc>
          <w:tcPr>
            <w:tcW w:w="2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9560" w:type="dxa"/>
            <w:vAlign w:val="bottom"/>
            <w:tcBorders>
              <w:right w:val="single" w:sz="8" w:color="auto"/>
            </w:tcBorders>
          </w:tcPr>
          <w:p>
            <w:pPr>
              <w:spacing w:after="0"/>
              <w:rPr>
                <w:sz w:val="18"/>
                <w:szCs w:val="18"/>
                <w:color w:val="auto"/>
              </w:rPr>
            </w:pPr>
          </w:p>
        </w:tc>
      </w:tr>
      <w:tr>
        <w:trPr>
          <w:trHeight w:val="216"/>
        </w:trPr>
        <w:tc>
          <w:tcPr>
            <w:tcW w:w="980" w:type="dxa"/>
            <w:vAlign w:val="bottom"/>
            <w:tcBorders>
              <w:left w:val="single" w:sz="8" w:color="auto"/>
            </w:tcBorders>
            <w:gridSpan w:val="2"/>
          </w:tcPr>
          <w:p>
            <w:pPr>
              <w:jc w:val="center"/>
              <w:ind w:left="230"/>
              <w:spacing w:after="0"/>
              <w:rPr>
                <w:sz w:val="20"/>
                <w:szCs w:val="20"/>
                <w:color w:val="auto"/>
              </w:rPr>
            </w:pPr>
            <w:r>
              <w:rPr>
                <w:rFonts w:ascii="Arial" w:cs="Arial" w:eastAsia="Arial" w:hAnsi="Arial"/>
                <w:sz w:val="18"/>
                <w:szCs w:val="18"/>
                <w:color w:val="auto"/>
                <w:w w:val="92"/>
              </w:rPr>
              <w:t>reporting</w:t>
            </w:r>
          </w:p>
        </w:tc>
        <w:tc>
          <w:tcPr>
            <w:tcW w:w="2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9560" w:type="dxa"/>
            <w:vAlign w:val="bottom"/>
            <w:tcBorders>
              <w:right w:val="single" w:sz="8" w:color="auto"/>
            </w:tcBorders>
          </w:tcPr>
          <w:p>
            <w:pPr>
              <w:spacing w:after="0"/>
              <w:rPr>
                <w:sz w:val="18"/>
                <w:szCs w:val="18"/>
                <w:color w:val="auto"/>
              </w:rPr>
            </w:pPr>
          </w:p>
        </w:tc>
      </w:tr>
      <w:tr>
        <w:trPr>
          <w:trHeight w:val="216"/>
        </w:trPr>
        <w:tc>
          <w:tcPr>
            <w:tcW w:w="980" w:type="dxa"/>
            <w:vAlign w:val="bottom"/>
            <w:tcBorders>
              <w:left w:val="single" w:sz="8" w:color="auto"/>
            </w:tcBorders>
            <w:gridSpan w:val="2"/>
          </w:tcPr>
          <w:p>
            <w:pPr>
              <w:jc w:val="center"/>
              <w:ind w:left="210"/>
              <w:spacing w:after="0"/>
              <w:rPr>
                <w:sz w:val="20"/>
                <w:szCs w:val="20"/>
                <w:color w:val="auto"/>
              </w:rPr>
            </w:pPr>
            <w:r>
              <w:rPr>
                <w:rFonts w:ascii="Arial" w:cs="Arial" w:eastAsia="Arial" w:hAnsi="Arial"/>
                <w:sz w:val="18"/>
                <w:szCs w:val="18"/>
                <w:color w:val="auto"/>
                <w:w w:val="87"/>
              </w:rPr>
              <w:t>person</w:t>
            </w:r>
          </w:p>
        </w:tc>
        <w:tc>
          <w:tcPr>
            <w:tcW w:w="2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9560" w:type="dxa"/>
            <w:vAlign w:val="bottom"/>
            <w:tcBorders>
              <w:right w:val="single" w:sz="8" w:color="auto"/>
            </w:tcBorders>
          </w:tcPr>
          <w:p>
            <w:pPr>
              <w:spacing w:after="0"/>
              <w:rPr>
                <w:sz w:val="18"/>
                <w:szCs w:val="18"/>
                <w:color w:val="auto"/>
              </w:rPr>
            </w:pPr>
          </w:p>
        </w:tc>
      </w:tr>
      <w:tr>
        <w:trPr>
          <w:trHeight w:val="230"/>
        </w:trPr>
        <w:tc>
          <w:tcPr>
            <w:tcW w:w="980" w:type="dxa"/>
            <w:vAlign w:val="bottom"/>
            <w:tcBorders>
              <w:left w:val="single" w:sz="8" w:color="auto"/>
            </w:tcBorders>
            <w:gridSpan w:val="2"/>
          </w:tcPr>
          <w:p>
            <w:pPr>
              <w:jc w:val="center"/>
              <w:ind w:left="230"/>
              <w:spacing w:after="0"/>
              <w:rPr>
                <w:sz w:val="20"/>
                <w:szCs w:val="20"/>
                <w:color w:val="auto"/>
              </w:rPr>
            </w:pPr>
            <w:r>
              <w:rPr>
                <w:rFonts w:ascii="Arial" w:cs="Arial" w:eastAsia="Arial" w:hAnsi="Arial"/>
                <w:sz w:val="18"/>
                <w:szCs w:val="18"/>
                <w:color w:val="auto"/>
              </w:rPr>
              <w:t>with:</w:t>
            </w:r>
          </w:p>
        </w:tc>
        <w:tc>
          <w:tcPr>
            <w:tcW w:w="200" w:type="dxa"/>
            <w:vAlign w:val="bottom"/>
            <w:tcBorders>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9560" w:type="dxa"/>
            <w:vAlign w:val="bottom"/>
            <w:tcBorders>
              <w:bottom w:val="single" w:sz="8" w:color="auto"/>
              <w:right w:val="single" w:sz="8" w:color="auto"/>
            </w:tcBorders>
          </w:tcPr>
          <w:p>
            <w:pPr>
              <w:spacing w:after="0"/>
              <w:rPr>
                <w:sz w:val="20"/>
                <w:szCs w:val="20"/>
                <w:color w:val="auto"/>
              </w:rPr>
            </w:pPr>
          </w:p>
        </w:tc>
      </w:tr>
      <w:tr>
        <w:trPr>
          <w:trHeight w:val="224"/>
        </w:trPr>
        <w:tc>
          <w:tcPr>
            <w:tcW w:w="600" w:type="dxa"/>
            <w:vAlign w:val="bottom"/>
            <w:tcBorders>
              <w:lef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voting power</w:t>
            </w:r>
          </w:p>
        </w:tc>
      </w:tr>
      <w:tr>
        <w:trPr>
          <w:trHeight w:val="404"/>
        </w:trPr>
        <w:tc>
          <w:tcPr>
            <w:tcW w:w="600" w:type="dxa"/>
            <w:vAlign w:val="bottom"/>
            <w:tcBorders>
              <w:lef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Convertible Notes convertible into 12,500,000 shares of common stock</w:t>
            </w:r>
          </w:p>
        </w:tc>
      </w:tr>
      <w:tr>
        <w:trPr>
          <w:trHeight w:val="230"/>
        </w:trPr>
        <w:tc>
          <w:tcPr>
            <w:tcW w:w="600" w:type="dxa"/>
            <w:vAlign w:val="bottom"/>
            <w:tcBorders>
              <w:lef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9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Warrants to purchase 2,219,803 shares of common stock (see Item 4)</w:t>
            </w:r>
          </w:p>
        </w:tc>
      </w:tr>
      <w:tr>
        <w:trPr>
          <w:trHeight w:val="224"/>
        </w:trPr>
        <w:tc>
          <w:tcPr>
            <w:tcW w:w="600" w:type="dxa"/>
            <w:vAlign w:val="bottom"/>
            <w:tcBorders>
              <w:lef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Sole dispositive power</w:t>
            </w:r>
          </w:p>
        </w:tc>
      </w:tr>
      <w:tr>
        <w:trPr>
          <w:trHeight w:val="418"/>
        </w:trPr>
        <w:tc>
          <w:tcPr>
            <w:tcW w:w="600" w:type="dxa"/>
            <w:vAlign w:val="bottom"/>
            <w:tcBorders>
              <w:lef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0</w:t>
            </w:r>
          </w:p>
        </w:tc>
      </w:tr>
      <w:tr>
        <w:trPr>
          <w:trHeight w:val="95"/>
        </w:trPr>
        <w:tc>
          <w:tcPr>
            <w:tcW w:w="600" w:type="dxa"/>
            <w:vAlign w:val="bottom"/>
            <w:tcBorders>
              <w:lef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60" w:type="dxa"/>
            <w:vAlign w:val="bottom"/>
            <w:tcBorders>
              <w:bottom w:val="single" w:sz="8" w:color="auto"/>
              <w:right w:val="single" w:sz="8" w:color="auto"/>
            </w:tcBorders>
          </w:tcPr>
          <w:p>
            <w:pPr>
              <w:spacing w:after="0"/>
              <w:rPr>
                <w:sz w:val="8"/>
                <w:szCs w:val="8"/>
                <w:color w:val="auto"/>
              </w:rPr>
            </w:pPr>
          </w:p>
        </w:tc>
        <w:tc>
          <w:tcPr>
            <w:tcW w:w="9560" w:type="dxa"/>
            <w:vAlign w:val="bottom"/>
            <w:tcBorders>
              <w:bottom w:val="single" w:sz="8" w:color="auto"/>
              <w:right w:val="single" w:sz="8" w:color="auto"/>
            </w:tcBorders>
          </w:tcPr>
          <w:p>
            <w:pPr>
              <w:spacing w:after="0"/>
              <w:rPr>
                <w:sz w:val="8"/>
                <w:szCs w:val="8"/>
                <w:color w:val="auto"/>
              </w:rPr>
            </w:pPr>
          </w:p>
        </w:tc>
      </w:tr>
      <w:tr>
        <w:trPr>
          <w:trHeight w:val="224"/>
        </w:trPr>
        <w:tc>
          <w:tcPr>
            <w:tcW w:w="600" w:type="dxa"/>
            <w:vAlign w:val="bottom"/>
            <w:tcBorders>
              <w:lef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dispositive power</w:t>
            </w:r>
          </w:p>
        </w:tc>
      </w:tr>
      <w:tr>
        <w:trPr>
          <w:trHeight w:val="404"/>
        </w:trPr>
        <w:tc>
          <w:tcPr>
            <w:tcW w:w="600" w:type="dxa"/>
            <w:vAlign w:val="bottom"/>
            <w:tcBorders>
              <w:lef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Convertible Notes convertible into 12,500,000 shares of common stock</w:t>
            </w:r>
          </w:p>
        </w:tc>
      </w:tr>
      <w:tr>
        <w:trPr>
          <w:trHeight w:val="230"/>
        </w:trPr>
        <w:tc>
          <w:tcPr>
            <w:tcW w:w="600" w:type="dxa"/>
            <w:vAlign w:val="bottom"/>
            <w:tcBorders>
              <w:left w:val="single" w:sz="8" w:color="auto"/>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9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Warrants to purchase 2,219,803 shares of common stock (see Item 4)</w:t>
            </w:r>
          </w:p>
        </w:tc>
      </w:tr>
      <w:tr>
        <w:trPr>
          <w:trHeight w:val="224"/>
        </w:trPr>
        <w:tc>
          <w:tcPr>
            <w:tcW w:w="6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8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r>
      <w:tr>
        <w:trPr>
          <w:trHeight w:val="404"/>
        </w:trPr>
        <w:tc>
          <w:tcPr>
            <w:tcW w:w="600" w:type="dxa"/>
            <w:vAlign w:val="bottom"/>
            <w:tcBorders>
              <w:left w:val="single" w:sz="8" w:color="auto"/>
              <w:right w:val="single" w:sz="8" w:color="auto"/>
            </w:tcBorders>
          </w:tcPr>
          <w:p>
            <w:pPr>
              <w:spacing w:after="0"/>
              <w:rPr>
                <w:sz w:val="24"/>
                <w:szCs w:val="24"/>
                <w:color w:val="auto"/>
              </w:rPr>
            </w:pPr>
          </w:p>
        </w:tc>
        <w:tc>
          <w:tcPr>
            <w:tcW w:w="108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Convertible Notes convertible into 12,500,000 shares of common stock</w:t>
            </w:r>
          </w:p>
        </w:tc>
      </w:tr>
      <w:tr>
        <w:trPr>
          <w:trHeight w:val="230"/>
        </w:trPr>
        <w:tc>
          <w:tcPr>
            <w:tcW w:w="600" w:type="dxa"/>
            <w:vAlign w:val="bottom"/>
            <w:tcBorders>
              <w:left w:val="single" w:sz="8" w:color="auto"/>
              <w:bottom w:val="single" w:sz="8" w:color="auto"/>
              <w:right w:val="single" w:sz="8" w:color="auto"/>
            </w:tcBorders>
          </w:tcPr>
          <w:p>
            <w:pPr>
              <w:spacing w:after="0"/>
              <w:rPr>
                <w:sz w:val="20"/>
                <w:szCs w:val="20"/>
                <w:color w:val="auto"/>
              </w:rPr>
            </w:pPr>
          </w:p>
        </w:tc>
        <w:tc>
          <w:tcPr>
            <w:tcW w:w="108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Warrants to purchase 2,219,803 shares of common stock (see Item 4)</w:t>
            </w:r>
          </w:p>
        </w:tc>
      </w:tr>
      <w:tr>
        <w:trPr>
          <w:trHeight w:val="224"/>
        </w:trPr>
        <w:tc>
          <w:tcPr>
            <w:tcW w:w="6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8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w:t>
            </w:r>
          </w:p>
        </w:tc>
      </w:tr>
      <w:tr>
        <w:trPr>
          <w:trHeight w:val="202"/>
        </w:trPr>
        <w:tc>
          <w:tcPr>
            <w:tcW w:w="600" w:type="dxa"/>
            <w:vAlign w:val="bottom"/>
            <w:tcBorders>
              <w:left w:val="single" w:sz="8" w:color="auto"/>
              <w:bottom w:val="single" w:sz="8" w:color="auto"/>
              <w:right w:val="single" w:sz="8" w:color="auto"/>
            </w:tcBorders>
          </w:tcPr>
          <w:p>
            <w:pPr>
              <w:spacing w:after="0"/>
              <w:rPr>
                <w:sz w:val="17"/>
                <w:szCs w:val="17"/>
                <w:color w:val="auto"/>
              </w:rPr>
            </w:pPr>
          </w:p>
        </w:tc>
        <w:tc>
          <w:tcPr>
            <w:tcW w:w="10820" w:type="dxa"/>
            <w:vAlign w:val="bottom"/>
            <w:tcBorders>
              <w:bottom w:val="single" w:sz="8" w:color="auto"/>
              <w:right w:val="single" w:sz="8" w:color="auto"/>
            </w:tcBorders>
            <w:gridSpan w:val="5"/>
          </w:tcPr>
          <w:p>
            <w:pPr>
              <w:spacing w:after="0"/>
              <w:rPr>
                <w:sz w:val="17"/>
                <w:szCs w:val="17"/>
                <w:color w:val="auto"/>
              </w:rPr>
            </w:pPr>
          </w:p>
        </w:tc>
      </w:tr>
      <w:tr>
        <w:trPr>
          <w:trHeight w:val="224"/>
        </w:trPr>
        <w:tc>
          <w:tcPr>
            <w:tcW w:w="6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8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r>
      <w:tr>
        <w:trPr>
          <w:trHeight w:val="418"/>
        </w:trPr>
        <w:tc>
          <w:tcPr>
            <w:tcW w:w="600" w:type="dxa"/>
            <w:vAlign w:val="bottom"/>
            <w:tcBorders>
              <w:left w:val="single" w:sz="8" w:color="auto"/>
              <w:right w:val="single" w:sz="8" w:color="auto"/>
            </w:tcBorders>
          </w:tcPr>
          <w:p>
            <w:pPr>
              <w:spacing w:after="0"/>
              <w:rPr>
                <w:sz w:val="24"/>
                <w:szCs w:val="24"/>
                <w:color w:val="auto"/>
              </w:rPr>
            </w:pPr>
          </w:p>
        </w:tc>
        <w:tc>
          <w:tcPr>
            <w:tcW w:w="108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9.9% (see Item 4)</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10820" w:type="dxa"/>
            <w:vAlign w:val="bottom"/>
            <w:tcBorders>
              <w:bottom w:val="single" w:sz="8" w:color="auto"/>
              <w:right w:val="single" w:sz="8" w:color="auto"/>
            </w:tcBorders>
            <w:gridSpan w:val="5"/>
          </w:tcPr>
          <w:p>
            <w:pPr>
              <w:spacing w:after="0"/>
              <w:rPr>
                <w:sz w:val="8"/>
                <w:szCs w:val="8"/>
                <w:color w:val="auto"/>
              </w:rPr>
            </w:pPr>
          </w:p>
        </w:tc>
      </w:tr>
      <w:tr>
        <w:trPr>
          <w:trHeight w:val="224"/>
        </w:trPr>
        <w:tc>
          <w:tcPr>
            <w:tcW w:w="6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8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Type of reporting person (see instructions)</w:t>
            </w:r>
          </w:p>
        </w:tc>
      </w:tr>
      <w:tr>
        <w:trPr>
          <w:trHeight w:val="418"/>
        </w:trPr>
        <w:tc>
          <w:tcPr>
            <w:tcW w:w="600" w:type="dxa"/>
            <w:vAlign w:val="bottom"/>
            <w:tcBorders>
              <w:left w:val="single" w:sz="8" w:color="auto"/>
              <w:right w:val="single" w:sz="8" w:color="auto"/>
            </w:tcBorders>
          </w:tcPr>
          <w:p>
            <w:pPr>
              <w:spacing w:after="0"/>
              <w:rPr>
                <w:sz w:val="24"/>
                <w:szCs w:val="24"/>
                <w:color w:val="auto"/>
              </w:rPr>
            </w:pPr>
          </w:p>
        </w:tc>
        <w:tc>
          <w:tcPr>
            <w:tcW w:w="800" w:type="dxa"/>
            <w:vAlign w:val="bottom"/>
            <w:gridSpan w:val="3"/>
          </w:tcPr>
          <w:p>
            <w:pPr>
              <w:ind w:left="100"/>
              <w:spacing w:after="0"/>
              <w:rPr>
                <w:sz w:val="20"/>
                <w:szCs w:val="20"/>
                <w:color w:val="auto"/>
              </w:rPr>
            </w:pPr>
            <w:r>
              <w:rPr>
                <w:rFonts w:ascii="Arial" w:cs="Arial" w:eastAsia="Arial" w:hAnsi="Arial"/>
                <w:sz w:val="18"/>
                <w:szCs w:val="18"/>
                <w:color w:val="auto"/>
              </w:rPr>
              <w:t>IN; HC</w:t>
            </w:r>
          </w:p>
        </w:tc>
        <w:tc>
          <w:tcPr>
            <w:tcW w:w="460" w:type="dxa"/>
            <w:vAlign w:val="bottom"/>
          </w:tcPr>
          <w:p>
            <w:pPr>
              <w:spacing w:after="0"/>
              <w:rPr>
                <w:sz w:val="24"/>
                <w:szCs w:val="24"/>
                <w:color w:val="auto"/>
              </w:rPr>
            </w:pPr>
          </w:p>
        </w:tc>
        <w:tc>
          <w:tcPr>
            <w:tcW w:w="9560" w:type="dxa"/>
            <w:vAlign w:val="bottom"/>
            <w:tcBorders>
              <w:right w:val="single" w:sz="8" w:color="auto"/>
            </w:tcBorders>
          </w:tcPr>
          <w:p>
            <w:pPr>
              <w:spacing w:after="0"/>
              <w:rPr>
                <w:sz w:val="24"/>
                <w:szCs w:val="24"/>
                <w:color w:val="auto"/>
              </w:rPr>
            </w:pP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9560" w:type="dxa"/>
            <w:vAlign w:val="bottom"/>
            <w:tcBorders>
              <w:bottom w:val="single" w:sz="8" w:color="auto"/>
              <w:right w:val="single" w:sz="8" w:color="auto"/>
            </w:tcBorders>
          </w:tcPr>
          <w:p>
            <w:pPr>
              <w:spacing w:after="0"/>
              <w:rPr>
                <w:sz w:val="8"/>
                <w:szCs w:val="8"/>
                <w:color w:val="auto"/>
              </w:rPr>
            </w:pPr>
          </w:p>
        </w:tc>
      </w:tr>
    </w:tbl>
    <w:p>
      <w:pPr>
        <w:spacing w:after="0" w:line="202" w:lineRule="exact"/>
        <w:rPr>
          <w:sz w:val="20"/>
          <w:szCs w:val="20"/>
          <w:color w:val="auto"/>
        </w:rPr>
      </w:pPr>
    </w:p>
    <w:p>
      <w:pPr>
        <w:ind w:firstLine="8"/>
        <w:spacing w:after="0" w:line="276" w:lineRule="auto"/>
        <w:tabs>
          <w:tab w:leader="none" w:pos="13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Convertible Notes may not be converted, and the warrants are not exercisable, to the extent that the holder or any of its affiliates would own more than a maximum of 9.99% of the outstanding common stock of the Issuer after such conversion or exercise. The securities reported in rows (6), (8) and (9) show the number of shares of common stock that would be issuable upon full conversion of the Convertible Notes, and full exercise of the warrants, and do not give effect to the foregoing limitations. Therefore, the actual number of shares of common stock beneficially owned by the reporting person, after giving effect to these limitations, is less than the number of securities reported in rows (6), (8) and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92911N104</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600" w:type="dxa"/>
            <w:vAlign w:val="bottom"/>
            <w:tcBorders>
              <w:top w:val="single" w:sz="8" w:color="auto"/>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820" w:type="dxa"/>
            <w:vAlign w:val="bottom"/>
            <w:tcBorders>
              <w:top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Names of reporting persons.</w:t>
            </w: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108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1260" w:type="dxa"/>
            <w:vAlign w:val="bottom"/>
            <w:gridSpan w:val="4"/>
          </w:tcPr>
          <w:p>
            <w:pPr>
              <w:ind w:left="100"/>
              <w:spacing w:after="0"/>
              <w:rPr>
                <w:sz w:val="20"/>
                <w:szCs w:val="20"/>
                <w:color w:val="auto"/>
              </w:rPr>
            </w:pPr>
            <w:r>
              <w:rPr>
                <w:rFonts w:ascii="Arial" w:cs="Arial" w:eastAsia="Arial" w:hAnsi="Arial"/>
                <w:sz w:val="18"/>
                <w:szCs w:val="18"/>
                <w:color w:val="auto"/>
              </w:rPr>
              <w:t>Richard Abbe</w:t>
            </w:r>
          </w:p>
        </w:tc>
        <w:tc>
          <w:tcPr>
            <w:tcW w:w="9560" w:type="dxa"/>
            <w:vAlign w:val="bottom"/>
            <w:tcBorders>
              <w:right w:val="single" w:sz="8" w:color="auto"/>
            </w:tcBorders>
          </w:tcPr>
          <w:p>
            <w:pPr>
              <w:spacing w:after="0"/>
              <w:rPr>
                <w:sz w:val="24"/>
                <w:szCs w:val="24"/>
                <w:color w:val="auto"/>
              </w:rPr>
            </w:pPr>
          </w:p>
        </w:tc>
      </w:tr>
      <w:tr>
        <w:trPr>
          <w:trHeight w:val="149"/>
        </w:trPr>
        <w:tc>
          <w:tcPr>
            <w:tcW w:w="600" w:type="dxa"/>
            <w:vAlign w:val="bottom"/>
            <w:tcBorders>
              <w:left w:val="single" w:sz="8" w:color="auto"/>
              <w:bottom w:val="single" w:sz="8" w:color="auto"/>
              <w:right w:val="single" w:sz="8" w:color="auto"/>
            </w:tcBorders>
          </w:tcPr>
          <w:p>
            <w:pPr>
              <w:spacing w:after="0"/>
              <w:rPr>
                <w:sz w:val="12"/>
                <w:szCs w:val="12"/>
                <w:color w:val="auto"/>
              </w:rPr>
            </w:pPr>
          </w:p>
        </w:tc>
        <w:tc>
          <w:tcPr>
            <w:tcW w:w="580" w:type="dxa"/>
            <w:vAlign w:val="bottom"/>
            <w:tcBorders>
              <w:bottom w:val="single" w:sz="8" w:color="auto"/>
            </w:tcBorders>
            <w:gridSpan w:val="2"/>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9560" w:type="dxa"/>
            <w:vAlign w:val="bottom"/>
            <w:tcBorders>
              <w:bottom w:val="single" w:sz="8" w:color="auto"/>
              <w:right w:val="single" w:sz="8" w:color="auto"/>
            </w:tcBorders>
          </w:tcPr>
          <w:p>
            <w:pPr>
              <w:spacing w:after="0"/>
              <w:rPr>
                <w:sz w:val="12"/>
                <w:szCs w:val="12"/>
                <w:color w:val="auto"/>
              </w:rPr>
            </w:pPr>
          </w:p>
        </w:tc>
      </w:tr>
      <w:tr>
        <w:trPr>
          <w:trHeight w:val="224"/>
        </w:trPr>
        <w:tc>
          <w:tcPr>
            <w:tcW w:w="6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8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r>
      <w:tr>
        <w:trPr>
          <w:trHeight w:val="404"/>
        </w:trPr>
        <w:tc>
          <w:tcPr>
            <w:tcW w:w="600" w:type="dxa"/>
            <w:vAlign w:val="bottom"/>
            <w:tcBorders>
              <w:left w:val="single" w:sz="8" w:color="auto"/>
              <w:right w:val="single" w:sz="8" w:color="auto"/>
            </w:tcBorders>
          </w:tcPr>
          <w:p>
            <w:pPr>
              <w:spacing w:after="0"/>
              <w:rPr>
                <w:sz w:val="24"/>
                <w:szCs w:val="24"/>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(a)</w:t>
            </w:r>
          </w:p>
        </w:tc>
        <w:tc>
          <w:tcPr>
            <w:tcW w:w="420" w:type="dxa"/>
            <w:vAlign w:val="bottom"/>
            <w:gridSpan w:val="2"/>
          </w:tcPr>
          <w:p>
            <w:pPr>
              <w:spacing w:after="0"/>
              <w:rPr>
                <w:sz w:val="20"/>
                <w:szCs w:val="20"/>
                <w:color w:val="auto"/>
              </w:rPr>
            </w:pPr>
            <w:r>
              <w:rPr>
                <w:rFonts w:ascii="Arial" w:cs="Arial" w:eastAsia="Arial" w:hAnsi="Arial"/>
                <w:sz w:val="18"/>
                <w:szCs w:val="18"/>
                <w:color w:val="auto"/>
              </w:rPr>
              <w:t>o</w:t>
            </w:r>
          </w:p>
        </w:tc>
        <w:tc>
          <w:tcPr>
            <w:tcW w:w="460" w:type="dxa"/>
            <w:vAlign w:val="bottom"/>
          </w:tcPr>
          <w:p>
            <w:pPr>
              <w:spacing w:after="0"/>
              <w:rPr>
                <w:sz w:val="24"/>
                <w:szCs w:val="24"/>
                <w:color w:val="auto"/>
              </w:rPr>
            </w:pPr>
          </w:p>
        </w:tc>
        <w:tc>
          <w:tcPr>
            <w:tcW w:w="9560" w:type="dxa"/>
            <w:vAlign w:val="bottom"/>
            <w:tcBorders>
              <w:right w:val="single" w:sz="8" w:color="auto"/>
            </w:tcBorders>
          </w:tcPr>
          <w:p>
            <w:pPr>
              <w:spacing w:after="0"/>
              <w:rPr>
                <w:sz w:val="24"/>
                <w:szCs w:val="24"/>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(b)</w:t>
            </w: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o</w:t>
            </w:r>
          </w:p>
        </w:tc>
        <w:tc>
          <w:tcPr>
            <w:tcW w:w="460" w:type="dxa"/>
            <w:vAlign w:val="bottom"/>
          </w:tcPr>
          <w:p>
            <w:pPr>
              <w:spacing w:after="0"/>
              <w:rPr>
                <w:sz w:val="20"/>
                <w:szCs w:val="20"/>
                <w:color w:val="auto"/>
              </w:rPr>
            </w:pPr>
          </w:p>
        </w:tc>
        <w:tc>
          <w:tcPr>
            <w:tcW w:w="9560" w:type="dxa"/>
            <w:vAlign w:val="bottom"/>
            <w:tcBorders>
              <w:right w:val="single" w:sz="8" w:color="auto"/>
            </w:tcBorders>
          </w:tcPr>
          <w:p>
            <w:pPr>
              <w:spacing w:after="0"/>
              <w:rPr>
                <w:sz w:val="20"/>
                <w:szCs w:val="20"/>
                <w:color w:val="auto"/>
              </w:rPr>
            </w:pPr>
          </w:p>
        </w:tc>
      </w:tr>
      <w:tr>
        <w:trPr>
          <w:trHeight w:val="216"/>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gridSpan w:val="2"/>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9560" w:type="dxa"/>
            <w:vAlign w:val="bottom"/>
            <w:tcBorders>
              <w:bottom w:val="single" w:sz="8" w:color="auto"/>
              <w:right w:val="single" w:sz="8" w:color="auto"/>
            </w:tcBorders>
          </w:tcPr>
          <w:p>
            <w:pPr>
              <w:spacing w:after="0"/>
              <w:rPr>
                <w:sz w:val="18"/>
                <w:szCs w:val="18"/>
                <w:color w:val="auto"/>
              </w:rPr>
            </w:pPr>
          </w:p>
        </w:tc>
      </w:tr>
      <w:tr>
        <w:trPr>
          <w:trHeight w:val="224"/>
        </w:trPr>
        <w:tc>
          <w:tcPr>
            <w:tcW w:w="6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6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9560" w:type="dxa"/>
            <w:vAlign w:val="bottom"/>
            <w:tcBorders>
              <w:right w:val="single" w:sz="8" w:color="auto"/>
            </w:tcBorders>
          </w:tcPr>
          <w:p>
            <w:pPr>
              <w:spacing w:after="0"/>
              <w:rPr>
                <w:sz w:val="19"/>
                <w:szCs w:val="19"/>
                <w:color w:val="auto"/>
              </w:rPr>
            </w:pPr>
          </w:p>
        </w:tc>
      </w:tr>
      <w:tr>
        <w:trPr>
          <w:trHeight w:val="202"/>
        </w:trPr>
        <w:tc>
          <w:tcPr>
            <w:tcW w:w="600" w:type="dxa"/>
            <w:vAlign w:val="bottom"/>
            <w:tcBorders>
              <w:left w:val="single" w:sz="8" w:color="auto"/>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gridSpan w:val="2"/>
          </w:tcPr>
          <w:p>
            <w:pPr>
              <w:spacing w:after="0"/>
              <w:rPr>
                <w:sz w:val="17"/>
                <w:szCs w:val="17"/>
                <w:color w:val="auto"/>
              </w:rPr>
            </w:pPr>
          </w:p>
        </w:tc>
        <w:tc>
          <w:tcPr>
            <w:tcW w:w="680" w:type="dxa"/>
            <w:vAlign w:val="bottom"/>
            <w:tcBorders>
              <w:bottom w:val="single" w:sz="8" w:color="auto"/>
            </w:tcBorders>
            <w:gridSpan w:val="2"/>
          </w:tcPr>
          <w:p>
            <w:pPr>
              <w:spacing w:after="0"/>
              <w:rPr>
                <w:sz w:val="17"/>
                <w:szCs w:val="17"/>
                <w:color w:val="auto"/>
              </w:rPr>
            </w:pPr>
          </w:p>
        </w:tc>
        <w:tc>
          <w:tcPr>
            <w:tcW w:w="9560" w:type="dxa"/>
            <w:vAlign w:val="bottom"/>
            <w:tcBorders>
              <w:bottom w:val="single" w:sz="8" w:color="auto"/>
              <w:right w:val="single" w:sz="8" w:color="auto"/>
            </w:tcBorders>
          </w:tcPr>
          <w:p>
            <w:pPr>
              <w:spacing w:after="0"/>
              <w:rPr>
                <w:sz w:val="17"/>
                <w:szCs w:val="17"/>
                <w:color w:val="auto"/>
              </w:rPr>
            </w:pPr>
          </w:p>
        </w:tc>
      </w:tr>
      <w:tr>
        <w:trPr>
          <w:trHeight w:val="224"/>
        </w:trPr>
        <w:tc>
          <w:tcPr>
            <w:tcW w:w="6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8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Citizenship or place of organization</w:t>
            </w:r>
          </w:p>
        </w:tc>
      </w:tr>
      <w:tr>
        <w:trPr>
          <w:trHeight w:val="418"/>
        </w:trPr>
        <w:tc>
          <w:tcPr>
            <w:tcW w:w="600" w:type="dxa"/>
            <w:vAlign w:val="bottom"/>
            <w:tcBorders>
              <w:left w:val="single" w:sz="8" w:color="auto"/>
              <w:right w:val="single" w:sz="8" w:color="auto"/>
            </w:tcBorders>
          </w:tcPr>
          <w:p>
            <w:pPr>
              <w:spacing w:after="0"/>
              <w:rPr>
                <w:sz w:val="24"/>
                <w:szCs w:val="24"/>
                <w:color w:val="auto"/>
              </w:rPr>
            </w:pPr>
          </w:p>
        </w:tc>
        <w:tc>
          <w:tcPr>
            <w:tcW w:w="108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United States of America</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9560" w:type="dxa"/>
            <w:vAlign w:val="bottom"/>
            <w:tcBorders>
              <w:bottom w:val="single" w:sz="8" w:color="auto"/>
              <w:right w:val="single" w:sz="8" w:color="auto"/>
            </w:tcBorders>
          </w:tcPr>
          <w:p>
            <w:pPr>
              <w:spacing w:after="0"/>
              <w:rPr>
                <w:sz w:val="8"/>
                <w:szCs w:val="8"/>
                <w:color w:val="auto"/>
              </w:rPr>
            </w:pPr>
          </w:p>
        </w:tc>
      </w:tr>
      <w:tr>
        <w:trPr>
          <w:trHeight w:val="195"/>
        </w:trPr>
        <w:tc>
          <w:tcPr>
            <w:tcW w:w="1180" w:type="dxa"/>
            <w:vAlign w:val="bottom"/>
            <w:tcBorders>
              <w:left w:val="single" w:sz="8" w:color="auto"/>
              <w:right w:val="single" w:sz="8" w:color="auto"/>
            </w:tcBorders>
            <w:gridSpan w:val="3"/>
          </w:tcPr>
          <w:p>
            <w:pPr>
              <w:jc w:val="center"/>
              <w:ind w:left="30"/>
              <w:spacing w:after="0" w:line="195" w:lineRule="exact"/>
              <w:rPr>
                <w:sz w:val="20"/>
                <w:szCs w:val="20"/>
                <w:color w:val="auto"/>
              </w:rPr>
            </w:pPr>
            <w:r>
              <w:rPr>
                <w:rFonts w:ascii="Arial" w:cs="Arial" w:eastAsia="Arial" w:hAnsi="Arial"/>
                <w:sz w:val="18"/>
                <w:szCs w:val="18"/>
                <w:color w:val="auto"/>
                <w:w w:val="92"/>
              </w:rPr>
              <w:t>Number of</w:t>
            </w:r>
          </w:p>
        </w:tc>
        <w:tc>
          <w:tcPr>
            <w:tcW w:w="220" w:type="dxa"/>
            <w:vAlign w:val="bottom"/>
          </w:tcPr>
          <w:p>
            <w:pPr>
              <w:spacing w:after="0"/>
              <w:rPr>
                <w:sz w:val="16"/>
                <w:szCs w:val="16"/>
                <w:color w:val="auto"/>
              </w:rPr>
            </w:pPr>
          </w:p>
        </w:tc>
        <w:tc>
          <w:tcPr>
            <w:tcW w:w="4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(5)</w:t>
            </w:r>
          </w:p>
        </w:tc>
        <w:tc>
          <w:tcPr>
            <w:tcW w:w="95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Sole voting power</w:t>
            </w:r>
          </w:p>
        </w:tc>
      </w:tr>
      <w:tr>
        <w:trPr>
          <w:trHeight w:val="216"/>
        </w:trPr>
        <w:tc>
          <w:tcPr>
            <w:tcW w:w="980" w:type="dxa"/>
            <w:vAlign w:val="bottom"/>
            <w:tcBorders>
              <w:left w:val="single" w:sz="8" w:color="auto"/>
            </w:tcBorders>
            <w:gridSpan w:val="2"/>
          </w:tcPr>
          <w:p>
            <w:pPr>
              <w:jc w:val="center"/>
              <w:ind w:left="230"/>
              <w:spacing w:after="0"/>
              <w:rPr>
                <w:sz w:val="20"/>
                <w:szCs w:val="20"/>
                <w:color w:val="auto"/>
              </w:rPr>
            </w:pPr>
            <w:r>
              <w:rPr>
                <w:rFonts w:ascii="Arial" w:cs="Arial" w:eastAsia="Arial" w:hAnsi="Arial"/>
                <w:sz w:val="18"/>
                <w:szCs w:val="18"/>
                <w:color w:val="auto"/>
                <w:w w:val="85"/>
              </w:rPr>
              <w:t>shares</w:t>
            </w:r>
          </w:p>
        </w:tc>
        <w:tc>
          <w:tcPr>
            <w:tcW w:w="2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9560" w:type="dxa"/>
            <w:vAlign w:val="bottom"/>
            <w:tcBorders>
              <w:right w:val="single" w:sz="8" w:color="auto"/>
            </w:tcBorders>
          </w:tcPr>
          <w:p>
            <w:pPr>
              <w:spacing w:after="0"/>
              <w:rPr>
                <w:sz w:val="18"/>
                <w:szCs w:val="18"/>
                <w:color w:val="auto"/>
              </w:rPr>
            </w:pPr>
          </w:p>
        </w:tc>
      </w:tr>
      <w:tr>
        <w:trPr>
          <w:trHeight w:val="216"/>
        </w:trPr>
        <w:tc>
          <w:tcPr>
            <w:tcW w:w="118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beneficially</w:t>
            </w: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0</w:t>
            </w:r>
          </w:p>
        </w:tc>
      </w:tr>
      <w:tr>
        <w:trPr>
          <w:trHeight w:val="216"/>
        </w:trPr>
        <w:tc>
          <w:tcPr>
            <w:tcW w:w="118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0"/>
              </w:rPr>
              <w:t>owned by</w:t>
            </w: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9560" w:type="dxa"/>
            <w:vAlign w:val="bottom"/>
            <w:tcBorders>
              <w:right w:val="single" w:sz="8" w:color="auto"/>
            </w:tcBorders>
          </w:tcPr>
          <w:p>
            <w:pPr>
              <w:spacing w:after="0"/>
              <w:rPr>
                <w:sz w:val="18"/>
                <w:szCs w:val="18"/>
                <w:color w:val="auto"/>
              </w:rPr>
            </w:pPr>
          </w:p>
        </w:tc>
      </w:tr>
      <w:tr>
        <w:trPr>
          <w:trHeight w:val="216"/>
        </w:trPr>
        <w:tc>
          <w:tcPr>
            <w:tcW w:w="980" w:type="dxa"/>
            <w:vAlign w:val="bottom"/>
            <w:tcBorders>
              <w:left w:val="single" w:sz="8" w:color="auto"/>
            </w:tcBorders>
            <w:gridSpan w:val="2"/>
          </w:tcPr>
          <w:p>
            <w:pPr>
              <w:jc w:val="center"/>
              <w:ind w:left="230"/>
              <w:spacing w:after="0"/>
              <w:rPr>
                <w:sz w:val="20"/>
                <w:szCs w:val="20"/>
                <w:color w:val="auto"/>
              </w:rPr>
            </w:pPr>
            <w:r>
              <w:rPr>
                <w:rFonts w:ascii="Arial" w:cs="Arial" w:eastAsia="Arial" w:hAnsi="Arial"/>
                <w:sz w:val="18"/>
                <w:szCs w:val="18"/>
                <w:color w:val="auto"/>
                <w:w w:val="86"/>
              </w:rPr>
              <w:t>each</w:t>
            </w:r>
          </w:p>
        </w:tc>
        <w:tc>
          <w:tcPr>
            <w:tcW w:w="2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9560" w:type="dxa"/>
            <w:vAlign w:val="bottom"/>
            <w:tcBorders>
              <w:right w:val="single" w:sz="8" w:color="auto"/>
            </w:tcBorders>
          </w:tcPr>
          <w:p>
            <w:pPr>
              <w:spacing w:after="0"/>
              <w:rPr>
                <w:sz w:val="18"/>
                <w:szCs w:val="18"/>
                <w:color w:val="auto"/>
              </w:rPr>
            </w:pPr>
          </w:p>
        </w:tc>
      </w:tr>
      <w:tr>
        <w:trPr>
          <w:trHeight w:val="216"/>
        </w:trPr>
        <w:tc>
          <w:tcPr>
            <w:tcW w:w="980" w:type="dxa"/>
            <w:vAlign w:val="bottom"/>
            <w:tcBorders>
              <w:left w:val="single" w:sz="8" w:color="auto"/>
            </w:tcBorders>
            <w:gridSpan w:val="2"/>
          </w:tcPr>
          <w:p>
            <w:pPr>
              <w:jc w:val="center"/>
              <w:ind w:left="230"/>
              <w:spacing w:after="0"/>
              <w:rPr>
                <w:sz w:val="20"/>
                <w:szCs w:val="20"/>
                <w:color w:val="auto"/>
              </w:rPr>
            </w:pPr>
            <w:r>
              <w:rPr>
                <w:rFonts w:ascii="Arial" w:cs="Arial" w:eastAsia="Arial" w:hAnsi="Arial"/>
                <w:sz w:val="18"/>
                <w:szCs w:val="18"/>
                <w:color w:val="auto"/>
                <w:w w:val="92"/>
              </w:rPr>
              <w:t>reporting</w:t>
            </w:r>
          </w:p>
        </w:tc>
        <w:tc>
          <w:tcPr>
            <w:tcW w:w="2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9560" w:type="dxa"/>
            <w:vAlign w:val="bottom"/>
            <w:tcBorders>
              <w:right w:val="single" w:sz="8" w:color="auto"/>
            </w:tcBorders>
          </w:tcPr>
          <w:p>
            <w:pPr>
              <w:spacing w:after="0"/>
              <w:rPr>
                <w:sz w:val="18"/>
                <w:szCs w:val="18"/>
                <w:color w:val="auto"/>
              </w:rPr>
            </w:pPr>
          </w:p>
        </w:tc>
      </w:tr>
      <w:tr>
        <w:trPr>
          <w:trHeight w:val="216"/>
        </w:trPr>
        <w:tc>
          <w:tcPr>
            <w:tcW w:w="980" w:type="dxa"/>
            <w:vAlign w:val="bottom"/>
            <w:tcBorders>
              <w:left w:val="single" w:sz="8" w:color="auto"/>
            </w:tcBorders>
            <w:gridSpan w:val="2"/>
          </w:tcPr>
          <w:p>
            <w:pPr>
              <w:jc w:val="center"/>
              <w:ind w:left="210"/>
              <w:spacing w:after="0"/>
              <w:rPr>
                <w:sz w:val="20"/>
                <w:szCs w:val="20"/>
                <w:color w:val="auto"/>
              </w:rPr>
            </w:pPr>
            <w:r>
              <w:rPr>
                <w:rFonts w:ascii="Arial" w:cs="Arial" w:eastAsia="Arial" w:hAnsi="Arial"/>
                <w:sz w:val="18"/>
                <w:szCs w:val="18"/>
                <w:color w:val="auto"/>
                <w:w w:val="87"/>
              </w:rPr>
              <w:t>person</w:t>
            </w:r>
          </w:p>
        </w:tc>
        <w:tc>
          <w:tcPr>
            <w:tcW w:w="2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9560" w:type="dxa"/>
            <w:vAlign w:val="bottom"/>
            <w:tcBorders>
              <w:right w:val="single" w:sz="8" w:color="auto"/>
            </w:tcBorders>
          </w:tcPr>
          <w:p>
            <w:pPr>
              <w:spacing w:after="0"/>
              <w:rPr>
                <w:sz w:val="18"/>
                <w:szCs w:val="18"/>
                <w:color w:val="auto"/>
              </w:rPr>
            </w:pPr>
          </w:p>
        </w:tc>
      </w:tr>
      <w:tr>
        <w:trPr>
          <w:trHeight w:val="230"/>
        </w:trPr>
        <w:tc>
          <w:tcPr>
            <w:tcW w:w="980" w:type="dxa"/>
            <w:vAlign w:val="bottom"/>
            <w:tcBorders>
              <w:left w:val="single" w:sz="8" w:color="auto"/>
            </w:tcBorders>
            <w:gridSpan w:val="2"/>
          </w:tcPr>
          <w:p>
            <w:pPr>
              <w:jc w:val="center"/>
              <w:ind w:left="230"/>
              <w:spacing w:after="0"/>
              <w:rPr>
                <w:sz w:val="20"/>
                <w:szCs w:val="20"/>
                <w:color w:val="auto"/>
              </w:rPr>
            </w:pPr>
            <w:r>
              <w:rPr>
                <w:rFonts w:ascii="Arial" w:cs="Arial" w:eastAsia="Arial" w:hAnsi="Arial"/>
                <w:sz w:val="18"/>
                <w:szCs w:val="18"/>
                <w:color w:val="auto"/>
              </w:rPr>
              <w:t>with:</w:t>
            </w:r>
          </w:p>
        </w:tc>
        <w:tc>
          <w:tcPr>
            <w:tcW w:w="200" w:type="dxa"/>
            <w:vAlign w:val="bottom"/>
            <w:tcBorders>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9560" w:type="dxa"/>
            <w:vAlign w:val="bottom"/>
            <w:tcBorders>
              <w:bottom w:val="single" w:sz="8" w:color="auto"/>
              <w:right w:val="single" w:sz="8" w:color="auto"/>
            </w:tcBorders>
          </w:tcPr>
          <w:p>
            <w:pPr>
              <w:spacing w:after="0"/>
              <w:rPr>
                <w:sz w:val="20"/>
                <w:szCs w:val="20"/>
                <w:color w:val="auto"/>
              </w:rPr>
            </w:pPr>
          </w:p>
        </w:tc>
      </w:tr>
      <w:tr>
        <w:trPr>
          <w:trHeight w:val="224"/>
        </w:trPr>
        <w:tc>
          <w:tcPr>
            <w:tcW w:w="600" w:type="dxa"/>
            <w:vAlign w:val="bottom"/>
            <w:tcBorders>
              <w:lef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voting power</w:t>
            </w:r>
          </w:p>
        </w:tc>
      </w:tr>
      <w:tr>
        <w:trPr>
          <w:trHeight w:val="404"/>
        </w:trPr>
        <w:tc>
          <w:tcPr>
            <w:tcW w:w="600" w:type="dxa"/>
            <w:vAlign w:val="bottom"/>
            <w:tcBorders>
              <w:lef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Convertible Notes convertible into 12,500,000 shares of common stock</w:t>
            </w:r>
          </w:p>
        </w:tc>
      </w:tr>
      <w:tr>
        <w:trPr>
          <w:trHeight w:val="230"/>
        </w:trPr>
        <w:tc>
          <w:tcPr>
            <w:tcW w:w="600" w:type="dxa"/>
            <w:vAlign w:val="bottom"/>
            <w:tcBorders>
              <w:lef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9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Warrants to purchase 2,219,803 shares of common stock (see Item 4)</w:t>
            </w:r>
          </w:p>
        </w:tc>
      </w:tr>
      <w:tr>
        <w:trPr>
          <w:trHeight w:val="224"/>
        </w:trPr>
        <w:tc>
          <w:tcPr>
            <w:tcW w:w="600" w:type="dxa"/>
            <w:vAlign w:val="bottom"/>
            <w:tcBorders>
              <w:lef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Sole dispositive power</w:t>
            </w:r>
          </w:p>
        </w:tc>
      </w:tr>
      <w:tr>
        <w:trPr>
          <w:trHeight w:val="418"/>
        </w:trPr>
        <w:tc>
          <w:tcPr>
            <w:tcW w:w="600" w:type="dxa"/>
            <w:vAlign w:val="bottom"/>
            <w:tcBorders>
              <w:lef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0</w:t>
            </w:r>
          </w:p>
        </w:tc>
      </w:tr>
      <w:tr>
        <w:trPr>
          <w:trHeight w:val="95"/>
        </w:trPr>
        <w:tc>
          <w:tcPr>
            <w:tcW w:w="600" w:type="dxa"/>
            <w:vAlign w:val="bottom"/>
            <w:tcBorders>
              <w:lef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60" w:type="dxa"/>
            <w:vAlign w:val="bottom"/>
            <w:tcBorders>
              <w:bottom w:val="single" w:sz="8" w:color="auto"/>
              <w:right w:val="single" w:sz="8" w:color="auto"/>
            </w:tcBorders>
          </w:tcPr>
          <w:p>
            <w:pPr>
              <w:spacing w:after="0"/>
              <w:rPr>
                <w:sz w:val="8"/>
                <w:szCs w:val="8"/>
                <w:color w:val="auto"/>
              </w:rPr>
            </w:pPr>
          </w:p>
        </w:tc>
        <w:tc>
          <w:tcPr>
            <w:tcW w:w="9560" w:type="dxa"/>
            <w:vAlign w:val="bottom"/>
            <w:tcBorders>
              <w:bottom w:val="single" w:sz="8" w:color="auto"/>
              <w:right w:val="single" w:sz="8" w:color="auto"/>
            </w:tcBorders>
          </w:tcPr>
          <w:p>
            <w:pPr>
              <w:spacing w:after="0"/>
              <w:rPr>
                <w:sz w:val="8"/>
                <w:szCs w:val="8"/>
                <w:color w:val="auto"/>
              </w:rPr>
            </w:pPr>
          </w:p>
        </w:tc>
      </w:tr>
      <w:tr>
        <w:trPr>
          <w:trHeight w:val="224"/>
        </w:trPr>
        <w:tc>
          <w:tcPr>
            <w:tcW w:w="600" w:type="dxa"/>
            <w:vAlign w:val="bottom"/>
            <w:tcBorders>
              <w:lef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dispositive power</w:t>
            </w:r>
          </w:p>
        </w:tc>
      </w:tr>
      <w:tr>
        <w:trPr>
          <w:trHeight w:val="404"/>
        </w:trPr>
        <w:tc>
          <w:tcPr>
            <w:tcW w:w="600" w:type="dxa"/>
            <w:vAlign w:val="bottom"/>
            <w:tcBorders>
              <w:lef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Convertible Notes convertible into 12,500,000 shares of common stock</w:t>
            </w:r>
          </w:p>
        </w:tc>
      </w:tr>
      <w:tr>
        <w:trPr>
          <w:trHeight w:val="230"/>
        </w:trPr>
        <w:tc>
          <w:tcPr>
            <w:tcW w:w="600" w:type="dxa"/>
            <w:vAlign w:val="bottom"/>
            <w:tcBorders>
              <w:left w:val="single" w:sz="8" w:color="auto"/>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9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Warrants to purchase 2,219,803 shares of common stock (see Item 4)</w:t>
            </w:r>
          </w:p>
        </w:tc>
      </w:tr>
      <w:tr>
        <w:trPr>
          <w:trHeight w:val="224"/>
        </w:trPr>
        <w:tc>
          <w:tcPr>
            <w:tcW w:w="6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8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r>
      <w:tr>
        <w:trPr>
          <w:trHeight w:val="404"/>
        </w:trPr>
        <w:tc>
          <w:tcPr>
            <w:tcW w:w="600" w:type="dxa"/>
            <w:vAlign w:val="bottom"/>
            <w:tcBorders>
              <w:left w:val="single" w:sz="8" w:color="auto"/>
              <w:right w:val="single" w:sz="8" w:color="auto"/>
            </w:tcBorders>
          </w:tcPr>
          <w:p>
            <w:pPr>
              <w:spacing w:after="0"/>
              <w:rPr>
                <w:sz w:val="24"/>
                <w:szCs w:val="24"/>
                <w:color w:val="auto"/>
              </w:rPr>
            </w:pPr>
          </w:p>
        </w:tc>
        <w:tc>
          <w:tcPr>
            <w:tcW w:w="108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Convertible Notes convertible into 12,500,000 shares of common stock</w:t>
            </w:r>
          </w:p>
        </w:tc>
      </w:tr>
      <w:tr>
        <w:trPr>
          <w:trHeight w:val="230"/>
        </w:trPr>
        <w:tc>
          <w:tcPr>
            <w:tcW w:w="600" w:type="dxa"/>
            <w:vAlign w:val="bottom"/>
            <w:tcBorders>
              <w:left w:val="single" w:sz="8" w:color="auto"/>
              <w:bottom w:val="single" w:sz="8" w:color="auto"/>
              <w:right w:val="single" w:sz="8" w:color="auto"/>
            </w:tcBorders>
          </w:tcPr>
          <w:p>
            <w:pPr>
              <w:spacing w:after="0"/>
              <w:rPr>
                <w:sz w:val="20"/>
                <w:szCs w:val="20"/>
                <w:color w:val="auto"/>
              </w:rPr>
            </w:pPr>
          </w:p>
        </w:tc>
        <w:tc>
          <w:tcPr>
            <w:tcW w:w="108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Warrants to purchase 2,219,803 shares of common stock (see Item 4)</w:t>
            </w:r>
          </w:p>
        </w:tc>
      </w:tr>
      <w:tr>
        <w:trPr>
          <w:trHeight w:val="224"/>
        </w:trPr>
        <w:tc>
          <w:tcPr>
            <w:tcW w:w="6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8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w:t>
            </w:r>
          </w:p>
        </w:tc>
      </w:tr>
      <w:tr>
        <w:trPr>
          <w:trHeight w:val="202"/>
        </w:trPr>
        <w:tc>
          <w:tcPr>
            <w:tcW w:w="600" w:type="dxa"/>
            <w:vAlign w:val="bottom"/>
            <w:tcBorders>
              <w:left w:val="single" w:sz="8" w:color="auto"/>
              <w:bottom w:val="single" w:sz="8" w:color="auto"/>
              <w:right w:val="single" w:sz="8" w:color="auto"/>
            </w:tcBorders>
          </w:tcPr>
          <w:p>
            <w:pPr>
              <w:spacing w:after="0"/>
              <w:rPr>
                <w:sz w:val="17"/>
                <w:szCs w:val="17"/>
                <w:color w:val="auto"/>
              </w:rPr>
            </w:pPr>
          </w:p>
        </w:tc>
        <w:tc>
          <w:tcPr>
            <w:tcW w:w="10820" w:type="dxa"/>
            <w:vAlign w:val="bottom"/>
            <w:tcBorders>
              <w:bottom w:val="single" w:sz="8" w:color="auto"/>
              <w:right w:val="single" w:sz="8" w:color="auto"/>
            </w:tcBorders>
            <w:gridSpan w:val="5"/>
          </w:tcPr>
          <w:p>
            <w:pPr>
              <w:spacing w:after="0"/>
              <w:rPr>
                <w:sz w:val="17"/>
                <w:szCs w:val="17"/>
                <w:color w:val="auto"/>
              </w:rPr>
            </w:pPr>
          </w:p>
        </w:tc>
      </w:tr>
      <w:tr>
        <w:trPr>
          <w:trHeight w:val="224"/>
        </w:trPr>
        <w:tc>
          <w:tcPr>
            <w:tcW w:w="6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8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r>
      <w:tr>
        <w:trPr>
          <w:trHeight w:val="418"/>
        </w:trPr>
        <w:tc>
          <w:tcPr>
            <w:tcW w:w="600" w:type="dxa"/>
            <w:vAlign w:val="bottom"/>
            <w:tcBorders>
              <w:left w:val="single" w:sz="8" w:color="auto"/>
              <w:right w:val="single" w:sz="8" w:color="auto"/>
            </w:tcBorders>
          </w:tcPr>
          <w:p>
            <w:pPr>
              <w:spacing w:after="0"/>
              <w:rPr>
                <w:sz w:val="24"/>
                <w:szCs w:val="24"/>
                <w:color w:val="auto"/>
              </w:rPr>
            </w:pPr>
          </w:p>
        </w:tc>
        <w:tc>
          <w:tcPr>
            <w:tcW w:w="108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9.9% (see Item 4)</w:t>
            </w: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10820" w:type="dxa"/>
            <w:vAlign w:val="bottom"/>
            <w:tcBorders>
              <w:bottom w:val="single" w:sz="8" w:color="auto"/>
              <w:right w:val="single" w:sz="8" w:color="auto"/>
            </w:tcBorders>
            <w:gridSpan w:val="5"/>
          </w:tcPr>
          <w:p>
            <w:pPr>
              <w:spacing w:after="0"/>
              <w:rPr>
                <w:sz w:val="8"/>
                <w:szCs w:val="8"/>
                <w:color w:val="auto"/>
              </w:rPr>
            </w:pPr>
          </w:p>
        </w:tc>
      </w:tr>
      <w:tr>
        <w:trPr>
          <w:trHeight w:val="224"/>
        </w:trPr>
        <w:tc>
          <w:tcPr>
            <w:tcW w:w="6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8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Type of reporting person (see instructions)</w:t>
            </w:r>
          </w:p>
        </w:tc>
      </w:tr>
      <w:tr>
        <w:trPr>
          <w:trHeight w:val="418"/>
        </w:trPr>
        <w:tc>
          <w:tcPr>
            <w:tcW w:w="600" w:type="dxa"/>
            <w:vAlign w:val="bottom"/>
            <w:tcBorders>
              <w:left w:val="single" w:sz="8" w:color="auto"/>
              <w:right w:val="single" w:sz="8" w:color="auto"/>
            </w:tcBorders>
          </w:tcPr>
          <w:p>
            <w:pPr>
              <w:spacing w:after="0"/>
              <w:rPr>
                <w:sz w:val="24"/>
                <w:szCs w:val="24"/>
                <w:color w:val="auto"/>
              </w:rPr>
            </w:pPr>
          </w:p>
        </w:tc>
        <w:tc>
          <w:tcPr>
            <w:tcW w:w="800" w:type="dxa"/>
            <w:vAlign w:val="bottom"/>
            <w:gridSpan w:val="3"/>
          </w:tcPr>
          <w:p>
            <w:pPr>
              <w:ind w:left="100"/>
              <w:spacing w:after="0"/>
              <w:rPr>
                <w:sz w:val="20"/>
                <w:szCs w:val="20"/>
                <w:color w:val="auto"/>
              </w:rPr>
            </w:pPr>
            <w:r>
              <w:rPr>
                <w:rFonts w:ascii="Arial" w:cs="Arial" w:eastAsia="Arial" w:hAnsi="Arial"/>
                <w:sz w:val="18"/>
                <w:szCs w:val="18"/>
                <w:color w:val="auto"/>
              </w:rPr>
              <w:t>IN; HC</w:t>
            </w:r>
          </w:p>
        </w:tc>
        <w:tc>
          <w:tcPr>
            <w:tcW w:w="460" w:type="dxa"/>
            <w:vAlign w:val="bottom"/>
          </w:tcPr>
          <w:p>
            <w:pPr>
              <w:spacing w:after="0"/>
              <w:rPr>
                <w:sz w:val="24"/>
                <w:szCs w:val="24"/>
                <w:color w:val="auto"/>
              </w:rPr>
            </w:pPr>
          </w:p>
        </w:tc>
        <w:tc>
          <w:tcPr>
            <w:tcW w:w="9560" w:type="dxa"/>
            <w:vAlign w:val="bottom"/>
            <w:tcBorders>
              <w:right w:val="single" w:sz="8" w:color="auto"/>
            </w:tcBorders>
          </w:tcPr>
          <w:p>
            <w:pPr>
              <w:spacing w:after="0"/>
              <w:rPr>
                <w:sz w:val="24"/>
                <w:szCs w:val="24"/>
                <w:color w:val="auto"/>
              </w:rPr>
            </w:pPr>
          </w:p>
        </w:tc>
      </w:tr>
      <w:tr>
        <w:trPr>
          <w:trHeight w:val="95"/>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9560" w:type="dxa"/>
            <w:vAlign w:val="bottom"/>
            <w:tcBorders>
              <w:bottom w:val="single" w:sz="8" w:color="auto"/>
              <w:right w:val="single" w:sz="8" w:color="auto"/>
            </w:tcBorders>
          </w:tcPr>
          <w:p>
            <w:pPr>
              <w:spacing w:after="0"/>
              <w:rPr>
                <w:sz w:val="8"/>
                <w:szCs w:val="8"/>
                <w:color w:val="auto"/>
              </w:rPr>
            </w:pPr>
          </w:p>
        </w:tc>
      </w:tr>
    </w:tbl>
    <w:p>
      <w:pPr>
        <w:spacing w:after="0" w:line="202" w:lineRule="exact"/>
        <w:rPr>
          <w:sz w:val="20"/>
          <w:szCs w:val="20"/>
          <w:color w:val="auto"/>
        </w:rPr>
      </w:pPr>
    </w:p>
    <w:p>
      <w:pPr>
        <w:ind w:firstLine="8"/>
        <w:spacing w:after="0" w:line="276" w:lineRule="auto"/>
        <w:tabs>
          <w:tab w:leader="none" w:pos="13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Convertible Notes may not be converted, and the warrants are not exercisable, to the extent that the holder or any of its affiliates would own more than a maximum of 9.99% of the outstanding common stock of the Issuer after such conversion or exercise. The securities reported in rows (6), (8) and (9) show the number of shares of common stock that would be issuable upon full conversion of the Convertible Notes, and full exercise of the warrants, and do not give effect to the foregoing limitations. Therefore, the actual number of shares of common stock beneficially owned by the reporting person, after giving effect to these limitations, is less than the number of securities reported in rows (6), (8) and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Name of Issuer</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Vringo, Inc. (the “</w:t>
      </w:r>
      <w:r>
        <w:rPr>
          <w:rFonts w:ascii="Arial" w:cs="Arial" w:eastAsia="Arial" w:hAnsi="Arial"/>
          <w:sz w:val="18"/>
          <w:szCs w:val="18"/>
          <w:u w:val="single" w:color="auto"/>
          <w:color w:val="auto"/>
        </w:rPr>
        <w:t>Issuer</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 Address of Issuer’s Principal Executive Offices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780 Third Avenue, 12th Floor</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New York, NY 10017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5" w:lineRule="exact"/>
        <w:rPr>
          <w:sz w:val="20"/>
          <w:szCs w:val="20"/>
          <w:color w:val="auto"/>
        </w:rPr>
      </w:pPr>
    </w:p>
    <w:p>
      <w:pPr>
        <w:ind w:left="700" w:right="40"/>
        <w:spacing w:after="0" w:line="286" w:lineRule="auto"/>
        <w:rPr>
          <w:sz w:val="20"/>
          <w:szCs w:val="20"/>
          <w:color w:val="auto"/>
        </w:rPr>
      </w:pPr>
      <w:r>
        <w:rPr>
          <w:rFonts w:ascii="Arial" w:cs="Arial" w:eastAsia="Arial" w:hAnsi="Arial"/>
          <w:sz w:val="17"/>
          <w:szCs w:val="17"/>
          <w:color w:val="auto"/>
        </w:rPr>
        <w:t>This Schedule 13G is being filed on behalf of (i) Iroquois Capital Management L.L.C., a Delaware limited liability company (“Iroquois”), (ii) Joshua Silverman, an individual who is a citizen of the United States of America (“Mr. Silverman”) and (iii) Richard Abbe, an individual who is a citizen of the United States of America (“Mr. Abbe,” together with Iroquois and Mr. Silverman, the “Reporting Persons”).</w:t>
      </w:r>
    </w:p>
    <w:p>
      <w:pPr>
        <w:spacing w:after="0" w:line="166" w:lineRule="exact"/>
        <w:rPr>
          <w:sz w:val="20"/>
          <w:szCs w:val="20"/>
          <w:color w:val="auto"/>
        </w:rPr>
      </w:pPr>
    </w:p>
    <w:p>
      <w:pPr>
        <w:jc w:val="both"/>
        <w:ind w:left="700"/>
        <w:spacing w:after="0" w:line="264" w:lineRule="auto"/>
        <w:rPr>
          <w:sz w:val="20"/>
          <w:szCs w:val="20"/>
          <w:color w:val="auto"/>
        </w:rPr>
      </w:pPr>
      <w:r>
        <w:rPr>
          <w:rFonts w:ascii="Arial" w:cs="Arial" w:eastAsia="Arial" w:hAnsi="Arial"/>
          <w:sz w:val="18"/>
          <w:szCs w:val="18"/>
          <w:color w:val="auto"/>
        </w:rPr>
        <w:t>The Reporting Persons have entered into a Joint Filing Agreement, a copy of which is filed with this Schedule 13G as Exhibit 1, pursuant to which the Reporting Persons have agreed to file this Schedule 13G jointly in accordance with the provisions of Rule 13d-1(k) of the Securities Exchange Act of 1934, as amended.</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principal business office of all of the Reporting Persons is 205 East 42nd St- 20th Fl., New York NY 10017.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 Title of Class of Securities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Common stock, par value $0.01 per share, of the Issuer (the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225" w:lineRule="exact"/>
        <w:rPr>
          <w:sz w:val="20"/>
          <w:szCs w:val="20"/>
          <w:color w:val="auto"/>
        </w:rPr>
      </w:pPr>
    </w:p>
    <w:p>
      <w:pPr>
        <w:ind w:left="700" w:right="9720" w:hanging="692"/>
        <w:spacing w:after="0" w:line="561" w:lineRule="auto"/>
        <w:tabs>
          <w:tab w:leader="none" w:pos="256"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92911N104</w:t>
      </w: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1280" w:hanging="354"/>
        <w:spacing w:after="0"/>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   Broker or dealer registered under section 15 of the Act (15 U.S.C. 78o);</w:t>
      </w:r>
    </w:p>
    <w:p>
      <w:pPr>
        <w:spacing w:after="0" w:line="225" w:lineRule="exact"/>
        <w:rPr>
          <w:rFonts w:ascii="Arial" w:cs="Arial" w:eastAsia="Arial" w:hAnsi="Arial"/>
          <w:sz w:val="18"/>
          <w:szCs w:val="18"/>
          <w:color w:val="auto"/>
        </w:rPr>
      </w:pPr>
    </w:p>
    <w:p>
      <w:pPr>
        <w:ind w:left="1280" w:hanging="354"/>
        <w:spacing w:after="0"/>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   Bank as defined in section 3(a)(6) of the Act (15 U.S.C. 78c);</w:t>
      </w:r>
    </w:p>
    <w:p>
      <w:pPr>
        <w:spacing w:after="0" w:line="225" w:lineRule="exact"/>
        <w:rPr>
          <w:rFonts w:ascii="Arial" w:cs="Arial" w:eastAsia="Arial" w:hAnsi="Arial"/>
          <w:sz w:val="18"/>
          <w:szCs w:val="18"/>
          <w:color w:val="auto"/>
        </w:rPr>
      </w:pPr>
    </w:p>
    <w:p>
      <w:pPr>
        <w:ind w:left="1280" w:hanging="354"/>
        <w:spacing w:after="0"/>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   Insurance company as defined in section 3(a)(19) of the Act (15 U.S.C. 78c);</w:t>
      </w:r>
    </w:p>
    <w:p>
      <w:pPr>
        <w:spacing w:after="0" w:line="225" w:lineRule="exact"/>
        <w:rPr>
          <w:rFonts w:ascii="Arial" w:cs="Arial" w:eastAsia="Arial" w:hAnsi="Arial"/>
          <w:sz w:val="18"/>
          <w:szCs w:val="18"/>
          <w:color w:val="auto"/>
        </w:rPr>
      </w:pPr>
    </w:p>
    <w:p>
      <w:pPr>
        <w:ind w:left="1280" w:hanging="354"/>
        <w:spacing w:after="0"/>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280" w:hanging="354"/>
        <w:spacing w:after="0"/>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   An investment adviser in accordance with § 240.13d-1(b)(1)(ii)(E);</w:t>
      </w:r>
    </w:p>
    <w:p>
      <w:pPr>
        <w:spacing w:after="0" w:line="225" w:lineRule="exact"/>
        <w:rPr>
          <w:rFonts w:ascii="Arial" w:cs="Arial" w:eastAsia="Arial" w:hAnsi="Arial"/>
          <w:sz w:val="18"/>
          <w:szCs w:val="18"/>
          <w:color w:val="auto"/>
        </w:rPr>
      </w:pPr>
    </w:p>
    <w:p>
      <w:pPr>
        <w:ind w:left="1280" w:hanging="354"/>
        <w:spacing w:after="0"/>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   An employee benefit plan or endowment fund in accordance with § 240.13d-1(b)(1)(ii)(F);</w:t>
      </w:r>
    </w:p>
    <w:p>
      <w:pPr>
        <w:spacing w:after="0" w:line="225" w:lineRule="exact"/>
        <w:rPr>
          <w:rFonts w:ascii="Arial" w:cs="Arial" w:eastAsia="Arial" w:hAnsi="Arial"/>
          <w:sz w:val="18"/>
          <w:szCs w:val="18"/>
          <w:color w:val="auto"/>
        </w:rPr>
      </w:pPr>
    </w:p>
    <w:p>
      <w:pPr>
        <w:ind w:left="1280" w:hanging="354"/>
        <w:spacing w:after="0"/>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   A parent holding company or control person in accordance with § 240.13d-1(b)(1)(ii)(G);</w:t>
      </w:r>
    </w:p>
    <w:p>
      <w:pPr>
        <w:spacing w:after="0" w:line="225" w:lineRule="exact"/>
        <w:rPr>
          <w:rFonts w:ascii="Arial" w:cs="Arial" w:eastAsia="Arial" w:hAnsi="Arial"/>
          <w:sz w:val="18"/>
          <w:szCs w:val="18"/>
          <w:color w:val="auto"/>
        </w:rPr>
      </w:pPr>
    </w:p>
    <w:p>
      <w:pPr>
        <w:ind w:left="1280" w:hanging="354"/>
        <w:spacing w:after="0"/>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   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620" w:right="100" w:hanging="694"/>
        <w:spacing w:after="0" w:line="277" w:lineRule="auto"/>
        <w:tabs>
          <w:tab w:leader="none" w:pos="1282" w:val="left"/>
        </w:tabs>
        <w:numPr>
          <w:ilvl w:val="0"/>
          <w:numId w:val="8"/>
        </w:numPr>
        <w:rPr>
          <w:rFonts w:ascii="Arial" w:cs="Arial" w:eastAsia="Arial" w:hAnsi="Arial"/>
          <w:sz w:val="18"/>
          <w:szCs w:val="18"/>
          <w:color w:val="auto"/>
        </w:rPr>
      </w:pPr>
      <w:r>
        <w:rPr>
          <w:rFonts w:ascii="Arial" w:cs="Arial" w:eastAsia="Arial" w:hAnsi="Arial"/>
          <w:sz w:val="18"/>
          <w:szCs w:val="18"/>
          <w:color w:val="auto"/>
        </w:rPr>
        <w:t>o A church plan that is excluded from the definition of an investment company under section 3(c)(14) of the Investment Company Act (15 U.S.C. 80a-3);</w:t>
      </w:r>
    </w:p>
    <w:p>
      <w:pPr>
        <w:spacing w:after="0" w:line="170" w:lineRule="exact"/>
        <w:rPr>
          <w:rFonts w:ascii="Arial" w:cs="Arial" w:eastAsia="Arial" w:hAnsi="Arial"/>
          <w:sz w:val="18"/>
          <w:szCs w:val="18"/>
          <w:color w:val="auto"/>
        </w:rPr>
      </w:pPr>
    </w:p>
    <w:p>
      <w:pPr>
        <w:ind w:left="1280" w:hanging="354"/>
        <w:spacing w:after="0"/>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   A non-U.S. institution in accordance with § 240.13d-1(b)(1)(ii)(J);</w:t>
      </w:r>
    </w:p>
    <w:p>
      <w:pPr>
        <w:spacing w:after="0" w:line="225" w:lineRule="exact"/>
        <w:rPr>
          <w:rFonts w:ascii="Arial" w:cs="Arial" w:eastAsia="Arial" w:hAnsi="Arial"/>
          <w:sz w:val="18"/>
          <w:szCs w:val="18"/>
          <w:color w:val="auto"/>
        </w:rPr>
      </w:pPr>
    </w:p>
    <w:p>
      <w:pPr>
        <w:ind w:left="1280" w:hanging="354"/>
        <w:spacing w:after="0"/>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   Group, in accordance with § 240.13d-1(b)(1)(ii)(K).</w:t>
      </w:r>
    </w:p>
    <w:p>
      <w:pPr>
        <w:spacing w:after="0" w:line="225" w:lineRule="exact"/>
        <w:rPr>
          <w:sz w:val="20"/>
          <w:szCs w:val="20"/>
          <w:color w:val="auto"/>
        </w:rPr>
      </w:pPr>
    </w:p>
    <w:p>
      <w:pPr>
        <w:ind w:left="920" w:right="2920"/>
        <w:spacing w:after="0" w:line="308" w:lineRule="auto"/>
        <w:rPr>
          <w:sz w:val="20"/>
          <w:szCs w:val="20"/>
          <w:color w:val="auto"/>
        </w:rPr>
      </w:pPr>
      <w:r>
        <w:rPr>
          <w:rFonts w:ascii="Arial" w:cs="Arial" w:eastAsia="Arial" w:hAnsi="Arial"/>
          <w:sz w:val="17"/>
          <w:szCs w:val="17"/>
          <w:color w:val="auto"/>
        </w:rPr>
        <w:t>If filing as a non-U.S. institution in accordance with § 240.13d-1(b)(1)(ii)(J), please specify the type of institution:______________________________________________________________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60"/>
          </w:cols>
          <w:pgMar w:left="240" w:top="405" w:right="3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and (b):</w:t>
      </w:r>
    </w:p>
    <w:p>
      <w:pPr>
        <w:spacing w:after="0" w:line="225" w:lineRule="exact"/>
        <w:rPr>
          <w:sz w:val="20"/>
          <w:szCs w:val="20"/>
          <w:color w:val="auto"/>
        </w:rPr>
      </w:pPr>
    </w:p>
    <w:p>
      <w:pPr>
        <w:ind w:left="260"/>
        <w:spacing w:after="0" w:line="270" w:lineRule="auto"/>
        <w:rPr>
          <w:sz w:val="20"/>
          <w:szCs w:val="20"/>
          <w:color w:val="auto"/>
        </w:rPr>
      </w:pPr>
      <w:r>
        <w:rPr>
          <w:rFonts w:ascii="Arial" w:cs="Arial" w:eastAsia="Arial" w:hAnsi="Arial"/>
          <w:sz w:val="17"/>
          <w:szCs w:val="17"/>
          <w:color w:val="auto"/>
        </w:rPr>
        <w:t>As of the date of this filing, each of the Reporting Persons may deemed to beneficially own (i) $12,500,000 principal amount of Senior Secured Convertible Notes (the “Convertible Notes”) convertible into 12,500,000 shares of common stock of the Issuer, and (ii) warrants (the “Warrants”) to purchase an aggregate of 2,219,803 shares of common stock of the Issuer. Of such shares, 10,000,000 shares of common stock are issuable upon Convertible Notes held by Iroquois Master Fund Ltd. (the “Fund”), and 2,500,000 shares of common stock are issuable upon Convertible Notes held by Iroquois Capital Investment Group LLC (“ICIG”). The Warrants are all held by the Fund. The foregoing amount of shares issuable upon conversion of the Convertible Notes does not include any shares that the Issuer may elect to issue, at its option, to the Fund and ICIG in payment of certain amounts due under the Convertible Notes. The Warrants described above expire on June 21, 2015. The number of shares issuable upon the Warrants set forth above does not include 5,375,000 shares of common stock issuable upon exercise of Warrants that become exercisable beginning November 5, 2015. The Convertible Notes may not be converted, and the Warrants are not exercisable, to the extent that the holder or any of its affiliates would own more than a maximum of 9.99% of the outstanding common stock of the Issuer after such conversion or exercise.</w:t>
      </w:r>
    </w:p>
    <w:p>
      <w:pPr>
        <w:spacing w:after="0" w:line="178" w:lineRule="exact"/>
        <w:rPr>
          <w:sz w:val="20"/>
          <w:szCs w:val="20"/>
          <w:color w:val="auto"/>
        </w:rPr>
      </w:pPr>
    </w:p>
    <w:p>
      <w:pPr>
        <w:ind w:left="260" w:right="180"/>
        <w:spacing w:after="0" w:line="342" w:lineRule="auto"/>
        <w:rPr>
          <w:sz w:val="20"/>
          <w:szCs w:val="20"/>
          <w:color w:val="auto"/>
        </w:rPr>
      </w:pPr>
      <w:r>
        <w:rPr>
          <w:rFonts w:ascii="Arial" w:cs="Arial" w:eastAsia="Arial" w:hAnsi="Arial"/>
          <w:sz w:val="16"/>
          <w:szCs w:val="16"/>
          <w:color w:val="auto"/>
        </w:rPr>
        <w:t>Mr. Abbe and Mr. Silverman are the members of Iroquois who have the authority and responsibility for the investments made on behalf of the Fund and ICIG. As such, Mr. Abbe and Mr. Silverman may be deemed to be the beneficial owner of all shares of common stock held by the Fund and ICIG.</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(c)(i) Number of shares as to which each of the Reporting Persons has:</w:t>
      </w:r>
    </w:p>
    <w:p>
      <w:pPr>
        <w:spacing w:after="0" w:line="225" w:lineRule="exact"/>
        <w:rPr>
          <w:sz w:val="20"/>
          <w:szCs w:val="20"/>
          <w:color w:val="auto"/>
        </w:rPr>
      </w:pPr>
    </w:p>
    <w:p>
      <w:pPr>
        <w:ind w:left="480" w:hanging="215"/>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540" w:hanging="275"/>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9.99% (as described in Item 4(a) above).</w:t>
      </w:r>
    </w:p>
    <w:p>
      <w:pPr>
        <w:spacing w:after="0" w:line="225" w:lineRule="exact"/>
        <w:rPr>
          <w:rFonts w:ascii="Arial" w:cs="Arial" w:eastAsia="Arial" w:hAnsi="Arial"/>
          <w:sz w:val="18"/>
          <w:szCs w:val="18"/>
          <w:color w:val="auto"/>
        </w:rPr>
      </w:pPr>
    </w:p>
    <w:p>
      <w:pPr>
        <w:ind w:left="580" w:hanging="315"/>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580" w:hanging="315"/>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9.99% (as described in Item 4(a)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4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Exhibit 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ind w:right="20" w:firstLine="416"/>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05" w:right="279" w:bottom="1440" w:gutter="0" w:footer="0" w:header="0"/>
        </w:sectPr>
      </w:pPr>
    </w:p>
    <w:bookmarkStart w:id="6" w:name="page7"/>
    <w:bookmarkEnd w:id="6"/>
    <w:p>
      <w:pPr>
        <w:jc w:val="center"/>
        <w:ind w:right="-5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1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12,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IROQUOIS CAPITAL MANAGEMENT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/s/ Joshua Silverman</w:t>
            </w:r>
          </w:p>
        </w:tc>
      </w:tr>
      <w:tr>
        <w:trPr>
          <w:trHeight w:val="224"/>
        </w:trPr>
        <w:tc>
          <w:tcPr>
            <w:tcW w:w="360" w:type="dxa"/>
            <w:vAlign w:val="bottom"/>
          </w:tcPr>
          <w:p>
            <w:pPr>
              <w:spacing w:after="0"/>
              <w:rPr>
                <w:sz w:val="19"/>
                <w:szCs w:val="19"/>
                <w:color w:val="auto"/>
              </w:rPr>
            </w:pPr>
          </w:p>
        </w:tc>
        <w:tc>
          <w:tcPr>
            <w:tcW w:w="5360" w:type="dxa"/>
            <w:vAlign w:val="bottom"/>
          </w:tcPr>
          <w:p>
            <w:pPr>
              <w:ind w:left="460"/>
              <w:spacing w:after="0"/>
              <w:rPr>
                <w:sz w:val="20"/>
                <w:szCs w:val="20"/>
                <w:color w:val="auto"/>
              </w:rPr>
            </w:pPr>
            <w:r>
              <w:rPr>
                <w:rFonts w:ascii="Arial" w:cs="Arial" w:eastAsia="Arial" w:hAnsi="Arial"/>
                <w:sz w:val="18"/>
                <w:szCs w:val="18"/>
                <w:color w:val="auto"/>
              </w:rPr>
              <w:t>Joshua Silverman, Authorized Signatory</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Joshua Silverman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Joshua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Richard Abbe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Richard Abbe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277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880"/>
          </w:cols>
          <w:pgMar w:left="240" w:top="405" w:right="779" w:bottom="1440" w:gutter="0" w:footer="0" w:header="0"/>
        </w:sectPr>
      </w:pPr>
    </w:p>
    <w:bookmarkStart w:id="7" w:name="page8"/>
    <w:bookmarkEnd w:id="7"/>
    <w:p>
      <w:pPr>
        <w:ind w:left="5060"/>
        <w:spacing w:after="0"/>
        <w:rPr>
          <w:sz w:val="20"/>
          <w:szCs w:val="20"/>
          <w:color w:val="auto"/>
        </w:rPr>
      </w:pPr>
      <w:r>
        <w:rPr>
          <w:rFonts w:ascii="Arial" w:cs="Arial" w:eastAsia="Arial" w:hAnsi="Arial"/>
          <w:sz w:val="18"/>
          <w:szCs w:val="18"/>
          <w:color w:val="auto"/>
        </w:rPr>
        <w:t>EXHIBIT INDEX</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6"/>
          <w:szCs w:val="16"/>
          <w:color w:val="auto"/>
        </w:rPr>
        <w:t>Joint Filing Agreement as required by Rule 13d-1(k)(1)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409"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 PURSUANT TO RULE 13d-1(k)(1)</w:t>
      </w:r>
    </w:p>
    <w:p>
      <w:pPr>
        <w:spacing w:after="0" w:line="22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statements. The undersigned acknowledge that each shall be responsible for the timely filing of such amendments, and for the completeness and accuracy of the information concerning him, her or it contained herein, but shall not be responsible for the completeness and accuracy of the information concerning the other entities or persons, except to the extent that he, she or it knows or has reason to believe that such information is inaccurate.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 May 12, 2015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IROQUOIS CAPITAL MANAGEMENT L.L.C.</w:t>
      </w:r>
    </w:p>
    <w:p>
      <w:pPr>
        <w:spacing w:after="0" w:line="225" w:lineRule="exact"/>
        <w:rPr>
          <w:sz w:val="20"/>
          <w:szCs w:val="20"/>
          <w:color w:val="auto"/>
        </w:rPr>
      </w:pPr>
    </w:p>
    <w:p>
      <w:pPr>
        <w:ind w:left="5720"/>
        <w:spacing w:after="0"/>
        <w:tabs>
          <w:tab w:leader="none" w:pos="6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Joshua Silverman</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Joshua Silverman,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6758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Joshua Silverman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Joshua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898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Richard Abbe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Abbe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898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5"/>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2019-12-08T20:29:36Z</dcterms:created>
  <dcterms:modified xsi:type="dcterms:W3CDTF">2019-12-08T20:29:36Z</dcterms:modified>
</cp:coreProperties>
</file>