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2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930"/>
              <w:spacing w:after="0"/>
              <w:rPr>
                <w:sz w:val="20"/>
                <w:szCs w:val="20"/>
                <w:color w:val="auto"/>
              </w:rPr>
            </w:pPr>
            <w:r>
              <w:rPr>
                <w:rFonts w:ascii="Arial" w:cs="Arial" w:eastAsia="Arial" w:hAnsi="Arial"/>
                <w:sz w:val="18"/>
                <w:szCs w:val="18"/>
                <w:color w:val="auto"/>
                <w:w w:val="92"/>
              </w:rPr>
              <w:t>incorporation or organization)</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2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2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93" w:lineRule="exact"/>
        <w:rPr>
          <w:sz w:val="24"/>
          <w:szCs w:val="24"/>
          <w:color w:val="auto"/>
        </w:rPr>
      </w:pPr>
    </w:p>
    <w:p>
      <w:pPr>
        <w:jc w:val="both"/>
        <w:ind w:left="60" w:right="79"/>
        <w:spacing w:after="0" w:line="22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9"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w w:val="99"/>
              </w:rPr>
              <w:t>⌧</w:t>
            </w:r>
          </w:p>
        </w:tc>
      </w:tr>
      <w:tr>
        <w:trPr>
          <w:trHeight w:val="28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ind w:left="60" w:right="259"/>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8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August 14, 2020, 56,776,261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August 14, 2020, XpresSpa Group, Inc. (the “Company”) filed a Notification of Late Filing on Form 12b-25 (the “Form 12b-25”) with the U.S. Securities and Exchange Commission (the “SEC”) seeking relief pursuant to Rule 12b-25(b). Consistent with the Company’s statements made in the Form 12b-25, the Company was unable to file its Quarterly Report on Form 10-Q (the “Quarterly Report”) by August 14, 2020 because of the coronavirus disease 2019 (“COVID-19”) pandemic and related events which resulted in the Company’s management devoting significant time and attention to assessing the potential impact of COVID-19 and those events on the Company’s operations and financial position and developing operational and financial plans to address those matters. This diverted management resources from completing all of the tasks necessary to file its Quarterly Report by the original August 14, 2020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40" w:type="dxa"/>
            <w:vAlign w:val="bottom"/>
            <w:gridSpan w:val="2"/>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340" w:type="dxa"/>
            <w:vAlign w:val="bottom"/>
            <w:gridSpan w:val="2"/>
            <w:vMerge w:val="continue"/>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Financial Statements (Unaudited)</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w:t>
              </w:r>
            </w:hyperlink>
          </w:p>
        </w:tc>
        <w:tc>
          <w:tcPr>
            <w:tcW w:w="760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PART II. OTHER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8"/>
        </w:trPr>
        <w:tc>
          <w:tcPr>
            <w:tcW w:w="7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2.</w:t>
              </w:r>
            </w:hyperlink>
          </w:p>
        </w:tc>
        <w:tc>
          <w:tcPr>
            <w:tcW w:w="76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Unregistered Sales of Equity Securities and Use of Proceeds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3.</w:t>
              </w:r>
            </w:hyperlink>
          </w:p>
        </w:tc>
        <w:tc>
          <w:tcPr>
            <w:tcW w:w="76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Defaults Upon Senior Securities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4.</w:t>
              </w:r>
            </w:hyperlink>
          </w:p>
        </w:tc>
        <w:tc>
          <w:tcPr>
            <w:tcW w:w="76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Mine Safety Disclosures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5.</w:t>
              </w:r>
            </w:hyperlink>
          </w:p>
        </w:tc>
        <w:tc>
          <w:tcPr>
            <w:tcW w:w="760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Other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6.</w:t>
              </w:r>
            </w:hyperlink>
          </w:p>
        </w:tc>
        <w:tc>
          <w:tcPr>
            <w:tcW w:w="760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37,765</w:t>
            </w:r>
          </w:p>
        </w:tc>
        <w:tc>
          <w:tcPr>
            <w:tcW w:w="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39,019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6,261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5,124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1,413</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82"/>
        </w:trPr>
        <w:tc>
          <w:tcPr>
            <w:tcW w:w="6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14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58,162</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28,724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accrued expenses and other</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7,225</w:t>
            </w:r>
          </w:p>
        </w:tc>
        <w:tc>
          <w:tcPr>
            <w:tcW w:w="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3,550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liabilities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Current portion of promissory note, unsecured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1,884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senior secured note, net</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19,595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Promissory note, unsecured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Convertible senior secured note, net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notes, net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Derivative liabilities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315</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28,501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Series A Convertible Preferred Stock, $0.01 par value per share; 6,968 shares authorized; 6,673 issued and none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w w:val="92"/>
              </w:rPr>
              <w:t>Series C Junior Preferred Stock, $0.01 par value per share; 300,000 shares authorized; none issued and outstanding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Series D Convertible Preferred Stock, $0.01 par value per share; 500,000 shares authorized; none issued and</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20" w:type="dxa"/>
            <w:vAlign w:val="bottom"/>
          </w:tcPr>
          <w:p>
            <w:pPr>
              <w:spacing w:after="0" w:line="130" w:lineRule="exact"/>
              <w:rPr>
                <w:sz w:val="20"/>
                <w:szCs w:val="20"/>
                <w:color w:val="auto"/>
              </w:rPr>
            </w:pPr>
            <w:r>
              <w:rPr>
                <w:rFonts w:ascii="Arial" w:cs="Arial" w:eastAsia="Arial" w:hAnsi="Arial"/>
                <w:sz w:val="14"/>
                <w:szCs w:val="14"/>
                <w:color w:val="auto"/>
                <w:w w:val="94"/>
              </w:rPr>
              <w:t>Series E Convertible Preferred Stock, $0.01 par value per share, 2,397,060 shares authorized; 987,988 issued and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gridSpan w:val="2"/>
          </w:tcPr>
          <w:p>
            <w:pPr>
              <w:spacing w:after="0" w:line="149" w:lineRule="exact"/>
              <w:rPr>
                <w:sz w:val="20"/>
                <w:szCs w:val="20"/>
                <w:color w:val="auto"/>
              </w:rPr>
            </w:pPr>
            <w:r>
              <w:rPr>
                <w:rFonts w:ascii="Arial" w:cs="Arial" w:eastAsia="Arial" w:hAnsi="Arial"/>
                <w:sz w:val="14"/>
                <w:szCs w:val="14"/>
                <w:color w:val="auto"/>
                <w:w w:val="95"/>
              </w:rPr>
              <w:t>none outstanding as of June 30, 2020 and 977,865 issued and outstanding with a liquidation value of $3,031 as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gridSpan w:val="2"/>
          </w:tcPr>
          <w:p>
            <w:pPr>
              <w:spacing w:after="0"/>
              <w:rPr>
                <w:sz w:val="20"/>
                <w:szCs w:val="20"/>
                <w:color w:val="auto"/>
              </w:rPr>
            </w:pPr>
            <w:r>
              <w:rPr>
                <w:rFonts w:ascii="Arial" w:cs="Arial" w:eastAsia="Arial" w:hAnsi="Arial"/>
                <w:sz w:val="14"/>
                <w:szCs w:val="14"/>
                <w:color w:val="auto"/>
              </w:rPr>
              <w:t>December 31, 2019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Series F Convertible Preferred Stock, $0.01 par value per share, 9,000 shares authorized; 8,996 issued and none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outstanding as of June 30, 2020 and 8,996 shares issued and outstanding with a liquidation value of $900 as of</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20" w:type="dxa"/>
            <w:vAlign w:val="bottom"/>
          </w:tcPr>
          <w:p>
            <w:pPr>
              <w:spacing w:after="0" w:line="130" w:lineRule="exact"/>
              <w:rPr>
                <w:sz w:val="20"/>
                <w:szCs w:val="20"/>
                <w:color w:val="auto"/>
              </w:rPr>
            </w:pPr>
            <w:r>
              <w:rPr>
                <w:rFonts w:ascii="Arial" w:cs="Arial" w:eastAsia="Arial" w:hAnsi="Arial"/>
                <w:sz w:val="14"/>
                <w:szCs w:val="14"/>
                <w:color w:val="auto"/>
                <w:w w:val="92"/>
              </w:rPr>
              <w:t>Common Stock, $0.01 par value per share 150,000,000 shares authorized; 56,473,913 and 5,157,390 shares issued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40" w:type="dxa"/>
            <w:vAlign w:val="bottom"/>
            <w:gridSpan w:val="2"/>
          </w:tcPr>
          <w:p>
            <w:pPr>
              <w:spacing w:after="0"/>
              <w:rPr>
                <w:sz w:val="20"/>
                <w:szCs w:val="20"/>
                <w:color w:val="auto"/>
              </w:rPr>
            </w:pPr>
            <w:r>
              <w:rPr>
                <w:rFonts w:ascii="Arial" w:cs="Arial" w:eastAsia="Arial" w:hAnsi="Arial"/>
                <w:sz w:val="14"/>
                <w:szCs w:val="14"/>
                <w:color w:val="auto"/>
              </w:rPr>
              <w:t>and outstanding as of June 30, 2020 and December 31, 2019, respectively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403,005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302,118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(376,831)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(308,136)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line="142" w:lineRule="exact"/>
              <w:rPr>
                <w:sz w:val="20"/>
                <w:szCs w:val="20"/>
                <w:color w:val="auto"/>
              </w:rPr>
            </w:pPr>
            <w:r>
              <w:rPr>
                <w:rFonts w:ascii="Arial" w:cs="Arial" w:eastAsia="Arial" w:hAnsi="Arial"/>
                <w:sz w:val="14"/>
                <w:szCs w:val="14"/>
                <w:b w:val="1"/>
                <w:bCs w:val="1"/>
                <w:color w:val="auto"/>
              </w:rPr>
              <w:t>Total stockholders' equity (deficit) attributable to XpresSpa Group, Inc.</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26,471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3,190</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stockholders’ equity (deficit)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29,661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 (deficit)</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58,162</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28,724</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240" w:hanging="243"/>
        <w:spacing w:after="0"/>
        <w:tabs>
          <w:tab w:leader="none" w:pos="1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where applicable, to reflect the impact of the 1:3 reverse stock split that became effective on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-98425</wp:posOffset>
            </wp:positionV>
            <wp:extent cx="1285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2"/>
              </w:rPr>
              <w:t>Three months ended June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 net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ind w:left="100"/>
              <w:spacing w:after="0" w:line="149" w:lineRule="exact"/>
              <w:rPr>
                <w:sz w:val="20"/>
                <w:szCs w:val="20"/>
                <w:color w:val="auto"/>
              </w:rPr>
            </w:pPr>
            <w:r>
              <w:rPr>
                <w:rFonts w:ascii="Arial" w:cs="Arial" w:eastAsia="Arial" w:hAnsi="Arial"/>
                <w:sz w:val="14"/>
                <w:szCs w:val="14"/>
                <w:color w:val="auto"/>
              </w:rPr>
              <w:t>Services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10,846</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6,686</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20,474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Products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revenue, net</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12,908</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7,861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25,138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of sales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ind w:left="100"/>
              <w:spacing w:after="0" w:line="149" w:lineRule="exact"/>
              <w:rPr>
                <w:sz w:val="20"/>
                <w:szCs w:val="20"/>
                <w:color w:val="auto"/>
              </w:rPr>
            </w:pPr>
            <w:r>
              <w:rPr>
                <w:rFonts w:ascii="Arial" w:cs="Arial" w:eastAsia="Arial" w:hAnsi="Arial"/>
                <w:sz w:val="14"/>
                <w:szCs w:val="14"/>
                <w:color w:val="auto"/>
              </w:rPr>
              <w:t>Labor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490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5,888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11,665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Products and other operating costs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1,913</w:t>
            </w: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3,369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cost of sales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9,853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18,951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1,579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3,228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Impairment/disposal of assets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2,496</w:t>
            </w: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6,604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6,096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9,627</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15,899</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21,293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30,246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(9,484)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(2,991)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(13,432)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(5,108)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100"/>
              <w:spacing w:after="0" w:line="149" w:lineRule="exact"/>
              <w:rPr>
                <w:sz w:val="20"/>
                <w:szCs w:val="20"/>
                <w:color w:val="auto"/>
              </w:rPr>
            </w:pPr>
            <w:r>
              <w:rPr>
                <w:rFonts w:ascii="Arial" w:cs="Arial" w:eastAsia="Arial" w:hAnsi="Arial"/>
                <w:sz w:val="14"/>
                <w:szCs w:val="14"/>
                <w:color w:val="auto"/>
              </w:rPr>
              <w:t>Loss on revaluation of warrants and conversion options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(48,298)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(53,667)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non-operating income (expense), net</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line="142" w:lineRule="exact"/>
              <w:rPr>
                <w:sz w:val="20"/>
                <w:szCs w:val="20"/>
                <w:color w:val="auto"/>
              </w:rPr>
            </w:pPr>
            <w:r>
              <w:rPr>
                <w:rFonts w:ascii="Arial" w:cs="Arial" w:eastAsia="Arial" w:hAnsi="Arial"/>
                <w:sz w:val="14"/>
                <w:szCs w:val="14"/>
                <w:b w:val="1"/>
                <w:bCs w:val="1"/>
                <w:color w:val="auto"/>
              </w:rPr>
              <w:t>Loss from operations before income taxes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(58,452)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(6,062)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(69,176)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(8,895)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(58,471)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(6,093)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(69,195)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(8,937)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 (income) attributable to noncontrolling interests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loss attributable to XpresSpa Group, Inc.</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(58,078)</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(6,338)</w:t>
            </w:r>
          </w:p>
        </w:tc>
        <w:tc>
          <w:tcPr>
            <w:tcW w:w="3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(68,694)</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(9,311)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b w:val="1"/>
                <w:bCs w:val="1"/>
                <w:color w:val="auto"/>
              </w:rPr>
              <w:t>Net loss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(58,471)</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(6,093)</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(69,195)</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gain / (loss) from operations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Comprehensive loss</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(58,456)</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(6,263)</w:t>
            </w:r>
          </w:p>
        </w:tc>
        <w:tc>
          <w:tcPr>
            <w:tcW w:w="3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(69,180)</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(9,128)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b w:val="1"/>
                <w:bCs w:val="1"/>
                <w:color w:val="auto"/>
              </w:rPr>
              <w:t>Loss per share*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and diluted net loss per share</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spacing w:after="0" w:line="119" w:lineRule="exact"/>
              <w:rPr>
                <w:sz w:val="20"/>
                <w:szCs w:val="20"/>
                <w:color w:val="auto"/>
              </w:rPr>
            </w:pPr>
            <w:r>
              <w:rPr>
                <w:rFonts w:ascii="Arial" w:cs="Arial" w:eastAsia="Arial" w:hAnsi="Arial"/>
                <w:sz w:val="13"/>
                <w:szCs w:val="13"/>
                <w:b w:val="1"/>
                <w:bCs w:val="1"/>
                <w:color w:val="auto"/>
              </w:rPr>
              <w:t>Weighted-average number of shares outstanding during the</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38,873,131</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656,706</w:t>
            </w:r>
          </w:p>
        </w:tc>
        <w:tc>
          <w:tcPr>
            <w:tcW w:w="3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22,569,032</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637,143</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10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38,781,442</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656,706</w:t>
            </w: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22,569,032</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637,143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Adjusted to reflect the impact of the 1:3 reverse stock split that became effective on June 11,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76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w w:val="92"/>
              </w:rPr>
              <w:t>Series 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left="122"/>
              <w:spacing w:after="0" w:line="135" w:lineRule="exact"/>
              <w:rPr>
                <w:sz w:val="20"/>
                <w:szCs w:val="20"/>
                <w:color w:val="auto"/>
              </w:rPr>
            </w:pPr>
            <w:r>
              <w:rPr>
                <w:rFonts w:ascii="Arial" w:cs="Arial" w:eastAsia="Arial" w:hAnsi="Arial"/>
                <w:sz w:val="12"/>
                <w:szCs w:val="12"/>
                <w:b w:val="1"/>
                <w:bCs w:val="1"/>
                <w:color w:val="auto"/>
                <w:w w:val="85"/>
              </w:rPr>
              <w:t>Series 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Company</w:t>
            </w:r>
          </w:p>
        </w:tc>
        <w:tc>
          <w:tcPr>
            <w:tcW w:w="6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rPr>
              <w:t>Non-</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100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2"/>
                <w:szCs w:val="12"/>
                <w:b w:val="1"/>
                <w:bCs w:val="1"/>
                <w:color w:val="auto"/>
                <w:w w:val="97"/>
              </w:rPr>
              <w:t>Preferred stock</w:t>
            </w:r>
          </w:p>
        </w:tc>
        <w:tc>
          <w:tcPr>
            <w:tcW w:w="120" w:type="dxa"/>
            <w:vAlign w:val="bottom"/>
          </w:tcPr>
          <w:p>
            <w:pPr>
              <w:spacing w:after="0"/>
              <w:rPr>
                <w:sz w:val="12"/>
                <w:szCs w:val="12"/>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8"/>
              </w:rPr>
              <w:t>Preferred stock</w:t>
            </w:r>
          </w:p>
        </w:tc>
        <w:tc>
          <w:tcPr>
            <w:tcW w:w="140" w:type="dxa"/>
            <w:vAlign w:val="bottom"/>
          </w:tcPr>
          <w:p>
            <w:pPr>
              <w:spacing w:after="0"/>
              <w:rPr>
                <w:sz w:val="12"/>
                <w:szCs w:val="12"/>
                <w:color w:val="auto"/>
              </w:rPr>
            </w:pPr>
          </w:p>
        </w:tc>
        <w:tc>
          <w:tcPr>
            <w:tcW w:w="960" w:type="dxa"/>
            <w:vAlign w:val="bottom"/>
            <w:tcBorders>
              <w:bottom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w w:val="85"/>
              </w:rPr>
              <w:t>Common stock</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paid-</w:t>
            </w:r>
          </w:p>
        </w:tc>
        <w:tc>
          <w:tcPr>
            <w:tcW w:w="8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87"/>
              </w:rPr>
              <w:t>Accumulated</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comprehensive</w:t>
            </w:r>
          </w:p>
        </w:tc>
        <w:tc>
          <w:tcPr>
            <w:tcW w:w="80" w:type="dxa"/>
            <w:vAlign w:val="bottom"/>
          </w:tcPr>
          <w:p>
            <w:pPr>
              <w:spacing w:after="0"/>
              <w:rPr>
                <w:sz w:val="12"/>
                <w:szCs w:val="12"/>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equity</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controlling</w:t>
            </w:r>
          </w:p>
        </w:tc>
        <w:tc>
          <w:tcPr>
            <w:tcW w:w="16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46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1"/>
                <w:szCs w:val="11"/>
                <w:color w:val="auto"/>
              </w:rPr>
            </w:pPr>
          </w:p>
        </w:tc>
        <w:tc>
          <w:tcPr>
            <w:tcW w:w="4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88"/>
              </w:rPr>
              <w:t>Amount</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29" w:lineRule="exact"/>
              <w:rPr>
                <w:sz w:val="20"/>
                <w:szCs w:val="20"/>
                <w:color w:val="auto"/>
              </w:rPr>
            </w:pPr>
            <w:r>
              <w:rPr>
                <w:rFonts w:ascii="Arial" w:cs="Arial" w:eastAsia="Arial" w:hAnsi="Arial"/>
                <w:sz w:val="12"/>
                <w:szCs w:val="12"/>
                <w:b w:val="1"/>
                <w:bCs w:val="1"/>
                <w:color w:val="auto"/>
                <w:w w:val="79"/>
              </w:rPr>
              <w:t>Shares</w:t>
            </w:r>
          </w:p>
        </w:tc>
        <w:tc>
          <w:tcPr>
            <w:tcW w:w="4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83"/>
              </w:rPr>
              <w:t>Amount</w:t>
            </w:r>
          </w:p>
        </w:tc>
        <w:tc>
          <w:tcPr>
            <w:tcW w:w="140" w:type="dxa"/>
            <w:vAlign w:val="bottom"/>
          </w:tcPr>
          <w:p>
            <w:pPr>
              <w:spacing w:after="0"/>
              <w:rPr>
                <w:sz w:val="11"/>
                <w:szCs w:val="11"/>
                <w:color w:val="auto"/>
              </w:rPr>
            </w:pPr>
          </w:p>
        </w:tc>
        <w:tc>
          <w:tcPr>
            <w:tcW w:w="680" w:type="dxa"/>
            <w:vAlign w:val="bottom"/>
            <w:gridSpan w:val="2"/>
          </w:tcPr>
          <w:p>
            <w:pPr>
              <w:jc w:val="right"/>
              <w:ind w:right="180"/>
              <w:spacing w:after="0" w:line="129" w:lineRule="exact"/>
              <w:rPr>
                <w:sz w:val="20"/>
                <w:szCs w:val="20"/>
                <w:color w:val="auto"/>
              </w:rPr>
            </w:pPr>
            <w:r>
              <w:rPr>
                <w:rFonts w:ascii="Arial" w:cs="Arial" w:eastAsia="Arial" w:hAnsi="Arial"/>
                <w:sz w:val="12"/>
                <w:szCs w:val="12"/>
                <w:b w:val="1"/>
                <w:bCs w:val="1"/>
                <w:color w:val="auto"/>
                <w:w w:val="99"/>
              </w:rPr>
              <w:t>Shares *</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 *</w:t>
            </w:r>
          </w:p>
        </w:tc>
        <w:tc>
          <w:tcPr>
            <w:tcW w:w="720" w:type="dxa"/>
            <w:vAlign w:val="bottom"/>
            <w:gridSpan w:val="3"/>
          </w:tcPr>
          <w:p>
            <w:pPr>
              <w:jc w:val="center"/>
              <w:ind w:right="100"/>
              <w:spacing w:after="0" w:line="129" w:lineRule="exact"/>
              <w:rPr>
                <w:sz w:val="20"/>
                <w:szCs w:val="20"/>
                <w:color w:val="auto"/>
              </w:rPr>
            </w:pPr>
            <w:r>
              <w:rPr>
                <w:rFonts w:ascii="Arial" w:cs="Arial" w:eastAsia="Arial" w:hAnsi="Arial"/>
                <w:sz w:val="12"/>
                <w:szCs w:val="12"/>
                <w:b w:val="1"/>
                <w:bCs w:val="1"/>
                <w:color w:val="auto"/>
                <w:w w:val="89"/>
              </w:rPr>
              <w:t>in capital *</w:t>
            </w:r>
          </w:p>
        </w:tc>
        <w:tc>
          <w:tcPr>
            <w:tcW w:w="140" w:type="dxa"/>
            <w:vAlign w:val="bottom"/>
          </w:tcPr>
          <w:p>
            <w:pPr>
              <w:spacing w:after="0"/>
              <w:rPr>
                <w:sz w:val="11"/>
                <w:szCs w:val="11"/>
                <w:color w:val="auto"/>
              </w:rPr>
            </w:pPr>
          </w:p>
        </w:tc>
        <w:tc>
          <w:tcPr>
            <w:tcW w:w="680" w:type="dxa"/>
            <w:vAlign w:val="bottom"/>
            <w:gridSpan w:val="2"/>
          </w:tcPr>
          <w:p>
            <w:pPr>
              <w:jc w:val="right"/>
              <w:ind w:right="300"/>
              <w:spacing w:after="0" w:line="129" w:lineRule="exact"/>
              <w:rPr>
                <w:sz w:val="20"/>
                <w:szCs w:val="20"/>
                <w:color w:val="auto"/>
              </w:rPr>
            </w:pPr>
            <w:r>
              <w:rPr>
                <w:rFonts w:ascii="Arial" w:cs="Arial" w:eastAsia="Arial" w:hAnsi="Arial"/>
                <w:sz w:val="12"/>
                <w:szCs w:val="12"/>
                <w:b w:val="1"/>
                <w:bCs w:val="1"/>
                <w:color w:val="auto"/>
              </w:rPr>
              <w:t>deficit</w:t>
            </w:r>
          </w:p>
        </w:tc>
        <w:tc>
          <w:tcPr>
            <w:tcW w:w="880" w:type="dxa"/>
            <w:vAlign w:val="bottom"/>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w w:val="82"/>
              </w:rPr>
              <w:t>income (loss)</w:t>
            </w:r>
          </w:p>
        </w:tc>
        <w:tc>
          <w:tcPr>
            <w:tcW w:w="62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w w:val="92"/>
              </w:rPr>
              <w:t>(deficit)</w:t>
            </w:r>
          </w:p>
        </w:tc>
        <w:tc>
          <w:tcPr>
            <w:tcW w:w="60" w:type="dxa"/>
            <w:vAlign w:val="bottom"/>
          </w:tcPr>
          <w:p>
            <w:pPr>
              <w:spacing w:after="0"/>
              <w:rPr>
                <w:sz w:val="11"/>
                <w:szCs w:val="11"/>
                <w:color w:val="auto"/>
              </w:rPr>
            </w:pPr>
          </w:p>
        </w:tc>
        <w:tc>
          <w:tcPr>
            <w:tcW w:w="600" w:type="dxa"/>
            <w:vAlign w:val="bottom"/>
            <w:gridSpan w:val="2"/>
          </w:tcPr>
          <w:p>
            <w:pPr>
              <w:jc w:val="right"/>
              <w:ind w:right="180"/>
              <w:spacing w:after="0" w:line="129" w:lineRule="exact"/>
              <w:rPr>
                <w:sz w:val="20"/>
                <w:szCs w:val="20"/>
                <w:color w:val="auto"/>
              </w:rPr>
            </w:pPr>
            <w:r>
              <w:rPr>
                <w:rFonts w:ascii="Arial" w:cs="Arial" w:eastAsia="Arial" w:hAnsi="Arial"/>
                <w:sz w:val="12"/>
                <w:szCs w:val="12"/>
                <w:b w:val="1"/>
                <w:bCs w:val="1"/>
                <w:color w:val="auto"/>
                <w:w w:val="79"/>
              </w:rPr>
              <w:t>interests</w:t>
            </w: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87"/>
              </w:rPr>
              <w:t>equity (deficit)</w:t>
            </w:r>
          </w:p>
        </w:tc>
        <w:tc>
          <w:tcPr>
            <w:tcW w:w="0" w:type="dxa"/>
            <w:vAlign w:val="bottom"/>
          </w:tcPr>
          <w:p>
            <w:pPr>
              <w:spacing w:after="0"/>
              <w:rPr>
                <w:sz w:val="1"/>
                <w:szCs w:val="1"/>
                <w:color w:val="auto"/>
              </w:rPr>
            </w:pPr>
          </w:p>
        </w:tc>
      </w:tr>
      <w:tr>
        <w:trPr>
          <w:trHeight w:val="20"/>
        </w:trPr>
        <w:tc>
          <w:tcPr>
            <w:tcW w:w="160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December 31, 2019</w:t>
            </w: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0" w:type="dxa"/>
            <w:vAlign w:val="bottom"/>
            <w:vMerge w:val="continue"/>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977,865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8,996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5,157,390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302,118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(308,136)</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(283.00)</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(6,239)</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Issuances of Common Stock</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2"/>
                <w:szCs w:val="12"/>
                <w:color w:val="auto"/>
                <w:w w:val="97"/>
              </w:rPr>
              <w:t>for payment of interest on B3D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Note</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236,077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420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6"/>
              </w:rPr>
              <w:t>Issuance of Series E Preferred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Stock for payment of interest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on Calm Note</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Conversion of Series F</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2"/>
                <w:szCs w:val="12"/>
                <w:color w:val="auto"/>
                <w:w w:val="99"/>
              </w:rPr>
              <w:t>Preferred Stock into Common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Stock</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(7,465)</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930,326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 offerings of Common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4"/>
              </w:rPr>
              <w:t>Stock and pre-funded warrants,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net of costs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8,210,239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w w:val="98"/>
              </w:rPr>
              <w:t>Exercise of May 2018 Class A</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Warrants into Common Stock</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3"/>
              </w:rPr>
              <w:t>2,578,455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3,122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Conversion of B3D Note to</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Common Stock</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1,430,647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w w:val="96"/>
              </w:rPr>
              <w:t>Issuance of Common Stock for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services</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58,333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Stock-based compensation</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0"/>
                <w:szCs w:val="20"/>
                <w:color w:val="auto"/>
              </w:rPr>
            </w:pPr>
            <w:r>
              <w:rPr>
                <w:rFonts w:ascii="Arial" w:cs="Arial" w:eastAsia="Arial" w:hAnsi="Arial"/>
                <w:sz w:val="12"/>
                <w:szCs w:val="12"/>
                <w:color w:val="auto"/>
              </w:rPr>
              <w:t>Net loss for the period</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3"/>
                <w:szCs w:val="23"/>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(10,617)</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(10,617)</w:t>
            </w:r>
          </w:p>
        </w:tc>
        <w:tc>
          <w:tcPr>
            <w:tcW w:w="6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(108)</w:t>
            </w:r>
          </w:p>
        </w:tc>
        <w:tc>
          <w:tcPr>
            <w:tcW w:w="16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(10,725)</w:t>
            </w: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Contributions from</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noncontrolling interests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9"/>
              </w:rPr>
              <w:t>—</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March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987,988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1,531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18,601,467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186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311,389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(318,753)</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(283)</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(7,451)</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w w:val="96"/>
              </w:rPr>
              <w:t>Issuance of Common Stock for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2"/>
                <w:szCs w:val="12"/>
                <w:color w:val="auto"/>
              </w:rPr>
              <w:t>payment of interest on B3D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Note</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88,508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Conversion of Series E</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9"/>
              </w:rPr>
              <w:t>Preferred Stock into Common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5"/>
              </w:rPr>
              <w:t>(987,988)</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510,460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Conversion of Series F</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2"/>
                <w:szCs w:val="12"/>
                <w:color w:val="auto"/>
                <w:w w:val="99"/>
              </w:rPr>
              <w:t>Preferred Stock into Common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Stock</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(1,531)</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291,619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8"/>
              </w:rPr>
              <w:t>Exercise of May 2018 Class A</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Warrants into Common Stock</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2,382,835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w w:val="95"/>
              </w:rPr>
              <w:t>Exercise of Calm Warrants into</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Common Stock</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3"/>
              </w:rPr>
              <w:t>1,622,149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4,092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4,108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Exercise of March 2020 pre-</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8"/>
              </w:rPr>
              <w:t>funded warrants into Common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201,667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March Warrant Exchange for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2"/>
                <w:szCs w:val="12"/>
                <w:color w:val="auto"/>
              </w:rPr>
              <w:t>Common Stock - Class A</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Warrant</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3"/>
              </w:rPr>
              <w:t>2,385,528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6,410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6,434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March Warrant Exchange for</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Common Stock - Class 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Warrant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527,669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June Warrant Exchange for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2"/>
                <w:szCs w:val="12"/>
                <w:color w:val="auto"/>
              </w:rPr>
              <w:t>Common Stock - Calm</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Warrant</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3"/>
              </w:rPr>
              <w:t>2,062,126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11,734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11,755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Conversion of B3D Note to</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Common Stock</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10,789,591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14,305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Conversion of Calm Note to</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Common Stock</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3"/>
              </w:rPr>
              <w:t>4,761,906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10,551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7"/>
              </w:rPr>
              <w:t>10,599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 offerings of Common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4"/>
              </w:rPr>
              <w:t>Stock and pre-funded warrants,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net of costs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12,235,911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38,397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line="135" w:lineRule="exact"/>
              <w:rPr>
                <w:sz w:val="20"/>
                <w:szCs w:val="20"/>
                <w:color w:val="auto"/>
              </w:rPr>
            </w:pPr>
            <w:r>
              <w:rPr>
                <w:rFonts w:ascii="Arial" w:cs="Arial" w:eastAsia="Arial" w:hAnsi="Arial"/>
                <w:sz w:val="12"/>
                <w:szCs w:val="12"/>
                <w:color w:val="auto"/>
              </w:rPr>
              <w:t>Stock-based compensation</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32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424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2"/>
                <w:szCs w:val="12"/>
                <w:color w:val="auto"/>
              </w:rPr>
              <w:t>424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Issuance of restricted stock</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12,500</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line="129" w:lineRule="exact"/>
              <w:rPr>
                <w:sz w:val="20"/>
                <w:szCs w:val="20"/>
                <w:color w:val="auto"/>
              </w:rPr>
            </w:pPr>
            <w:r>
              <w:rPr>
                <w:rFonts w:ascii="Arial" w:cs="Arial" w:eastAsia="Arial" w:hAnsi="Arial"/>
                <w:sz w:val="12"/>
                <w:szCs w:val="12"/>
                <w:color w:val="auto"/>
              </w:rPr>
              <w:t>Fractional shares retired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20"/>
                <w:szCs w:val="20"/>
                <w:color w:val="auto"/>
              </w:rPr>
            </w:pPr>
            <w:r>
              <w:rPr>
                <w:rFonts w:ascii="Arial" w:cs="Arial" w:eastAsia="Arial" w:hAnsi="Arial"/>
                <w:sz w:val="12"/>
                <w:szCs w:val="12"/>
                <w:color w:val="auto"/>
              </w:rPr>
              <w:t>reverse stock split</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(23)</w:t>
            </w: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0"/>
                <w:szCs w:val="20"/>
                <w:color w:val="auto"/>
              </w:rPr>
            </w:pPr>
            <w:r>
              <w:rPr>
                <w:rFonts w:ascii="Arial" w:cs="Arial" w:eastAsia="Arial" w:hAnsi="Arial"/>
                <w:sz w:val="12"/>
                <w:szCs w:val="12"/>
                <w:color w:val="auto"/>
              </w:rPr>
              <w:t>Net loss for the period</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3"/>
                <w:szCs w:val="23"/>
                <w:color w:val="auto"/>
              </w:rPr>
            </w:pP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(58,078)</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(58,078)</w:t>
            </w:r>
          </w:p>
        </w:tc>
        <w:tc>
          <w:tcPr>
            <w:tcW w:w="6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(393)</w:t>
            </w:r>
          </w:p>
        </w:tc>
        <w:tc>
          <w:tcPr>
            <w:tcW w:w="16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(58,471)</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Distributions to noncontrolling</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2"/>
                <w:szCs w:val="12"/>
                <w:b w:val="1"/>
                <w:bCs w:val="1"/>
                <w:color w:val="auto"/>
              </w:rPr>
              <w:t>June 30, 2020</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180" w:type="dxa"/>
            <w:vAlign w:val="bottom"/>
          </w:tcPr>
          <w:p>
            <w:pPr>
              <w:ind w:left="4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3"/>
              </w:rPr>
              <w:t>56,473,913</w:t>
            </w:r>
          </w:p>
        </w:tc>
        <w:tc>
          <w:tcPr>
            <w:tcW w:w="1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w w:val="79"/>
              </w:rPr>
              <w:t>565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6"/>
              </w:rPr>
              <w:t>403,005</w:t>
            </w:r>
          </w:p>
        </w:tc>
        <w:tc>
          <w:tcPr>
            <w:tcW w:w="120" w:type="dxa"/>
            <w:vAlign w:val="bottom"/>
          </w:tcPr>
          <w:p>
            <w:pPr>
              <w:spacing w:after="0"/>
              <w:rPr>
                <w:sz w:val="22"/>
                <w:szCs w:val="22"/>
                <w:color w:val="auto"/>
              </w:rPr>
            </w:pPr>
          </w:p>
        </w:tc>
        <w:tc>
          <w:tcPr>
            <w:tcW w:w="140" w:type="dxa"/>
            <w:vAlign w:val="bottom"/>
          </w:tcPr>
          <w:p>
            <w:pPr>
              <w:jc w:val="right"/>
              <w:ind w:right="30"/>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(376,831)</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(268)</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26,471</w:t>
            </w:r>
          </w:p>
        </w:tc>
        <w:tc>
          <w:tcPr>
            <w:tcW w:w="1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3,190</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29,661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Adjusted to reflect the impact of the 1:3 reverse stock split that became effective on June 11,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ectPr>
          <w:pgSz w:w="11900" w:h="16838" w:orient="portrait"/>
          <w:cols w:equalWidth="0" w:num="1">
            <w:col w:w="9480"/>
          </w:cols>
          <w:pgMar w:left="1200" w:top="51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394335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80"/>
          </w:cols>
          <w:pgMar w:left="1200" w:top="517" w:right="1219" w:bottom="1440" w:gutter="0" w:footer="0" w:header="0"/>
          <w:type w:val="continuous"/>
        </w:sectPr>
      </w:pPr>
    </w:p>
    <w:bookmarkStart w:id="6" w:name="page7"/>
    <w:bookmarkEnd w:id="6"/>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9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Series 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center"/>
              <w:ind w:left="188"/>
              <w:spacing w:after="0"/>
              <w:rPr>
                <w:sz w:val="20"/>
                <w:szCs w:val="20"/>
                <w:color w:val="auto"/>
              </w:rPr>
            </w:pPr>
            <w:r>
              <w:rPr>
                <w:rFonts w:ascii="Arial" w:cs="Arial" w:eastAsia="Arial" w:hAnsi="Arial"/>
                <w:sz w:val="14"/>
                <w:szCs w:val="14"/>
                <w:b w:val="1"/>
                <w:bCs w:val="1"/>
                <w:color w:val="auto"/>
                <w:w w:val="90"/>
              </w:rPr>
              <w:t>Series 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3"/>
            <w:vMerge w:val="continue"/>
          </w:tcPr>
          <w:p>
            <w:pPr>
              <w:spacing w:after="0"/>
              <w:rPr>
                <w:sz w:val="12"/>
                <w:szCs w:val="12"/>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1340" w:type="dxa"/>
            <w:vAlign w:val="bottom"/>
            <w:gridSpan w:val="5"/>
          </w:tcPr>
          <w:p>
            <w:pPr>
              <w:ind w:left="120"/>
              <w:spacing w:after="0"/>
              <w:rPr>
                <w:sz w:val="20"/>
                <w:szCs w:val="20"/>
                <w:color w:val="auto"/>
              </w:rPr>
            </w:pPr>
            <w:r>
              <w:rPr>
                <w:rFonts w:ascii="Arial" w:cs="Arial" w:eastAsia="Arial" w:hAnsi="Arial"/>
                <w:sz w:val="14"/>
                <w:szCs w:val="14"/>
                <w:b w:val="1"/>
                <w:bCs w:val="1"/>
                <w:color w:val="auto"/>
              </w:rPr>
              <w:t>Preferred stock</w:t>
            </w:r>
          </w:p>
        </w:tc>
        <w:tc>
          <w:tcPr>
            <w:tcW w:w="13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Preferred stock</w:t>
            </w:r>
          </w:p>
        </w:tc>
        <w:tc>
          <w:tcPr>
            <w:tcW w:w="14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w:t>
            </w:r>
          </w:p>
        </w:tc>
        <w:tc>
          <w:tcPr>
            <w:tcW w:w="1020" w:type="dxa"/>
            <w:vAlign w:val="bottom"/>
            <w:gridSpan w:val="3"/>
            <w:vMerge w:val="continue"/>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comprehensive</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Shares *</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Amount *</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in capital *</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8"/>
              <w:spacing w:after="0" w:line="142" w:lineRule="exact"/>
              <w:rPr>
                <w:sz w:val="20"/>
                <w:szCs w:val="20"/>
                <w:color w:val="auto"/>
              </w:rPr>
            </w:pPr>
            <w:r>
              <w:rPr>
                <w:rFonts w:ascii="Arial" w:cs="Arial" w:eastAsia="Arial" w:hAnsi="Arial"/>
                <w:sz w:val="14"/>
                <w:szCs w:val="14"/>
                <w:b w:val="1"/>
                <w:bCs w:val="1"/>
                <w:color w:val="auto"/>
                <w:w w:val="78"/>
              </w:rPr>
              <w:t>loss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6"/>
              </w:rPr>
              <w:t>equity</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85"/>
              </w:rPr>
              <w:t>interests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291"/>
        </w:trPr>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425,750</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967,742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587,267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296,250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(286,913)</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9,106</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4,029</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13,135</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line="149" w:lineRule="exact"/>
              <w:rPr>
                <w:sz w:val="20"/>
                <w:szCs w:val="20"/>
                <w:color w:val="auto"/>
              </w:rPr>
            </w:pPr>
            <w:r>
              <w:rPr>
                <w:rFonts w:ascii="Arial" w:cs="Arial" w:eastAsia="Arial" w:hAnsi="Arial"/>
                <w:sz w:val="14"/>
                <w:szCs w:val="14"/>
                <w:color w:val="auto"/>
              </w:rPr>
              <w:t>Common Stock for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line="149" w:lineRule="exact"/>
              <w:rPr>
                <w:sz w:val="20"/>
                <w:szCs w:val="20"/>
                <w:color w:val="auto"/>
              </w:rPr>
            </w:pPr>
            <w:r>
              <w:rPr>
                <w:rFonts w:ascii="Arial" w:cs="Arial" w:eastAsia="Arial" w:hAnsi="Arial"/>
                <w:sz w:val="14"/>
                <w:szCs w:val="14"/>
                <w:color w:val="auto"/>
              </w:rPr>
              <w:t>repayment of debt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4"/>
                <w:szCs w:val="14"/>
                <w:color w:val="auto"/>
              </w:rPr>
              <w:t>and interest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59,846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Net income (loss)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4"/>
                <w:szCs w:val="14"/>
                <w:color w:val="auto"/>
              </w:rPr>
              <w:t>for the period</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(2,973)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(2,973)</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4"/>
              </w:rPr>
              <w:t>(2,844)</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line="149" w:lineRule="exact"/>
              <w:rPr>
                <w:sz w:val="20"/>
                <w:szCs w:val="20"/>
                <w:color w:val="auto"/>
              </w:rPr>
            </w:pPr>
            <w:r>
              <w:rPr>
                <w:rFonts w:ascii="Arial" w:cs="Arial" w:eastAsia="Arial" w:hAnsi="Arial"/>
                <w:sz w:val="14"/>
                <w:szCs w:val="14"/>
                <w:color w:val="auto"/>
              </w:rPr>
              <w:t>noncontrolling</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91"/>
        </w:trPr>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March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425,750</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967,742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647,113</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297,170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(289,886)</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3,992</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11,025</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line="149" w:lineRule="exact"/>
              <w:rPr>
                <w:sz w:val="20"/>
                <w:szCs w:val="20"/>
                <w:color w:val="auto"/>
              </w:rPr>
            </w:pPr>
            <w:r>
              <w:rPr>
                <w:rFonts w:ascii="Arial" w:cs="Arial" w:eastAsia="Arial" w:hAnsi="Arial"/>
                <w:sz w:val="14"/>
                <w:szCs w:val="14"/>
                <w:color w:val="auto"/>
              </w:rPr>
              <w:t>senior notes and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line="149" w:lineRule="exact"/>
              <w:rPr>
                <w:sz w:val="20"/>
                <w:szCs w:val="20"/>
                <w:color w:val="auto"/>
              </w:rPr>
            </w:pPr>
            <w:r>
              <w:rPr>
                <w:rFonts w:ascii="Arial" w:cs="Arial" w:eastAsia="Arial" w:hAnsi="Arial"/>
                <w:sz w:val="14"/>
                <w:szCs w:val="14"/>
                <w:color w:val="auto"/>
              </w:rPr>
              <w:t>warrants into</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4"/>
                <w:szCs w:val="14"/>
                <w:color w:val="auto"/>
              </w:rPr>
              <w:t>common shares</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126,235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3,493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3,494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3,494</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Net income (loss)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4"/>
                <w:szCs w:val="14"/>
                <w:color w:val="auto"/>
              </w:rPr>
              <w:t>for the period</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(6,338)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(6,338)</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4"/>
              </w:rPr>
              <w:t>(6,093)</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30"/>
        </w:trPr>
        <w:tc>
          <w:tcPr>
            <w:tcW w:w="132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noncontrolling</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Arial" w:cs="Arial" w:eastAsia="Arial" w:hAnsi="Arial"/>
                <w:sz w:val="14"/>
                <w:szCs w:val="14"/>
                <w:color w:val="auto"/>
              </w:rPr>
              <w:t>interests</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1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91"/>
        </w:trPr>
        <w:tc>
          <w:tcPr>
            <w:tcW w:w="1320" w:type="dxa"/>
            <w:vAlign w:val="bottom"/>
          </w:tcPr>
          <w:p>
            <w:pPr>
              <w:spacing w:after="0"/>
              <w:rPr>
                <w:sz w:val="20"/>
                <w:szCs w:val="20"/>
                <w:color w:val="auto"/>
              </w:rPr>
            </w:pPr>
            <w:r>
              <w:rPr>
                <w:rFonts w:ascii="Arial" w:cs="Arial" w:eastAsia="Arial" w:hAnsi="Arial"/>
                <w:sz w:val="14"/>
                <w:szCs w:val="14"/>
                <w:b w:val="1"/>
                <w:bCs w:val="1"/>
                <w:color w:val="auto"/>
              </w:rPr>
              <w:t>June 30, 2019</w:t>
            </w:r>
          </w:p>
        </w:tc>
        <w:tc>
          <w:tcPr>
            <w:tcW w:w="520" w:type="dxa"/>
            <w:vAlign w:val="bottom"/>
          </w:tcPr>
          <w:p>
            <w:pPr>
              <w:jc w:val="right"/>
              <w:spacing w:after="0"/>
              <w:rPr>
                <w:sz w:val="20"/>
                <w:szCs w:val="20"/>
                <w:color w:val="auto"/>
              </w:rPr>
            </w:pPr>
            <w:r>
              <w:rPr>
                <w:rFonts w:ascii="Arial" w:cs="Arial" w:eastAsia="Arial" w:hAnsi="Arial"/>
                <w:sz w:val="14"/>
                <w:szCs w:val="14"/>
                <w:color w:val="auto"/>
                <w:w w:val="90"/>
              </w:rPr>
              <w:t>425,750</w:t>
            </w:r>
          </w:p>
        </w:tc>
        <w:tc>
          <w:tcPr>
            <w:tcW w:w="1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967,742</w:t>
            </w:r>
          </w:p>
        </w:tc>
        <w:tc>
          <w:tcPr>
            <w:tcW w:w="1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773,348</w:t>
            </w:r>
          </w:p>
        </w:tc>
        <w:tc>
          <w:tcPr>
            <w:tcW w:w="1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300,790</w:t>
            </w:r>
          </w:p>
        </w:tc>
        <w:tc>
          <w:tcPr>
            <w:tcW w:w="14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(296,224)</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(442)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4,146</w:t>
            </w:r>
          </w:p>
        </w:tc>
        <w:tc>
          <w:tcPr>
            <w:tcW w:w="1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4,079</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8,225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Adjusted to reflect the impact of the 1:3 reverse stock split that became effective on June 11, 2020.</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357505</wp:posOffset>
            </wp:positionV>
            <wp:extent cx="59836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10460"/>
          </w:cols>
          <w:pgMar w:left="1200" w:top="517" w:right="23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67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(69,195)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(8,937)</w:t>
            </w:r>
          </w:p>
        </w:tc>
      </w:tr>
      <w:tr>
        <w:trPr>
          <w:trHeight w:val="149"/>
        </w:trPr>
        <w:tc>
          <w:tcPr>
            <w:tcW w:w="6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67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Items included in net loss not affecting operating cash flows: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Revaluation of warrants and conversion options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3,228</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Impairment/disposal of assets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w:t>
            </w: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Impairment of cost method investment</w:t>
            </w:r>
          </w:p>
        </w:tc>
        <w:tc>
          <w:tcPr>
            <w:tcW w:w="1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1,141</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debt discount on notes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shares of Common Stock for payment of interest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Issuance of shares of Series E Preferred Stock for payment of interest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the extinguishment of debt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Debt conversion expense</w:t>
            </w:r>
          </w:p>
        </w:tc>
        <w:tc>
          <w:tcPr>
            <w:tcW w:w="1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1,547</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shares of Common Stock for services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Issuance of warrants</w:t>
            </w:r>
          </w:p>
        </w:tc>
        <w:tc>
          <w:tcPr>
            <w:tcW w:w="1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689</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r>
      <w:tr>
        <w:trPr>
          <w:trHeight w:val="149"/>
        </w:trPr>
        <w:tc>
          <w:tcPr>
            <w:tcW w:w="6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inventory</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other current assets and other assets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Decrease in lease libilities</w:t>
            </w:r>
          </w:p>
        </w:tc>
        <w:tc>
          <w:tcPr>
            <w:tcW w:w="1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(1,305)</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r>
      <w:tr>
        <w:trPr>
          <w:trHeight w:val="149"/>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other liabilities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accounts payable, accrued expenses and other</w:t>
            </w:r>
          </w:p>
        </w:tc>
        <w:tc>
          <w:tcPr>
            <w:tcW w:w="1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(5,306)</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r>
      <w:tr>
        <w:trPr>
          <w:trHeight w:val="142"/>
        </w:trPr>
        <w:tc>
          <w:tcPr>
            <w:tcW w:w="67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(11,719)</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w:t>
            </w:r>
          </w:p>
        </w:tc>
      </w:tr>
      <w:tr>
        <w:trPr>
          <w:trHeight w:val="142"/>
        </w:trPr>
        <w:tc>
          <w:tcPr>
            <w:tcW w:w="6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w:t>
            </w:r>
          </w:p>
        </w:tc>
      </w:tr>
      <w:tr>
        <w:trPr>
          <w:trHeight w:val="142"/>
        </w:trPr>
        <w:tc>
          <w:tcPr>
            <w:tcW w:w="67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(1,345)</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(802)</w:t>
            </w:r>
          </w:p>
        </w:tc>
      </w:tr>
      <w:tr>
        <w:trPr>
          <w:trHeight w:val="142"/>
        </w:trPr>
        <w:tc>
          <w:tcPr>
            <w:tcW w:w="67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direct offerings of Common Stock and warrants</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42,661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borrowings under Paycheck Protection Program</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additional borrowing from B3D</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funding advance</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Repayment of funding advance</w:t>
            </w:r>
          </w:p>
        </w:tc>
        <w:tc>
          <w:tcPr>
            <w:tcW w:w="1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(819)</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on convertible notes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r>
      <w:tr>
        <w:trPr>
          <w:trHeight w:val="142"/>
        </w:trPr>
        <w:tc>
          <w:tcPr>
            <w:tcW w:w="67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provided by financing activities</w:t>
            </w: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48,893</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(453)</w:t>
            </w:r>
          </w:p>
        </w:tc>
      </w:tr>
      <w:tr>
        <w:trPr>
          <w:trHeight w:val="142"/>
        </w:trPr>
        <w:tc>
          <w:tcPr>
            <w:tcW w:w="67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w:t>
            </w:r>
          </w:p>
        </w:tc>
      </w:tr>
      <w:tr>
        <w:trPr>
          <w:trHeight w:val="142"/>
        </w:trPr>
        <w:tc>
          <w:tcPr>
            <w:tcW w:w="6740" w:type="dxa"/>
            <w:vAlign w:val="bottom"/>
          </w:tcPr>
          <w:p>
            <w:pPr>
              <w:ind w:left="20"/>
              <w:spacing w:after="0" w:line="142" w:lineRule="exact"/>
              <w:rPr>
                <w:sz w:val="20"/>
                <w:szCs w:val="20"/>
                <w:color w:val="auto"/>
              </w:rPr>
            </w:pPr>
            <w:r>
              <w:rPr>
                <w:rFonts w:ascii="Arial" w:cs="Arial" w:eastAsia="Arial" w:hAnsi="Arial"/>
                <w:sz w:val="14"/>
                <w:szCs w:val="14"/>
                <w:color w:val="auto"/>
              </w:rPr>
              <w:t>Increase (decrease) in cash, cash equivalents and restricted cash</w:t>
            </w: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35,831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(1,202)</w:t>
            </w:r>
          </w:p>
        </w:tc>
      </w:tr>
      <w:tr>
        <w:trPr>
          <w:trHeight w:val="148"/>
        </w:trPr>
        <w:tc>
          <w:tcPr>
            <w:tcW w:w="6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w:t>
            </w:r>
          </w:p>
        </w:tc>
      </w:tr>
      <w:tr>
        <w:trPr>
          <w:trHeight w:val="182"/>
        </w:trPr>
        <w:tc>
          <w:tcPr>
            <w:tcW w:w="67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38,466</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2,688</w:t>
            </w:r>
          </w:p>
        </w:tc>
      </w:tr>
      <w:tr>
        <w:trPr>
          <w:trHeight w:val="129"/>
        </w:trPr>
        <w:tc>
          <w:tcPr>
            <w:tcW w:w="67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paid during the period for</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67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Conversions of B3D Note into Common Stock</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Conversions of Calm Note into Common Stock</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10,599</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 and exchange of Calm Warrant into Common Stock</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Conversions and exchanges of May 2018 Class A Warrants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15,471</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 of Series E Preferred Stock into Common Stock</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40" w:type="dxa"/>
            <w:vAlign w:val="bottom"/>
          </w:tcPr>
          <w:p>
            <w:pPr>
              <w:ind w:left="120"/>
              <w:spacing w:after="0" w:line="149" w:lineRule="exact"/>
              <w:rPr>
                <w:sz w:val="20"/>
                <w:szCs w:val="20"/>
                <w:color w:val="auto"/>
              </w:rPr>
            </w:pPr>
            <w:r>
              <w:rPr>
                <w:rFonts w:ascii="Arial" w:cs="Arial" w:eastAsia="Arial" w:hAnsi="Arial"/>
                <w:sz w:val="14"/>
                <w:szCs w:val="14"/>
                <w:color w:val="auto"/>
              </w:rPr>
              <w:t>Conversion of Series F Preferred Stock into Common Stock</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 of convertible notes and interest into Common Stock</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2,728</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The Company currently has one operating segment that is also its sole reporting unit.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Principals of Consolidation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2019. The unaudited interim condensed consolidated financial statements for all 2019 periods presented have been derived from the audited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six-month periods ended June 30, 2020 are not necessarily indicative of the results that may be expected for the entire fiscal year or for any other interim period. All significant intercompany balances and transactions have been eliminated in consolidation.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June 11, 2020, the Company effected a 1-for-3 reverse stock split, whereby every three shares of its Common Stock was reduced to one share of its Common Stock and the price per share of its Common Stock was multiplied by 3</w:t>
      </w:r>
      <w:r>
        <w:rPr>
          <w:rFonts w:ascii="Arial" w:cs="Arial" w:eastAsia="Arial" w:hAnsi="Arial"/>
          <w:sz w:val="17"/>
          <w:szCs w:val="17"/>
          <w:b w:val="1"/>
          <w:bCs w:val="1"/>
          <w:color w:val="auto"/>
        </w:rPr>
        <w:t>.</w:t>
      </w:r>
      <w:r>
        <w:rPr>
          <w:rFonts w:ascii="Arial" w:cs="Arial" w:eastAsia="Arial" w:hAnsi="Arial"/>
          <w:sz w:val="17"/>
          <w:szCs w:val="17"/>
          <w:color w:val="auto"/>
        </w:rPr>
        <w:t xml:space="preserve"> All references to shares and per share amounts have been adjusted to reflect the reverse stock split.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Newly launched XpresCheck™ brand</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May 22, 2020, the Company announced the signing of a contract with JFK International Air Terminal LLC (“JFKIAT”) to pilot test our concept of providing diagnostic COVID-19 tests located in Terminal 4. To facilitate the JFK pilot test, the Company signed an agreement with JFKIAT for a new modular constructed testing facility within the terminal that will host nine separate testing rooms with a capacity to administer over 500 tests per day. The pilot test at JFK launched on June 22, 2020.</w:t>
      </w:r>
    </w:p>
    <w:p>
      <w:pPr>
        <w:spacing w:after="0" w:line="188"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On August 13, 2020, the Company announced that it had signed a contract with the Port Authority of New York and New Jersey to provide diagnostic COVID-19 testing at Newark Liberty International Airport through its XpresCheck brand. The company is currently building a modular constructed testing facility within Terminal B that will host 6 separate testing rooms with a capacity to administer over 350 tests per day.</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Through its XpresCheck facilities, the Company will be offering its testing services to airline employees, contractors and workers, concessionaires and their employees, TSA officers, and U.S. Customs and Border Protection agents, and over time, will expand to the traveling public as well. The Company entered into a one year management services agreement with a professional medical service entity that provides health care services to patients whereby XpresTest shall provide office space, equipment, supplies, non-licensed staff, and management services to be used for the purpose of COVID-19 testing in return for fees negotiated at arms length and at a fair value.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Effect of Coronavirus on Business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which continues to spread throughout the U.S. and the world, as a pandemic. The outbreak is having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the Company’s business and cash flow from operations, similar to many businesses in the travel sector. Effective March 24, 2020, the Company temporarily closed all global spa locations, largely due to the categorization of the spa locations by local jurisdictions as “non-essential services”. The Company intends to reopen its spa locations and resume normal operations once restrictions are lifted and airport traffic returns to sufficient levels to support operations. The impact of COVID-19 is unknown and may continue as the rates of infection have increased in many states in the U.S., thus additional restrictive measures may be necessary.</w:t>
      </w:r>
    </w:p>
    <w:p>
      <w:pPr>
        <w:spacing w:after="0" w:line="17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a result, management has concluded that there was a long-lived and definite-lived asset impairment triggering event during the six months ended June 30, 2020 which would require management to perform an impairment evaluation of its property and equipment, intangible assets and operating lease right of use assets of approximately $21,088 (before any impairment adjustments) as of June 30, 2020.</w:t>
      </w:r>
    </w:p>
    <w:p>
      <w:pPr>
        <w:spacing w:after="0" w:line="187"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 xml:space="preserve">We completed an assessment of our property and equipment and operating lease right of use assets for impairment as of June 30, 2020. Based upon the results of the impairment test, we recorded an impairment expense related to property and equipment and operating lease right of use assets of approximately $1,821 and $2,238, respectively, during the three months ended June 30, 2020, which is included in </w:t>
      </w:r>
      <w:r>
        <w:rPr>
          <w:rFonts w:ascii="Arial" w:cs="Arial" w:eastAsia="Arial" w:hAnsi="Arial"/>
          <w:sz w:val="16"/>
          <w:szCs w:val="16"/>
          <w:i w:val="1"/>
          <w:iCs w:val="1"/>
          <w:color w:val="auto"/>
        </w:rPr>
        <w:t>Impairment/disposal of assets</w:t>
      </w:r>
      <w:r>
        <w:rPr>
          <w:rFonts w:ascii="Arial" w:cs="Arial" w:eastAsia="Arial" w:hAnsi="Arial"/>
          <w:sz w:val="16"/>
          <w:szCs w:val="16"/>
          <w:color w:val="auto"/>
        </w:rPr>
        <w:t xml:space="preserve"> in the Company’s condensed consolidated statements of operations and comprehensive loss. The expense was primarily related to the impairment of leasehold improvements made to certain spa locations and operating lease right of use assets where management determined that the locations discounted future cash flow was not sufficient to support the carrying value of these assets over the remaining lease term. The property and equipment and right of use asset net balances decreased approximately 23% and 28%, respectively as a result of recording the impairment charges. Property and equipment, net decreased approximately $1,803 as a result of impairment of $1,821, depreciation expense of $1,312, offset by purchases during the six month period ended June 30, 2020 of $1,345. The impairment expense represents the excess of the carrying value of these assets over the estimated future discounted cash flows. Management calculated the future cash flow of each location using a present value income approach. The sum of expected cash flow for the remainder of the lease term for each location was present valued at a discount rate of 9.0%, which represents the current borrowing rate of our B3D Note. We believe that this rate incorporates the time value of money and an appropriate risk premium.</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completed an assessment of our intangible assets for impairment as of June 30, 2020. The Company reassessed its projections and based on management’s expectation of resuming normal operations, no impairment was indicated at this time.</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full extent to which COVID-19 will impact the Company’s results will depend on future developments, which are highly uncertain and cannot be predicted, including new information which may emerge concerning the severity of the virus and the actions to contain or treat its impact. Management will continue to evaluate and assess its projections.</w:t>
      </w:r>
    </w:p>
    <w:p>
      <w:pPr>
        <w:spacing w:after="0" w:line="16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6"/>
          <w:szCs w:val="16"/>
          <w:color w:val="auto"/>
        </w:rPr>
        <w:t xml:space="preserve">The impact of the COVID-19 pandemic could continue to have a material adverse effect on our business, results of operations, financial condition, liquidity and prospects in the near-term and beyond 2020. While management has used all currently available information in its forecasts, the ultimate impact of the COVID-19 pandemic and the Company’s newly launched brand, XpresCheck </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 on its results of operations, financial condition and cash flows is highly uncertain, and cannot currently be accurately predicted. The Company’s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the Company’s newly launched brand, XpresCheck</w:t>
      </w:r>
      <w:r>
        <w:rPr>
          <w:rFonts w:ascii="Arial" w:cs="Arial" w:eastAsia="Arial" w:hAnsi="Arial"/>
          <w:sz w:val="23"/>
          <w:szCs w:val="23"/>
          <w:color w:val="auto"/>
          <w:vertAlign w:val="superscript"/>
        </w:rPr>
        <w:t>TM</w:t>
      </w:r>
      <w:r>
        <w:rPr>
          <w:rFonts w:ascii="Arial" w:cs="Arial" w:eastAsia="Arial" w:hAnsi="Arial"/>
          <w:sz w:val="16"/>
          <w:szCs w:val="16"/>
          <w:color w:val="auto"/>
        </w:rPr>
        <w:t>, could also have a material effect on the Company’s business.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Airport Rent Concessions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ten-months and began in March 2020. The Company received minimum guaranteed payment concession of approximately $693 in the three months ended June 30, 2020 and $768 in the six months ended June 30, 2020. We expect to realize additional rent concessions while our spas remain closed.</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2020, the Company had cash and cash equivalents, excluding restricted cash, of $37,765, total current assets of $39,019, total current liabilities of $19,595, and positive working capital of $19,424 compared to a working capital deficiency of $12,287 as of December 31, 2019.</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During the three months ended June 30, 2020, to address the Company’s historical working capital deficiencies, and its outstanding long-term debt, the Company raised $38,397 in a series of registered direct equity offerings, net of approximately $4,653 in broker commissions, legal fees and other related offering expenses. The Company settled its long-term debt owed as of March 31, 2020 by converting $5,664 of the B3D Note to Common Stock and by converting the $2,500 Calm Note to Common Stock. The Company also paid in full the short-term $910 advance funding owed to Credit Cash, recognizing a gain of approximately $91. Finally, on May 1, 2020, the Company entered into a U.S. Small Business Administration (“SBA”) Paycheck Protection Program (“PPP”) promissory note in the principal amount of $5,653. See Note 7. </w:t>
      </w:r>
      <w:r>
        <w:rPr>
          <w:rFonts w:ascii="Arial" w:cs="Arial" w:eastAsia="Arial" w:hAnsi="Arial"/>
          <w:sz w:val="18"/>
          <w:szCs w:val="18"/>
          <w:i w:val="1"/>
          <w:iCs w:val="1"/>
          <w:color w:val="auto"/>
        </w:rPr>
        <w:t>Debt.</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report of the Company’s independent registered public accounting firm on its financial statements for the year ended December 31, 2019 included an explanatory paragraph indicating that there was substantial doubt about the Company’s ability to continue as a going concern. The Company believes that as a result of the transactions that have occurred, it has successfully mitigated the substantial doubt raised by its historical operating results and will satisfy its liquidity needs for at least twelve months from the issuance of these financial statements. However, while the Company has addressed its working capital deficiency and long-term debt, while continuing to focus on its overall operating profitability, the Company expects to incur net losses in the foreseeable future and therefore cannot predict with any certainty that the results of its actions will satisfy its liquidity needs in the longer-term.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Revenue Recognition Policy</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recognizes revenue from the sale of XpresSpa products and services when the services are rendered at XpresSpa stores and from the sale of products at the time products are purchased at our stores or online usually by credit card, net of discounts and applicable sales taxes. Accordingly, the Company recognizes revenue for our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June 2020, the Company entered into a management services agreement with a professional medical services company that provides health care services to patients in connection with the launch of its new XpresCheck brand. The XpresCheck business will provide diagnostic COVID-19 tests, at Company locations in airports, to airport employees and will expand to the traveling public as well. The medical services company will pay XpresCheck a monthly fee to operate in the XpresCheck facility and the fee and related costs will be recorded monthly as earned and incurred, respectively over the term of the agreement.</w:t>
      </w:r>
    </w:p>
    <w:p>
      <w:pPr>
        <w:spacing w:after="0" w:line="1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has a franchise agreement with an unaffiliated franchisee to operate an XpresSpa location. The Company has identified the franchise right as a distinct performance obligation that transfers over time, and therefore any portion of the non-recurring initial franchise fee that is allocated to the franchise right should be recognized over the course of the contract rather than all upfront as would be the case with distinct performance obligations. Under the Company’s franchising model, all initial franchising fees relate to the franchise right are recognized over the course of the contract which commences upon signing of the agreement. Upon receipt of the non-recurring, non-refundable initial franchise fee, management records a deferred revenue asset and recognizes revenue on a straight-line basis over the contract term.</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also entered into a collaborative agreement with a customer whereby it sells certain of its customer’s products in the Company’s retail spas. The Company acts as an agent for revenue recognition purposes and therefore records revenue net of the revenue share payable to the customer.</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excludes all sales taxes assessed to our customers from revenue. Sales taxes assessed on revenues are included in accounts payable, accrued expenses and other current liabilities in the condensed consolidated balance sheets until remitted to state agencies.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Recently issued accounting pronouncements</w:t>
      </w:r>
    </w:p>
    <w:p>
      <w:pPr>
        <w:spacing w:after="0" w:line="306"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8"/>
          <w:szCs w:val="18"/>
          <w:i w:val="1"/>
          <w:iCs w:val="1"/>
          <w:color w:val="auto"/>
        </w:rPr>
        <w:t>Accounting Standards Update No. 2020-06— Debt--Debt with Conversion and Other Options (Subtopic 470-20) and Derivatives and Hedging— Contracts in Entity's Own Equity (Subtopic 815-40)</w:t>
      </w:r>
    </w:p>
    <w:p>
      <w:pPr>
        <w:spacing w:after="0" w:line="15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Board also decided to add additional disclosure requirements in an attempt to improve the usefulness and relevance of the information being provided.</w:t>
      </w:r>
    </w:p>
    <w:p>
      <w:pPr>
        <w:spacing w:after="0" w:line="16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new standard is effective for fiscal years beginning after December 15, 2021, and interim periods within those fiscal years. The Company does not believe the adoption of this standard will have a material impact on its condensed consolidated financial statements.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Accounting Standards Update No. 2020-01, Investments—Equity Securities (Topic 321), Investments—Equity Method and Joint Ventures (Topic 323), and Derivatives and Hedging (Topic 815)—Clarifying the Interactions between Topic 321, Topic 323, and Topic 815.</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The Company does not believe the adoption of this standard will have a material impact on its condensed consolidated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Accounting Standards Update No. 2019-12—</w:t>
      </w:r>
      <w:r>
        <w:rPr>
          <w:rFonts w:ascii="Arial" w:cs="Arial" w:eastAsia="Arial" w:hAnsi="Arial"/>
          <w:sz w:val="17"/>
          <w:szCs w:val="17"/>
          <w:color w:val="auto"/>
        </w:rPr>
        <w:t>Income Taxes (Topic 740): Simplifying the Accounting for Income Taxes.</w:t>
      </w:r>
    </w:p>
    <w:p>
      <w:pPr>
        <w:spacing w:after="0" w:line="23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Issued in December 2019, the amendments in this update are effective for fiscal years, and interim periods within those fiscal years, beginning after December 15, 2020. The amendments in this update simplify the accounting for income taxes by removing certain exceptions to guidance in Topic 740. The specific areas of potential simplification were submitted by stakeholders as part of the FASB’s simplification initiative. The Company does not believe the adoption of this standard will have a material impact on its condensed consolidated financial statements.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Recently adopted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2016-13, Financial Instruments - Credit Losses (Topic 326): Measurement of Credit Losses on Financial Instruments (“ASU No. 2016-13”)</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January 1, 2020 the Company adopted ASU No. 2016-13 using a modified-retrospective approach. This standard changes the impairment model for most financial assets that are measured at amortized cost and certain other instruments, including trade receivables, from an incurred loss model to an expected loss model and adds certain new required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disclosures. Under the expected loss model, entities will recognize estimated credit losses to be incurred over the entire contractual term of the instrument rather than delaying recognition of credit losses until it is probable the loss has been incurred. Adoption of this standard did not result in an adjustment to opening accumulated deficit and did not have a material impact on the Company's condensed consolidated financial statements.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Accounting Standards Update No. 2018-13, Fair Value Measurement (Topic 820): Disclosure Framework—Changes to the Disclosure Requirements for Fair Value Measurement (“ASU No. 2018-13”)</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January 1, 2020, the Company adopted ASU No. 2018-13. 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amendments on changes in unrealized gains and losses, the range and weighted average of significant unobservable inputs used to develop Level 3 fair value measurements, and the narrative description of measurement uncertainty have been applied prospectively beginning in the quarter ended March 31, 2020. All other amendments have been applied retrospectively to all periods presented. Adoption of this standard did not have a material impact on the Company's condensed consolidated financial statements.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 Presentation</w:t>
      </w:r>
    </w:p>
    <w:p>
      <w:pPr>
        <w:spacing w:after="0" w:line="225"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Certain balances in the 2019 financial statements have been reclassified to conform to the presentation in the 2020 financial statements, primarily the classification and presentation of certain items in the operating activities section of the statement of cash flows and the loss from operations before income taxes section of the statement of operations and comprehensive loss. Such reclassifications did not have a material impact on the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Note 3. Potentially Dilutive Securities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11"/>
          </w:tcPr>
          <w:p>
            <w:pPr>
              <w:spacing w:after="0"/>
              <w:rPr>
                <w:sz w:val="20"/>
                <w:szCs w:val="20"/>
                <w:color w:val="auto"/>
              </w:rPr>
            </w:pPr>
            <w:r>
              <w:rPr>
                <w:rFonts w:ascii="Arial" w:cs="Arial" w:eastAsia="Arial" w:hAnsi="Arial"/>
                <w:sz w:val="18"/>
                <w:szCs w:val="18"/>
                <w:color w:val="auto"/>
                <w:w w:val="97"/>
              </w:rPr>
              <w:t>The table below presents the computation of basic and diluted net loss per share of Common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loss attributable to XpresSpa Group, Inc.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(68,694)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deemed dividend on warrants and preferred stock</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320" w:type="dxa"/>
            <w:vAlign w:val="bottom"/>
            <w:gridSpan w:val="2"/>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(58,715)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(6,338)</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(69,639)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denominator:</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Basic and diluted weighted average shares outstanding</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38,873,131</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656,706</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22,569,032</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above excludes from</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calculation of diluted net loss the following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potentially dilutive securities, as they had an anti-</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dilutive impact: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w w:val="96"/>
              </w:rPr>
              <w:t>Both vested and unvested options to purchase an equal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number of shares of 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669,801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669,801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Unvested RSUs to issue an equal number of shares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Warrants to purchase an equal number of shares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8,482,380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234,557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8,482,380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on an as converted basis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2,121,443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notes on an as converted basis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1,714,286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1,714,286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0"/>
              </w:rPr>
              <w:t>Total number of potentially dilutive securities excluded</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from the calculation of loss per share attributable to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10,886,467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2,496,084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10,886,467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2,496,084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shareholders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 reconciliation of the Company’s cash and cash equivalents in the Condensed Consolidated Balance Sheets to cash, cash equivalents and restricted cash in the Condensed Consolidated Statements of Cash Flows as of June 30, 2020 is as follows: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78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June 30, 2020   December 31, 2019</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and debit card receivables</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38,466</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38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Intangible Assets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December 31, 2019</w:t>
            </w:r>
          </w:p>
        </w:tc>
        <w:tc>
          <w:tcPr>
            <w:tcW w:w="580" w:type="dxa"/>
            <w:vAlign w:val="bottom"/>
            <w:tcBorders>
              <w:bottom w:val="single" w:sz="8" w:color="auto"/>
            </w:tcBorders>
          </w:tcPr>
          <w:p>
            <w:pPr>
              <w:spacing w:after="0"/>
              <w:rPr>
                <w:sz w:val="20"/>
                <w:szCs w:val="20"/>
                <w:color w:val="auto"/>
              </w:rPr>
            </w:pPr>
          </w:p>
        </w:tc>
      </w:tr>
      <w:tr>
        <w:trPr>
          <w:trHeight w:val="191"/>
        </w:trPr>
        <w:tc>
          <w:tcPr>
            <w:tcW w:w="2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280" w:type="dxa"/>
            <w:vAlign w:val="bottom"/>
          </w:tcPr>
          <w:p>
            <w:pPr>
              <w:spacing w:after="0"/>
              <w:rPr>
                <w:sz w:val="18"/>
                <w:szCs w:val="18"/>
                <w:color w:val="auto"/>
              </w:rPr>
            </w:pPr>
          </w:p>
        </w:tc>
        <w:tc>
          <w:tcPr>
            <w:tcW w:w="142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Accumulated</w:t>
            </w:r>
          </w:p>
        </w:tc>
        <w:tc>
          <w:tcPr>
            <w:tcW w:w="980" w:type="dxa"/>
            <w:vAlign w:val="bottom"/>
            <w:gridSpan w:val="4"/>
          </w:tcPr>
          <w:p>
            <w:pPr>
              <w:ind w:left="18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$ 13,309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13,309</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09"/>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$ 13,621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r>
      <w:tr>
        <w:trPr>
          <w:trHeight w:val="20"/>
        </w:trPr>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trade name relates to the value of the XpresSpa trade name, and software relates to certain capitalized third-party costs related to a new point-of-sale system.</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Company's intangible assets are amortized over their expected useful lives. During the three months ended June 30, 2020 and 2019, the Company recorded amortization expense of $569 and $576, respectively and $1,139 and $1,144 for the six months ended June 30, 2020 and 2019, respectively.</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Based on the intangible assets balance as of June 30, 2020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Amount</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Leases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leases its retail space at various domestic and international airports. Additionally, the Company leases its corporate office in New York City. Certain leases entered into by the Company fall under ASU No. 2016-02, Leases (“ASC 842”).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6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as of the commencement date based on the present value of lease payments over the lease term. The Company records its operating lease assets and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 and adjusted both balances.</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 has received rent concessions from landlords on a majority of its leases, allowing for the relief of minimum guaranteed payments in exchange for percentage-of-revenue rent or providing relief from rent through payment deferrals.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Currently, the period of relief from these payments range from five- to ten-months and began in March 2020. The Company received minimum guaranteed payment concession of approximately $693 in the three months ended June 30, 2020 and $768 in the six months ended June 30, 2020.</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64"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did not record rent expense for the month which it received a concession from the landlord. Since negative variable lease expense is not recognized until it becomes accruable, lease liabilities will not be adjusted until the actual month that the rent is accruable.</w:t>
      </w:r>
    </w:p>
    <w:p>
      <w:pPr>
        <w:spacing w:after="0" w:line="161"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There were two extensions of the terms of two of the Company’s leases for spa locations and one reduction in the lease term of another which were treated, for accounting purposes, as lease modifications. Accordingly, the Company recalculated the lease liability and right of use asset balance based upon the revised lease terms. The Company also adjusted the incremental borrowing rate on these leases from 11.24% to 9.0%, (the Company’s current incremental borrowing rate) as the change in terms were not contemplated when the original leases the were entered into. The lease modifications resulted in a net increase in lease liability and right of use asset balances of $309. The Company also entered into a new lease for its XpresCheck</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business which resulted in an increase in lease liability and right of use asset balances of approximately $113.</w:t>
      </w:r>
    </w:p>
    <w:p>
      <w:pPr>
        <w:spacing w:after="0" w:line="20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As a result of the closure of its spas during the six months ended June 30, 2020, management has concluded that there was an impairment triggering event which would require management to assess its operating lease right of use assets for impairment. The Company completed its assessment as of June 30, 2020. Based upon the results of the impairment test, the Company recorded an impairment expense related to operating lease right of use assets of approximately $2,238. See Note 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for further discussion.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Supplemental cash flow information related to leases for the six months ended June 30, 2020 and 2019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14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67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210"/>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Leased assets obtained in exchange for new and modified operating lease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20" w:type="dxa"/>
            <w:vAlign w:val="bottom"/>
          </w:tcPr>
          <w:p>
            <w:pPr>
              <w:spacing w:after="0"/>
              <w:rPr>
                <w:sz w:val="18"/>
                <w:szCs w:val="18"/>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18"/>
                <w:szCs w:val="18"/>
                <w:color w:val="auto"/>
                <w:w w:val="99"/>
              </w:rPr>
              <w:t>Leased assets surrendered in exchange for termination of operating lease liabilities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0"/>
                <w:szCs w:val="20"/>
                <w:color w:val="auto"/>
              </w:rPr>
            </w:pPr>
          </w:p>
        </w:tc>
      </w:tr>
      <w:tr>
        <w:trPr>
          <w:trHeight w:val="850"/>
        </w:trPr>
        <w:tc>
          <w:tcPr>
            <w:tcW w:w="6780" w:type="dxa"/>
            <w:vAlign w:val="bottom"/>
          </w:tcPr>
          <w:p>
            <w:pPr>
              <w:ind w:left="43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w w:val="96"/>
              </w:rPr>
              <w:t>As of June 30, 2020, operating leases contain the following future minimum commitments: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5"/>
        </w:trPr>
        <w:tc>
          <w:tcPr>
            <w:tcW w:w="6920" w:type="dxa"/>
            <w:vAlign w:val="bottom"/>
            <w:gridSpan w:val="2"/>
          </w:tcPr>
          <w:p>
            <w:pPr>
              <w:ind w:left="880"/>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Amount</w:t>
            </w:r>
          </w:p>
        </w:tc>
      </w:tr>
      <w:tr>
        <w:trPr>
          <w:trHeight w:val="209"/>
        </w:trPr>
        <w:tc>
          <w:tcPr>
            <w:tcW w:w="90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16"/>
        </w:trPr>
        <w:tc>
          <w:tcPr>
            <w:tcW w:w="9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3,042</w:t>
            </w:r>
          </w:p>
        </w:tc>
      </w:tr>
      <w:tr>
        <w:trPr>
          <w:trHeight w:val="216"/>
        </w:trPr>
        <w:tc>
          <w:tcPr>
            <w:tcW w:w="9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16"/>
        </w:trPr>
        <w:tc>
          <w:tcPr>
            <w:tcW w:w="9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16"/>
        </w:trPr>
        <w:tc>
          <w:tcPr>
            <w:tcW w:w="9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16"/>
        </w:trPr>
        <w:tc>
          <w:tcPr>
            <w:tcW w:w="90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10"/>
        </w:trPr>
        <w:tc>
          <w:tcPr>
            <w:tcW w:w="9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w:t>
            </w:r>
          </w:p>
        </w:tc>
      </w:tr>
      <w:tr>
        <w:trPr>
          <w:trHeight w:val="216"/>
        </w:trPr>
        <w:tc>
          <w:tcPr>
            <w:tcW w:w="90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r>
      <w:tr>
        <w:trPr>
          <w:trHeight w:val="209"/>
        </w:trPr>
        <w:tc>
          <w:tcPr>
            <w:tcW w:w="90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r>
      <w:tr>
        <w:trPr>
          <w:trHeight w:val="20"/>
        </w:trPr>
        <w:tc>
          <w:tcPr>
            <w:tcW w:w="9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years</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w w:val="91"/>
              </w:rPr>
              <w:t>Weighted average discount rate used to determine present value of operating lease</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liability:</w:t>
            </w:r>
          </w:p>
        </w:tc>
        <w:tc>
          <w:tcPr>
            <w:tcW w:w="620" w:type="dxa"/>
            <w:vAlign w:val="bottom"/>
          </w:tcPr>
          <w:p>
            <w:pPr>
              <w:jc w:val="right"/>
              <w:spacing w:after="0"/>
              <w:rPr>
                <w:sz w:val="20"/>
                <w:szCs w:val="20"/>
                <w:color w:val="auto"/>
              </w:rPr>
            </w:pPr>
            <w:r>
              <w:rPr>
                <w:rFonts w:ascii="Arial" w:cs="Arial" w:eastAsia="Arial" w:hAnsi="Arial"/>
                <w:sz w:val="18"/>
                <w:szCs w:val="18"/>
                <w:color w:val="auto"/>
              </w:rPr>
              <w:t>10.82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minimum annual rental obligations during the three and six months ended June 30, 2020 was $227 and $993, respectively. Cash paid for minimum annual rental obligations during the three and six months ended June 30, 2019 was $970 and $1,774,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Variable lease payments calculated monthly as a percentage of product and services revenue, were $8 and $875 for the three months ended June 30, 2020 and 2019, respectively, and $485 and $1,497 for the six months ended June 30, 2020 and 2019, respectively.</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Amortization expense of right of use lease assets was $547 and $412 for the three months ended June 30, 2020 and 2019, respectively and $1,074 and $683 for the six months ended June 30, 2020 and 2019, respectively.</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 as of June 30, 2020 and December 31, 2019 is comprised of the following:</w:t>
      </w:r>
    </w:p>
    <w:p>
      <w:pPr>
        <w:spacing w:after="0" w:line="235" w:lineRule="exact"/>
        <w:rPr>
          <w:sz w:val="20"/>
          <w:szCs w:val="20"/>
          <w:color w:val="auto"/>
        </w:rPr>
      </w:pPr>
    </w:p>
    <w:p>
      <w:pPr>
        <w:ind w:left="6180"/>
        <w:spacing w:after="0"/>
        <w:tabs>
          <w:tab w:leader="none" w:pos="7460" w:val="left"/>
        </w:tabs>
        <w:rPr>
          <w:sz w:val="20"/>
          <w:szCs w:val="20"/>
          <w:color w:val="auto"/>
        </w:rPr>
      </w:pPr>
      <w:r>
        <w:rPr>
          <w:rFonts w:ascii="Arial" w:cs="Arial" w:eastAsia="Arial" w:hAnsi="Arial"/>
          <w:sz w:val="18"/>
          <w:szCs w:val="18"/>
          <w:b w:val="1"/>
          <w:bCs w:val="1"/>
          <w:color w:val="auto"/>
        </w:rPr>
        <w:t>June 30, 2020</w:t>
      </w:r>
      <w:r>
        <w:rPr>
          <w:sz w:val="20"/>
          <w:szCs w:val="20"/>
          <w:color w:val="auto"/>
        </w:rPr>
        <w:tab/>
      </w:r>
      <w:r>
        <w:rPr>
          <w:rFonts w:ascii="Arial" w:cs="Arial" w:eastAsia="Arial" w:hAnsi="Arial"/>
          <w:sz w:val="15"/>
          <w:szCs w:val="15"/>
          <w:b w:val="1"/>
          <w:bCs w:val="1"/>
          <w:color w:val="auto"/>
        </w:rPr>
        <w:t>December 31, 2019</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B3D Note, net of $323 and $2,420 in unamortized debt discount and debt</w:t>
            </w:r>
          </w:p>
        </w:tc>
        <w:tc>
          <w:tcPr>
            <w:tcW w:w="4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costs as of June 30, 2020 and December 31, 2019, respectively</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Promissory note, unsecured</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Calm Note, net $1,318 in unamortized debt discount and debt issuance costs as of</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6,230</w:t>
            </w: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B3D 9% Senior Secured Note due May 31, 2021</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July 8, 2019, the Company entered into the fourth amendment to its existing credit agreement (the “Fourth Credit Agreement Amendment”) with B3D. As consideration for modifications agreed upon in the Fourth Credit Agreement Amendment, the principal amount owed to B3D was increased to $7,000.</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January 9, 2020, as compensation for the consent of B3D to the CC Agreement, the Company entered into the Fifth Credit Agreement Amendment with B3D in order to (i) increase the principal amount owed to B3D from $7,000 to $7,150,</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which additional $150 in principal and any interest accrued thereon will become convertible, at B3D’s option, into shares of the Company’s Common Stock upon receipt of the approval of the Company’s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 The Company capitalized a $150 fee charged by the lender to consent to the CC Agreement.</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The total of fees paid to the lender as consideration for entering into the Fourth and Fifth Credit Agreement Amendments of $650 was capitalized and was being amortized over the remaining term of the B3D Note. The Company recorded amortization expense of $69, which is included in </w:t>
      </w:r>
      <w:r>
        <w:rPr>
          <w:rFonts w:ascii="Arial" w:cs="Arial" w:eastAsia="Arial" w:hAnsi="Arial"/>
          <w:sz w:val="16"/>
          <w:szCs w:val="16"/>
          <w:i w:val="1"/>
          <w:iCs w:val="1"/>
          <w:color w:val="auto"/>
        </w:rPr>
        <w:t>Interest expense</w:t>
      </w:r>
      <w:r>
        <w:rPr>
          <w:rFonts w:ascii="Arial" w:cs="Arial" w:eastAsia="Arial" w:hAnsi="Arial"/>
          <w:sz w:val="16"/>
          <w:szCs w:val="16"/>
          <w:color w:val="auto"/>
        </w:rPr>
        <w:t xml:space="preserve"> in the Company’s condensed consolidated statements of operations and comprehensive loss, related to these capitalized costs in the first quarter of 2020.</w:t>
      </w:r>
    </w:p>
    <w:p>
      <w:pPr>
        <w:spacing w:after="0" w:line="15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March 6, 2020, XpresSpa Holdings entered into the Sixth Credit Agreement Amendment with B3D in order to, among other provisions, (i) increase the principal amount owed to B3D from $7,150 to $7,900, which additional $750 in principal, comprised of $500 in new funding and $250 in debt issuance costs, and any interest accrued thereon will be convertible, at B3D’s option, into shares of the Company’s Common Stock subject to receipt of the approval of the Company’s stockholders which was obtained on May 28, 2020 and (ii) decrease the conversion rate under the B3D Note from $6.00 per share to $1.68 per share. On March 19, 2020, the conversion rate was further reduced to $0.525 per share after giving effect to certain anti-dilution adjustments.</w:t>
      </w:r>
    </w:p>
    <w:p>
      <w:pPr>
        <w:spacing w:after="0" w:line="17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The Sixth Credit Agreement Amendment was accounted for as an extinguishment of debt in the Company’s condensed consolidated financial statements. In March 2020, the Company extinguished debt of approximately $4,829, net of unamortized debt discount of $1,845 and unamortized debt issuance costs of $476. In addition, the Company extinguished approximately $2,048 of derivative liability, which represented the estimated fair value of the conversion option based upon provisions included in the Fifth Credit Agreement Amendment. In conjunction with the debt extinguishment on March 6, 2020, the Company determined that the conversion option in the new debt should be bifurcated form the host instrument and engaged a third party to assess the fair value of the conversion option. As a result, the Company recorded debt of approximately $3,994, net of a debt discount of $3,656 and debt issuance costs of $250, and a derivative liability of $3,656. The Company recognized a loss on the extinguishment of debt of approximately $265 during the three months ended March 31, 2020, which represents the difference between the carrying amount of the debt recorded under the Fourth and Fifth Credit Agreement Amendments and the debt recorded under the Sixth Credit Agreement Amendment and is included in </w:t>
      </w:r>
      <w:r>
        <w:rPr>
          <w:rFonts w:ascii="Arial" w:cs="Arial" w:eastAsia="Arial" w:hAnsi="Arial"/>
          <w:sz w:val="17"/>
          <w:szCs w:val="17"/>
          <w:i w:val="1"/>
          <w:iCs w:val="1"/>
          <w:color w:val="auto"/>
        </w:rPr>
        <w:t>Other non-operating income (expense), net</w:t>
      </w:r>
      <w:r>
        <w:rPr>
          <w:rFonts w:ascii="Arial" w:cs="Arial" w:eastAsia="Arial" w:hAnsi="Arial"/>
          <w:sz w:val="17"/>
          <w:szCs w:val="17"/>
          <w:color w:val="auto"/>
        </w:rPr>
        <w:t xml:space="preserve"> in the condensed consolidated statements of operations and comprehensive loss.</w:t>
      </w:r>
    </w:p>
    <w:p>
      <w:pPr>
        <w:spacing w:after="0" w:line="18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Subsequent to the Sixth Credit Agreement Amendment and during March 2020, B3D elected to convert $1,335 of principal into shares of Common Stock at conversion prices of $1.68 and $0.525. As a result, approximately $599 of derivative liability was settled and reclassified to equity, the Company wrote off $599 of unamortized debt discount and $43 of unamortized debt issuance costs, and 1,430,647 shares of Common Stock were issued. During the three months ended June 30, 2020, B3D elected to convert $5,664 of principal into shares of Common Stock at a conversion price of $0.525. As a result, approximately $10,956 of derivative liability was settled and reclassified to equity, the Company wrote off $2,174 of unamortized debt discount and $142 of unamortized debt issuance costs, and 10,789,591 shares of Common Stock were issued. The Company engaged an independent third party to assess the fair value of the conversion option in the B3D Note at each conversion date as well as at the end of each reporting period. At June 30, 2020, the fair value of the conversion option that was bifurcated from the B3D Note was estimated to be $6,359 and is included in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in the condensed consolidated balance sheet. During the three and six months ended June 30,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recognized a revaluation loss related to the derivative liability of $13,859 and $14,510, respectively, which is included in </w:t>
      </w:r>
      <w:r>
        <w:rPr>
          <w:rFonts w:ascii="Arial" w:cs="Arial" w:eastAsia="Arial" w:hAnsi="Arial"/>
          <w:sz w:val="17"/>
          <w:szCs w:val="17"/>
          <w:i w:val="1"/>
          <w:iCs w:val="1"/>
          <w:color w:val="auto"/>
        </w:rPr>
        <w:t>Loss on revaluation of warrants and conversion options</w:t>
      </w:r>
      <w:r>
        <w:rPr>
          <w:rFonts w:ascii="Arial" w:cs="Arial" w:eastAsia="Arial" w:hAnsi="Arial"/>
          <w:sz w:val="17"/>
          <w:szCs w:val="17"/>
          <w:color w:val="auto"/>
        </w:rPr>
        <w:t xml:space="preserve"> in the condensed consolidated statement of operations and comprehensive loss.</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A total of $336 and $821 of accretion expense was recorded in the three and six months ended June 30, 2020, respectively, which is included in </w:t>
      </w:r>
      <w:r>
        <w:rPr>
          <w:rFonts w:ascii="Arial" w:cs="Arial" w:eastAsia="Arial" w:hAnsi="Arial"/>
          <w:sz w:val="16"/>
          <w:szCs w:val="16"/>
          <w:i w:val="1"/>
          <w:iCs w:val="1"/>
          <w:color w:val="auto"/>
        </w:rPr>
        <w:t>Interest expense</w:t>
      </w:r>
      <w:r>
        <w:rPr>
          <w:rFonts w:ascii="Arial" w:cs="Arial" w:eastAsia="Arial" w:hAnsi="Arial"/>
          <w:sz w:val="16"/>
          <w:szCs w:val="16"/>
          <w:color w:val="auto"/>
        </w:rPr>
        <w:t xml:space="preserve"> in the condensed consolidated statements of operations and comprehensive loss and increased the carrying value of the B3D Note. Total amortization expense related to the B3D Note debt issuance costs was $27 and $107 for the three and six months ended June 30, 2020, respectively, which is included in </w:t>
      </w:r>
      <w:r>
        <w:rPr>
          <w:rFonts w:ascii="Arial" w:cs="Arial" w:eastAsia="Arial" w:hAnsi="Arial"/>
          <w:sz w:val="16"/>
          <w:szCs w:val="16"/>
          <w:i w:val="1"/>
          <w:iCs w:val="1"/>
          <w:color w:val="auto"/>
        </w:rPr>
        <w:t>Interest expense</w:t>
      </w:r>
      <w:r>
        <w:rPr>
          <w:rFonts w:ascii="Arial" w:cs="Arial" w:eastAsia="Arial" w:hAnsi="Arial"/>
          <w:sz w:val="16"/>
          <w:szCs w:val="16"/>
          <w:color w:val="auto"/>
        </w:rPr>
        <w:t xml:space="preserve"> in the condensed consolidated statement of operations and comprehensive loss. The balance of the debt issuance costs related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B3D Note was $20 as of June 30, 2020 and is presented as a reduction of the B3D Note balance in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B3D Note is guaranteed on a full, unconditional, joint, and several basis, by the parent Company, XpresSpa Group, Inc., and all wholly owned subsidiaries of XpresSpa Holdings (the “Guarantor Subsidiaries”). Under the terms of a security and guarantee agreement dated July 8, 2019, XpresSpa Group, Inc. (the parent company) and the Guarantor Subsidiaries each fully and unconditionally, jointly and severally, guarantee the payment of interest and principal on the B3D Note. XpresSpa Holdings pledged and granted to B3D a first priority security interest in, among other things, all of its equity interests in XpresSpa Holdings and all of its rights to receive distributions, cash or other property in connection with Holdings. The Company does not present separate consolidating financial statements of XpresSpa Group, Inc., XpresSpa Holdings and the Guarantor Subsidiaries as each entity has guaranteed the B3D Note, so each entity is equally responsible for its payment.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Cash Funding Advance</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 xml:space="preserve">On January 9, 2020, certain wholly-owned subsidiaries (the “CC Borrowers”) of the Company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On June 1, 2020, the CC Borrowers entered into a payoff letter (the “Payoff Letter”) with the CC Lender pursuant to which the CC Agreement was terminated. Under the terms of the Payoff Letter, the Company repaid $733 owed under the CC Agreement as of June 1, 2020 and recognized a gain for early payment of the debt of approximately $91, which is included in </w:t>
      </w:r>
      <w:r>
        <w:rPr>
          <w:rFonts w:ascii="Arial" w:cs="Arial" w:eastAsia="Arial" w:hAnsi="Arial"/>
          <w:sz w:val="16"/>
          <w:szCs w:val="16"/>
          <w:i w:val="1"/>
          <w:iCs w:val="1"/>
          <w:color w:val="auto"/>
        </w:rPr>
        <w:t>Other non-operating expense, net</w:t>
      </w:r>
      <w:r>
        <w:rPr>
          <w:rFonts w:ascii="Arial" w:cs="Arial" w:eastAsia="Arial" w:hAnsi="Arial"/>
          <w:sz w:val="16"/>
          <w:szCs w:val="16"/>
          <w:color w:val="auto"/>
        </w:rPr>
        <w:t xml:space="preserve"> on the Company’s condensed consolidated statement of operations and comprehensive loss for the three months ended June 30, 2020. The CC Lender released all security interests held on the assets of the CC Borrowers, including the CC Borrowers’ existing and future accounts receivables and other rights to payment on June 1, 2020.</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On May 1, 2020, the Company entered into a U.S. Small Business Administration (“SBA”) Paycheck Protection Program (“PPP”) promissory note in the principal amount of $5,653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w:t>
      </w:r>
    </w:p>
    <w:p>
      <w:pPr>
        <w:spacing w:after="0" w:line="2" w:lineRule="exact"/>
        <w:rPr>
          <w:sz w:val="20"/>
          <w:szCs w:val="20"/>
          <w:color w:val="auto"/>
        </w:rPr>
      </w:pPr>
    </w:p>
    <w:p>
      <w:pPr>
        <w:jc w:val="both"/>
        <w:ind w:left="60" w:right="59" w:hanging="10"/>
        <w:spacing w:after="0" w:line="251" w:lineRule="auto"/>
        <w:tabs>
          <w:tab w:leader="none" w:pos="412"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the Company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the Company’s request to the extent that PPP Loan proceeds are used to pay expenses permitted by the PPP. Bank of America may forgive interest accrued on any principal forgiven if the SBA pays the interest. At this time,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Calm 5% Note due May 2022</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July 8, 2019, the Company entered into a securities purchase agreement with Calm.com, Inc. (“Calm”) pursuant to which the Company agreed to sell (i) an aggregate principal amount of $2,500 in an unsecured convertible note (the “Calm Note”), which is convertible into shares of Series E Convertible Preferred Stock at a conversion price of $6.00 per share of Common Stock equivalent (the “Series E Preferred Stock”) and (ii) warrants to purchase 312,500 shares of the Company’s Common Stock at an exercise price of $6.00 per share (the “Calm Warrants”). On March 6, 2020, the exercise price of the Calm Warrants was reduced to $1.68 per share and on March 19, 2020 further reduced to $.0525 per share, after giving effect to certain anti-dilution adjustments. The Calm Note is an unsecured subordinated obligation of the Company. The Calm Note matures on May 31, 2022, and bears interest at a rate of 5% per annum, subject to increase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the event of default. Interest on the Calm Note is payable in arrears and may be paid in cash, shares of Series E Preferred Stock or a combination thereof. The Company recorded derivative liabilities for the conversion feature and the Calm Warrants related to the issuance of the Calm Note on July 8, 2019, resulting in a debt discount of $1,369. During the three and six months ended June 30, 2020, the Company recorded accretion expense of $70 and $187, which is included in </w:t>
      </w: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 the Company’s condensed consolidated statements of operations and comprehensive loss.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capitalized $220 of debt issuance costs related to the issuance of the Calm Note in 2019. During the three and six months ended June 30, 2020, the Company recorded amortization expense of $11 and $30, which is included in </w:t>
      </w: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 the Company’s condensed consolidated statements of operations and comprehensive loss.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April 17, 2020, the Company and Calm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 On April 22, 2020, the Company further amended and restated the Calm Note, which had been transferred from Calm to B3D in a private transaction, in order to (i) reflect the transfer of the Calm Note to B3D and (ii) provide for the conversion of the Calm Note directly into Common Stock instead of into shares of the Company’s Series E Convertible Preferred Stock. Aside from the changes outlined above, the original terms of the Calm Note, including the underlying conversion price and the number of shares of Common Stock that may ultimately be issued in connection with the Calm Note, remain in effect and have not been changed.</w:t>
      </w:r>
    </w:p>
    <w:p>
      <w:pPr>
        <w:spacing w:after="0" w:line="18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During the three months ended June 30, 2020, the holder of the Calm Note elected to convert all $2,500 of principal into shares of Common Stock at a conversion price of $0.525. As a result, approximately $9,200 of derivative liability was settled and reclassified to equity, the Company wrote off $947 of unamortized debt discount and $154 of unamortized debt issuance costs, and 4,761,906 shares of Common Stock were issued. The Company engaged an independent third party to assess the fair value of the conversion option in the Calm Note at each conversion date as well as at the end of each reporting period, resulting in a revaluation loss related to the derivative liability of $8,650 and $8,984 during the three and six months ended June 30, 2020, respectively, which is included in </w:t>
      </w:r>
      <w:r>
        <w:rPr>
          <w:rFonts w:ascii="Arial" w:cs="Arial" w:eastAsia="Arial" w:hAnsi="Arial"/>
          <w:sz w:val="16"/>
          <w:szCs w:val="16"/>
          <w:i w:val="1"/>
          <w:iCs w:val="1"/>
          <w:color w:val="auto"/>
        </w:rPr>
        <w:t>Loss on revaluation of warrants and conversion options</w:t>
      </w:r>
      <w:r>
        <w:rPr>
          <w:rFonts w:ascii="Arial" w:cs="Arial" w:eastAsia="Arial" w:hAnsi="Arial"/>
          <w:sz w:val="16"/>
          <w:szCs w:val="16"/>
          <w:color w:val="auto"/>
        </w:rPr>
        <w:t xml:space="preserve"> in the condensed consolidated statement of operations and comprehensive loss.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revaluation of warrants and conversion options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 xml:space="preserve">The Company engaged third-party valuation experts to provide the fair value of certain components of the debt, equity and derivative securities transactions as of each of the conversion, exercise and exchange dates during the six months ended June 30, 2020. </w:t>
      </w:r>
      <w:r>
        <w:rPr>
          <w:rFonts w:ascii="Arial" w:cs="Arial" w:eastAsia="Arial" w:hAnsi="Arial"/>
          <w:sz w:val="16"/>
          <w:szCs w:val="16"/>
          <w:i w:val="1"/>
          <w:iCs w:val="1"/>
          <w:color w:val="auto"/>
        </w:rPr>
        <w:t>Loss on revaluation of warrants and conversion options</w:t>
      </w:r>
      <w:r>
        <w:rPr>
          <w:rFonts w:ascii="Arial" w:cs="Arial" w:eastAsia="Arial" w:hAnsi="Arial"/>
          <w:sz w:val="16"/>
          <w:szCs w:val="16"/>
          <w:color w:val="auto"/>
        </w:rPr>
        <w:t xml:space="preserve"> is comprised of adjustments to the fair value of the derivative conversion option of the debt instruments and the fair value of the warrants, including $13,859, $8,650, $15,739 and $10,050 during the three months ended June 30, 2020 and $14,511, $8,984, $15,480 and $14,692 during the six months ended June 30, 2020 related to the B3D Note, the Calm Note, the Calm Warrants and the Class A Warrants,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May 2018 Convertible Notes</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Company recorded $817 and $54 in accretion of debt discount and amortization of debt issuance costs during the six months ended June 30, 2019, respectively, related to its May 2018 convertible notes which were settled in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Derivative Liabilities and Fair Value Measurements</w:t>
      </w:r>
      <w:r>
        <w:rPr>
          <w:rFonts w:ascii="Arial" w:cs="Arial" w:eastAsia="Arial" w:hAnsi="Arial"/>
          <w:sz w:val="18"/>
          <w:szCs w:val="18"/>
          <w:color w:val="auto"/>
        </w:rPr>
        <w:t xml:space="preserve"> for discussion of financing transactions that occurred during the six months ended June 30,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represents the activity related to the Company’s warrants during the six months ended June 30, 2020.</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61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No. of Warrants*</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price range*</w:t>
            </w: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6.00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300.00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22,472,469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w w:val="91"/>
              </w:rPr>
              <w:t>0.03</w:t>
            </w:r>
          </w:p>
        </w:tc>
        <w:tc>
          <w:tcPr>
            <w:tcW w:w="780" w:type="dxa"/>
            <w:vAlign w:val="bottom"/>
          </w:tcPr>
          <w:p>
            <w:pPr>
              <w:ind w:left="20"/>
              <w:spacing w:after="0"/>
              <w:rPr>
                <w:sz w:val="20"/>
                <w:szCs w:val="20"/>
                <w:color w:val="auto"/>
              </w:rPr>
            </w:pPr>
            <w:r>
              <w:rPr>
                <w:rFonts w:ascii="Arial" w:cs="Arial" w:eastAsia="Arial" w:hAnsi="Arial"/>
                <w:sz w:val="18"/>
                <w:szCs w:val="18"/>
                <w:color w:val="auto"/>
                <w:w w:val="92"/>
              </w:rPr>
              <w:t>– 6.56625</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0.03</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0.525</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Exchanged</w:t>
            </w:r>
          </w:p>
        </w:tc>
        <w:tc>
          <w:tcPr>
            <w:tcW w:w="1360" w:type="dxa"/>
            <w:vAlign w:val="bottom"/>
          </w:tcPr>
          <w:p>
            <w:pPr>
              <w:jc w:val="right"/>
              <w:spacing w:after="0"/>
              <w:rPr>
                <w:sz w:val="20"/>
                <w:szCs w:val="20"/>
                <w:color w:val="auto"/>
              </w:rPr>
            </w:pPr>
            <w:r>
              <w:rPr>
                <w:rFonts w:ascii="Arial" w:cs="Arial" w:eastAsia="Arial" w:hAnsi="Arial"/>
                <w:sz w:val="18"/>
                <w:szCs w:val="18"/>
                <w:color w:val="auto"/>
              </w:rPr>
              <w:t>(3,317,054)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0.525</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180.00</w:t>
            </w:r>
          </w:p>
        </w:tc>
      </w:tr>
      <w:tr>
        <w:trPr>
          <w:trHeight w:val="209"/>
        </w:trPr>
        <w:tc>
          <w:tcPr>
            <w:tcW w:w="6140" w:type="dxa"/>
            <w:vAlign w:val="bottom"/>
          </w:tcPr>
          <w:p>
            <w:pPr>
              <w:spacing w:after="0"/>
              <w:rPr>
                <w:sz w:val="20"/>
                <w:szCs w:val="20"/>
                <w:color w:val="auto"/>
              </w:rPr>
            </w:pPr>
            <w:r>
              <w:rPr>
                <w:rFonts w:ascii="Arial" w:cs="Arial" w:eastAsia="Arial" w:hAnsi="Arial"/>
                <w:sz w:val="18"/>
                <w:szCs w:val="18"/>
                <w:color w:val="auto"/>
              </w:rPr>
              <w:t>June 30,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8,482,380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spacing w:after="0"/>
              <w:rPr>
                <w:sz w:val="20"/>
                <w:szCs w:val="20"/>
                <w:color w:val="auto"/>
              </w:rPr>
            </w:pPr>
            <w:r>
              <w:rPr>
                <w:rFonts w:ascii="Arial" w:cs="Arial" w:eastAsia="Arial" w:hAnsi="Arial"/>
                <w:sz w:val="18"/>
                <w:szCs w:val="18"/>
                <w:color w:val="auto"/>
                <w:w w:val="91"/>
              </w:rPr>
              <w:t>0.525 – 300.00</w:t>
            </w:r>
          </w:p>
        </w:tc>
      </w:tr>
      <w:tr>
        <w:trPr>
          <w:trHeight w:val="20"/>
        </w:trPr>
        <w:tc>
          <w:tcPr>
            <w:tcW w:w="6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*Adjusted to reflect the impact of the 1:3 reverse stock split that became effective on June 11, 2020.</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Exchanges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March 19, 2020, the Company entered into separate Warrant Exchange Agreements (the “March Exchange Agreements”) with the holders of certain existing warrants (the “March Exchanged Warrants”) to exchange warrants for shares of the Company’s Common Stock, subject to receipt of the approval of the Company’s stockholders, which was obtained on May 28, 2020. The March Exchanged Warrants were originally issued (i) pursuant to a securities purchase agreement dated May 15, 2018, and (ii) in connection with the Agreement and Plan of Merger by and among the Company, FHXMS, LLC, XpresSpa Holdings, LLC and Mistral XH Representative, LLC dated October 25, 2016, as subsequently amended. The holders of March Exchanged Warrants exchanged each of the March Exchanged Warrants for 1.5 shares of the Company’s Common Stock. During the three months ended June 30, 2020, pursuant to the March Exchange Agreements, the holders exchanged 1,942,131 of the March Exchanged Warrants for an aggregate of 2,913,197 shares of the Company’s Common Stock, which had an aggregate fair value of $6,434. On June 4, 2020, the Company entered into a Warrant Exchange Agreement (the “June Exchange Agreement”) with the holder of certain existing warrants (the “June Exchanged Warrants”) to exchange the June Exchanged Warrants for shares of Common Stock. Pursuant to the June Exchange Agreement, on the closing date the holder exchanged 1,374,750 of the June Exchanged Warrants for an aggregate of 2,062,126 shares of Common Stock which had an aggregate fair value of $11,755.</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Registered Direct Common Stock Offerings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sold a total of 6,511,280 shares of Common Stock and 1,900,625 of pre-funded warrants and received total proceeds of $4,209, net of financial advisory and consulting fees of $626, in connection with three registered direct offerings in March 2020. During the six months ended June 30, 2020, 1,900,625 pre-funded warrants were exercised for total proceeds of approximately $57. On April 6, 2020, the Company entered into a securities purchase agreement with certain purchasers, pursuant to which it issued and sold, in a registered direct offering (i) 4,139,393 shares of Common Stock at an offering price of $0.66 per share and (ii) an aggregate of 481,818 pre-funded warrants exercisable for shares of Common Stock at an offering price of $0.63 per pre-funded warrant. The Company received proceeds of approximately $2,806, net of approximately $244 in financial advisory consultant fees. Each pre-funded warrant represented the right to purchase one share of Common Stock at an exercise price of $0.03 per share and was exercised in April 2020. The Company received net proceeds of $14 from the sale of the pre-funded warrants.</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June 17, 2020, the Company entered into a securities purchase agreement pursuant to which the Company agreed to issue and sell 7,614,700 shares of the Company’s Common Stock at an offering price of $5.253 per share (the “Registered Offering”). In a concurrent private placement (the “Private Placement” and together with the Registered Offering, the “Offerings”), the Company agreed to issue to the purchasers who participated in the Registered Offering warrants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“Warrants”) exercisable for an aggregate of 7,614,700 shares of Common Stock at an exercise price of $5.25 per share. Each Warrant will be immediately exercisable and will expire 21 months from the issuance date. The Warrants and the shares of Common Stock issuable upon the exercise of the Warrants are now registered under the Securities Act of 1933, as amended (the “Securities Act”), were not offered pursuant to a registration statement and were offered pursuant to the exemption provided in Section 4(a)(2) under the Securities Act, and Rule 506(b) promulgated thereunder. The Offerings closed on June 19, 2020 with the Company receiving gross proceeds of approximately $40,000 before deducting placement agent fees and related offering expenses of approximately $4,409.</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connection with the Registered Offering, warrants to purchase 133,258 shares of our Common Stock were issued to Palladium Capital Advisors, LLC (“Palladium”) (the “Palladium Warrants”) at an exercise price equal to $5.25 per share and warrants to purchase 609,176 shares of our Common Stock were issued to H.C. Wainwright &amp; Co., LLC (the “H.C.W. Warrants”) at an exercise price equal to $6.56625 per share pursuant to the respective placement agent agreements.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June 30, 2020, the Company had outstanding 124,423 of the December 2016 Warrants at an exercise price of $0.525.</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E Convertible Preferred Stock</w:t>
      </w:r>
    </w:p>
    <w:p>
      <w:pPr>
        <w:spacing w:after="0" w:line="225" w:lineRule="exact"/>
        <w:rPr>
          <w:sz w:val="20"/>
          <w:szCs w:val="20"/>
          <w:color w:val="auto"/>
        </w:rPr>
      </w:pPr>
    </w:p>
    <w:p>
      <w:pPr>
        <w:jc w:val="both"/>
        <w:ind w:left="100" w:right="79" w:hanging="44"/>
        <w:spacing w:after="0" w:line="277" w:lineRule="auto"/>
        <w:rPr>
          <w:sz w:val="20"/>
          <w:szCs w:val="20"/>
          <w:color w:val="auto"/>
        </w:rPr>
      </w:pPr>
      <w:r>
        <w:rPr>
          <w:rFonts w:ascii="Arial" w:cs="Arial" w:eastAsia="Arial" w:hAnsi="Arial"/>
          <w:sz w:val="18"/>
          <w:szCs w:val="18"/>
          <w:color w:val="auto"/>
        </w:rPr>
        <w:t>On March 31, 2020, the Company had outstanding 987,988 shares of Series E Preferred Stock. All outstanding shares were converted into 510,460 shares of Common Stock in the second quarter of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F Convertible Preferred Stock</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Series F Preferred Stock has a par value of $0.01 per share, a stated value of $100 per share, and was initially convertible into Common Stock at an exercise price of $6.00 per share. On March 6, 2020, the exercise price was reduced from $6.00 to $1.68 and on March 19, 2020 was reduced again to $0.525 after giving effect to certain anti-dilution adjustments. When a reporting entity changes the terms of its outstanding preferred stock, it must assess whether the changes should be accounted for as either a modification or an extinguishment. The Company engaged an independent third party to perform an appraisal to determine the fair value of the Series F Preferred Stock before and after the reduction of the exercise price. The results of the fair value assessment indicated that the fair values before and after the reduction of the exercise price was not substantially different (in practice, substantially different has been interpreted to be greater than 10%). Therefore, the Company did not record an adjustment to the Series F Preferred Stock in 2020.</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March 31, 2020, the Company had outstanding 1,531 shares of Series F Convertible Preferred Stock. These shares were converted into 291,619 shares of Common Stock in the second quarter of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Company has a stock-based compensation plan available to grant stock options and RSUs to the Company’s directors, employees and consultants. Under the 2012 Employee, Director and Consultant Equity Incentive Plan, as amended (the “Plan”), a maximum of 840,000 shares of Common Stock may be awarded.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Awards granted under the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February 2019, the Company granted a total of 10,833 stock options to members of its Board of Directors and 25,000 stock options to the Company’s newly elected Chief Executive Officer at an exercise price of $12.60 per share. The Board of Directors options vest over a period of one year and the Chief Executive Officer’s options vest over a period of four years. The Company also granted 12,500 restricted shares of Common Stock to its newly elected Chief Executive Officer. The restricted shares vested in full on February 10, 2020.</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January 2020, the Company issued 20,000 restricted stock units (the “RSU’s) to two consulants. The RSU’s vest upon satisfaction of certain performance targets. As of June 30, 2020, all of the RSU’s have vested.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April 2020, the Company granted a total of 625,009 stock options to members of its Board of Directors and certain employees. The options were 25% immediately vested and 25% vest on last day of each of the subsequent calendar quarters. The exercise price is $1.53 per share.</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9"/>
        </w:trPr>
        <w:tc>
          <w:tcPr>
            <w:tcW w:w="59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2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w:t>
            </w:r>
          </w:p>
        </w:tc>
        <w:tc>
          <w:tcPr>
            <w:tcW w:w="420" w:type="dxa"/>
            <w:vAlign w:val="bottom"/>
          </w:tcPr>
          <w:p>
            <w:pPr>
              <w:ind w:left="40"/>
              <w:spacing w:after="0"/>
              <w:rPr>
                <w:sz w:val="20"/>
                <w:szCs w:val="20"/>
                <w:color w:val="auto"/>
              </w:rPr>
            </w:pPr>
            <w:r>
              <w:rPr>
                <w:rFonts w:ascii="Arial" w:cs="Arial" w:eastAsia="Arial" w:hAnsi="Arial"/>
                <w:sz w:val="18"/>
                <w:szCs w:val="18"/>
                <w:color w:val="auto"/>
                <w:w w:val="81"/>
              </w:rPr>
              <w:t>years</w:t>
            </w:r>
          </w:p>
        </w:tc>
      </w:tr>
    </w:tbl>
    <w:p>
      <w:pPr>
        <w:spacing w:after="0" w:line="200" w:lineRule="exact"/>
        <w:rPr>
          <w:sz w:val="20"/>
          <w:szCs w:val="20"/>
          <w:color w:val="auto"/>
        </w:rPr>
      </w:pPr>
    </w:p>
    <w:p>
      <w:pPr>
        <w:spacing w:after="0" w:line="20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Total stock-based compensation for the three month periods ended June 30, 2020 and 2019 is $424 and $127, respectively, and for the six month periods ended June 30, 2020 and 2019 is $496 and $231,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gridSpan w:val="5"/>
          </w:tcPr>
          <w:p>
            <w:pPr>
              <w:spacing w:after="0"/>
              <w:rPr>
                <w:sz w:val="20"/>
                <w:szCs w:val="20"/>
                <w:color w:val="auto"/>
              </w:rPr>
            </w:pPr>
            <w:r>
              <w:rPr>
                <w:rFonts w:ascii="Arial" w:cs="Arial" w:eastAsia="Arial" w:hAnsi="Arial"/>
                <w:sz w:val="18"/>
                <w:szCs w:val="18"/>
                <w:b w:val="1"/>
                <w:bCs w:val="1"/>
                <w:color w:val="auto"/>
              </w:rPr>
              <w:t>RSUs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4"/>
          </w:tcPr>
          <w:p>
            <w:pPr>
              <w:ind w:left="22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No.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grant date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No. of</w:t>
            </w:r>
          </w:p>
        </w:tc>
        <w:tc>
          <w:tcPr>
            <w:tcW w:w="1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RSUs*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price*</w:t>
            </w:r>
          </w:p>
        </w:tc>
        <w:tc>
          <w:tcPr>
            <w:tcW w:w="120" w:type="dxa"/>
            <w:vAlign w:val="bottom"/>
          </w:tcPr>
          <w:p>
            <w:pPr>
              <w:spacing w:after="0"/>
              <w:rPr>
                <w:sz w:val="20"/>
                <w:szCs w:val="20"/>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range*</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66.00 – 2,460.00</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625,009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1.53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Forfeited/Expired</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496.92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93.00 - 2,460.00</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1.53 - 2,460.00</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20"/>
              <w:spacing w:after="0"/>
              <w:rPr>
                <w:sz w:val="20"/>
                <w:szCs w:val="20"/>
                <w:color w:val="auto"/>
              </w:rPr>
            </w:pPr>
            <w:r>
              <w:rPr>
                <w:rFonts w:ascii="Arial" w:cs="Arial" w:eastAsia="Arial" w:hAnsi="Arial"/>
                <w:sz w:val="18"/>
                <w:szCs w:val="18"/>
                <w:color w:val="auto"/>
              </w:rPr>
              <w:t>Exercisable as of June 30, 2020</w:t>
            </w: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338,546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1.53 - 2,460.00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hanging="310"/>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where applicable, to reflect the impact of the 1:3 reverse stock split that became effective on June 11, 2020.</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June 10, 2020, the Company filed a certificate of amendment to its amended and restated certificate of incorporation with the Secretary of State of the State of Delaware to effect a 1-for-3 reverse stock split of the Company’s shares of Common Stock. Such amendment and ratio were previously approved by the Company’s stockholders and Board of Directors.</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a result of the reverse stock split, every three (3) shares of the Company’s pre-reverse split Common Stock were combined and reclassified into one (1) share of Common Stock. A total of 146,577,707 pre-reverse split shares of Common Stock were combined and reclassified into 48,859,213 shares of Common Stock post-reverse stock split.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 The reverse stock split became effective at 5:00 p.m., Eastern Time, on June 10, 2020, and the Company’s Common Stock traded on the Nasdaq Capital Market on a post-reverse split basis at the open of business on June 11, 2020.</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Derivative Liabilities and Fair Value Measurements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Company’s financial instruments as of June 30, 2020 and December 31, 2019 consisted of cash and cash equivalents, trade receivables, accounts payable, accrued expenses and other current liabilities. The carrying amounts of all the aforementioned financial instruments approximate fair value because of the short-term nature of these instruments.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the Company’s derivative liabilities measured at fair value on a recurring basis as of June 30, 2020 and December 31, 2019:</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Quoted prices in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active markets</w:t>
            </w:r>
          </w:p>
        </w:tc>
        <w:tc>
          <w:tcPr>
            <w:tcW w:w="2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Significant</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for identical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observable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unobservable</w:t>
            </w: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As of June 30, 2020:</w:t>
            </w:r>
          </w:p>
        </w:tc>
        <w:tc>
          <w:tcPr>
            <w:tcW w:w="1460" w:type="dxa"/>
            <w:vAlign w:val="bottom"/>
            <w:gridSpan w:val="3"/>
          </w:tcPr>
          <w:p>
            <w:pPr>
              <w:ind w:left="840"/>
              <w:spacing w:after="0"/>
              <w:rPr>
                <w:sz w:val="20"/>
                <w:szCs w:val="20"/>
                <w:color w:val="auto"/>
              </w:rPr>
            </w:pPr>
            <w:r>
              <w:rPr>
                <w:rFonts w:ascii="Arial" w:cs="Arial" w:eastAsia="Arial" w:hAnsi="Arial"/>
                <w:sz w:val="18"/>
                <w:szCs w:val="18"/>
                <w:b w:val="1"/>
                <w:bCs w:val="1"/>
                <w:color w:val="auto"/>
                <w:w w:val="86"/>
              </w:rPr>
              <w:t>Balance</w:t>
            </w:r>
          </w:p>
        </w:tc>
        <w:tc>
          <w:tcPr>
            <w:tcW w:w="1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assets (Level 1)</w:t>
            </w:r>
          </w:p>
        </w:tc>
        <w:tc>
          <w:tcPr>
            <w:tcW w:w="20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1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inputs (Level 3)</w:t>
            </w: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B3D Conversion Option</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6,359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r>
      <w:tr>
        <w:trPr>
          <w:trHeight w:val="250"/>
        </w:trPr>
        <w:tc>
          <w:tcPr>
            <w:tcW w:w="2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6,359</w:t>
            </w: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6,359</w:t>
            </w: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2019:</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2018 Class A Warrants</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2960" w:type="dxa"/>
            <w:vAlign w:val="bottom"/>
          </w:tcPr>
          <w:p>
            <w:pPr>
              <w:ind w:left="100"/>
              <w:spacing w:after="0"/>
              <w:rPr>
                <w:sz w:val="20"/>
                <w:szCs w:val="20"/>
                <w:color w:val="auto"/>
              </w:rPr>
            </w:pPr>
            <w:r>
              <w:rPr>
                <w:rFonts w:ascii="Arial" w:cs="Arial" w:eastAsia="Arial" w:hAnsi="Arial"/>
                <w:sz w:val="18"/>
                <w:szCs w:val="18"/>
                <w:color w:val="auto"/>
              </w:rPr>
              <w:t>Calm Warrants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Calm Conversion Option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B3D Conversion Option</w:t>
            </w: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3,137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measures its derivative liabilities at fair value. The derivative liabilities were classified within Level 3 because they were valued using the Monte-Carlo model, which utilizes significant inputs that are unobservable in the market. The Company assumed an investment round in years 2020 and 2021 to take into account the possible impact of the anti-dilution rights included in its derivative liabilities.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These derivative liabilities were initially measured at fair value and are marked to market at each balance sheet date. The revaluation adjustment of the derivative liabilities is included in </w:t>
      </w:r>
      <w:r>
        <w:rPr>
          <w:rFonts w:ascii="Arial" w:cs="Arial" w:eastAsia="Arial" w:hAnsi="Arial"/>
          <w:sz w:val="18"/>
          <w:szCs w:val="18"/>
          <w:i w:val="1"/>
          <w:iCs w:val="1"/>
          <w:color w:val="auto"/>
        </w:rPr>
        <w:t>“Loss on revaluation of warrants and conversion options”</w:t>
      </w:r>
      <w:r>
        <w:rPr>
          <w:rFonts w:ascii="Arial" w:cs="Arial" w:eastAsia="Arial" w:hAnsi="Arial"/>
          <w:sz w:val="18"/>
          <w:szCs w:val="18"/>
          <w:color w:val="auto"/>
        </w:rPr>
        <w:t xml:space="preserve"> in the condensed consolidated statements of operations and comprehensive loss.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changes in the Company’s derivative liabilities measured at fair value using significant unobservable inputs (Level 3) during the six months ended June 30, 2020:</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Increase due to B3D Note Fifth Credit Agreement Amendment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the extinguishment of B3D Note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Increase due to B3D Note Sixth Credit Agreement Amendment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3,656</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derivative conversion options and warrants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53,667</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Conversions of B3D Note to Common Stock</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(11,555)</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Conversions of Calm Note to Common Stock</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Exercise of Series A Warrants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(9,037)</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Exercise of Calm Warrants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Warrant Exchange - Series A</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(6,434)</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Warrant Exchange - Calm Warrants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w:t>
            </w: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June 30, 2020</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w:t>
            </w: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May 2018 Warrants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three months ended March 31, 2020, holders of the May 2018 Warrants exercised, on a cashless basis, 4,173,948 warrants for 2,578,455 shares of common stock. As a result, of the exercise, the Company reclassified the derivative liability of $3,122 to equity.</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During the three month period ended June 30, 2020, the holders of the May 2018 Warrants exchanged 1,590,525 warrants for 2,385,528 shares of common stock. In addition, during the three months ended June 30, 2020, holders of the May 2018 Warrants exercised, on a cashless basis, 2,983,164 warrants for 2,382,835 shares of common stock. As a result of the exercises and exchange the Company reclassified the derivative liability of $12,349 to equity.</w:t>
      </w:r>
    </w:p>
    <w:p>
      <w:pPr>
        <w:spacing w:after="0" w:line="17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During the three and six month periods ended June 30, 2020, the Company recorded a revaluation expense of $10,050 and $14,692, respectively, related to the revaluation of the May 2018 Warrants at each exercise date and reporting date.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Processes for Level 3 Fair Value Measurements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technique</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Unobservable inputs</w:t>
            </w:r>
          </w:p>
        </w:tc>
        <w:tc>
          <w:tcPr>
            <w:tcW w:w="1360" w:type="dxa"/>
            <w:vAlign w:val="bottom"/>
            <w:gridSpan w:val="3"/>
          </w:tcPr>
          <w:p>
            <w:pPr>
              <w:ind w:left="300"/>
              <w:spacing w:after="0"/>
              <w:rPr>
                <w:sz w:val="20"/>
                <w:szCs w:val="20"/>
                <w:color w:val="auto"/>
              </w:rPr>
            </w:pPr>
            <w:r>
              <w:rPr>
                <w:rFonts w:ascii="Arial" w:cs="Arial" w:eastAsia="Arial" w:hAnsi="Arial"/>
                <w:sz w:val="18"/>
                <w:szCs w:val="18"/>
                <w:b w:val="1"/>
                <w:bCs w:val="1"/>
                <w:color w:val="auto"/>
              </w:rPr>
              <w:t>Range</w:t>
            </w:r>
          </w:p>
        </w:tc>
      </w:tr>
      <w:tr>
        <w:trPr>
          <w:trHeight w:val="210"/>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B3D Conversion option</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Monte Carlo Method</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0.14 %</w:t>
            </w:r>
          </w:p>
        </w:tc>
        <w:tc>
          <w:tcPr>
            <w:tcW w:w="2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0.00 %</w:t>
            </w:r>
          </w:p>
        </w:tc>
        <w:tc>
          <w:tcPr>
            <w:tcW w:w="20" w:type="dxa"/>
            <w:vAlign w:val="bottom"/>
          </w:tcPr>
          <w:p>
            <w:pPr>
              <w:spacing w:after="0"/>
              <w:rPr>
                <w:sz w:val="20"/>
                <w:szCs w:val="20"/>
                <w:color w:val="auto"/>
              </w:rPr>
            </w:pPr>
          </w:p>
        </w:tc>
      </w:tr>
      <w:tr>
        <w:trPr>
          <w:trHeight w:val="850"/>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79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8"/>
                <w:szCs w:val="18"/>
                <w:b w:val="1"/>
                <w:bCs w:val="1"/>
                <w:color w:val="auto"/>
                <w:w w:val="90"/>
              </w:rPr>
              <w:t>Valuation technique</w:t>
            </w:r>
          </w:p>
        </w:tc>
        <w:tc>
          <w:tcPr>
            <w:tcW w:w="20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Unobservable inputs</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Range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2018 Class A Warrants</w:t>
            </w: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 Carlo Model</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Dividend yield</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Calm Warrants</w:t>
            </w: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Monte Carlo Model</w:t>
            </w: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Volatility</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66.90 %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Expected term, in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Calm Conversion option</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Monte Carlo Model</w:t>
            </w: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Volatility</w:t>
            </w: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66.90 %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Dividend yield</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B3D Conversion option</w:t>
            </w: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Monte Carlo Model</w:t>
            </w: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Volatility</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65.70 %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Expected term, in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Sensitivity of Level 3 Measurements to Changes in Significant Unobservable Inputs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inputs to estimate the fair value of the Company’s derivative liabilities were the current market price of the Company’s Common Stock, the exercise price of the derivative of the conversion options and the warrants,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57"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their estimated fair values. Such changes would increase the associated liabilities while decreases in these assumptions would decrease the associated liabilities. An increase in the risk-free interest rate or a decrease in the differential between the derivative liabilities’ exercise price and the market price of the Company’s shares of Common Stock would result in a decrease in the estimated fair value measurement and thus a decrease in the associated liability. The Company has not declared, and does not plan to declare, dividends on its Common Stock, and as such, there is no change in the estimated fair value of the derivative liabilities due to the dividend assumption.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The income tax provision for the six-month period ended June 30, 2020 reflects a de minimus estimated global annual effective tax rate.</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As of June 30, 2020,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Net operating losses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generated for tax years beginning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had de minimus income tax expense for the six-month period ended June 30, 2020. This was attributable primarily to operating results in conjunction with a full valuation allowance. The final annual tax rate cannot be determined until the end of the fiscal year; therefore, the actual tax rate could differ from current estimates. The Company does not expect to record any additional material provisions for unrecognized tax benefits in the next year.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$1,286 and $1,800 as of June 30, 2020 and December 31, 2019, respectively, which is included in </w:t>
      </w:r>
      <w:r>
        <w:rPr>
          <w:rFonts w:ascii="Arial" w:cs="Arial" w:eastAsia="Arial" w:hAnsi="Arial"/>
          <w:sz w:val="18"/>
          <w:szCs w:val="18"/>
          <w:i w:val="1"/>
          <w:iCs w:val="1"/>
          <w:color w:val="auto"/>
        </w:rPr>
        <w:t>“Accounts payable, accrued expenses and other current liabilities”</w:t>
      </w:r>
      <w:r>
        <w:rPr>
          <w:rFonts w:ascii="Arial" w:cs="Arial" w:eastAsia="Arial" w:hAnsi="Arial"/>
          <w:sz w:val="18"/>
          <w:szCs w:val="18"/>
          <w:color w:val="auto"/>
        </w:rPr>
        <w:t xml:space="preserve"> in the condensed consolidated balance sheets.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on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and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 on the appeal went forward on March 20, 2019. The appellate court entered an order on April 11, 2019 reinstating the Company’s complaint, with some exceptions. On June 13, 2019, Cordial filed a motion to reargue and alternatively to appeal to the New York Court of Appeals, and the appellate court denied that motion on October 22, 2019.</w:t>
      </w:r>
    </w:p>
    <w:p>
      <w:pPr>
        <w:spacing w:after="0" w:line="18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4, 2018, the defendants moved the lawsuit to the United States District Court for the Northern District of Georgia.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spacing w:after="0" w:line="18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the Company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6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16, 2019, the Court entered an Order granting, in part, the Company’s Motion to Dismiss. The Court dismissed all federal claims alleged in the Complaint against all Defendants, declined to exercise supplemental jurisdiction pursuant to 28 U.S.C. § 1367(c) over the remaining state law claims alleged in the Complaint, and remanded the case to the Superior Court of Fulton County. Plaintiffs filed an appeal of the federal court’s decision to the Eleventh Circuit Court of Appeals, and the case was docketed on October 15, 2019 (“Eleventh Circuit Appeal”).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response to the numerous complaints it received from Cordial, the City of Atlanta required the parties to engage in mediation. On November 22, 2019, a Mutual Release and Settlement Agreement (the "Settlement Agreement") and a Confidential Payment Agreement (the “Payment Agreement”) were executed by the applicable parties, except the City of Atlanta, and are pending the requisite approval by the FAA of the terms of the Settlement Agreement. The requisite approval from the FAA has been obtained and the Leases have been executed by the Company. However, the condition precedent that an operating agreement between the Company and Cordial is finalized and executed has not yet been satisfied. The Company has been involved in negotiations seeking to resolve all pending matters, and those negotiations are continuing. Based on this, management has determined that the matter may not be completely resolved, at least to the extent of one or more of the settling parties seeking to enforce the terms of the Settlement Agreement, and thus resulting in a continuation of the litigation.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Notice was sent out in early February 2020 and approximately 415 individuals have joined the case. On June 6, 2020 the Company participated in a status conference with the Court, and the parties discussed the possibility of entering into a new settlement agreement that addresses the Court’s concerns. On or about August 5, 2020, the parties entered into settlement agreements and are seeking a preliminary approval order from the Court. The Company has recorded an expense that is included in </w:t>
      </w:r>
      <w:r>
        <w:rPr>
          <w:rFonts w:ascii="Arial" w:cs="Arial" w:eastAsia="Arial" w:hAnsi="Arial"/>
          <w:sz w:val="17"/>
          <w:szCs w:val="17"/>
          <w:i w:val="1"/>
          <w:iCs w:val="1"/>
          <w:color w:val="auto"/>
        </w:rPr>
        <w:t>Accounts payable,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accrued expenses and other current liabilities. </w:t>
      </w:r>
      <w:r>
        <w:rPr>
          <w:rFonts w:ascii="Arial" w:cs="Arial" w:eastAsia="Arial" w:hAnsi="Arial"/>
          <w:sz w:val="17"/>
          <w:szCs w:val="17"/>
          <w:color w:val="auto"/>
        </w:rPr>
        <w:t>The Company intends to continue to vigorously defend this case until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final judgment and dismissal is obtained.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Binn et al. v. FORM Holdings Corp. et al.</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w:t>
      </w:r>
    </w:p>
    <w:p>
      <w:pPr>
        <w:spacing w:after="0" w:line="17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judgment motion and plaintiff’s cross-motion for partial summary judgment were fully briefed as of March 15, 2019. 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May 21, 2019, the Court granted the defendant’s motion for summary judgment in full, dismissing all claims in the action. On July 3, 2019, the plaintiffs filed a notice of appeal in the United States Court of Appeals for the second circuit.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 On September 13, 2019, plaintiffs filed their appellate brief in the Second Circuit. As of December 13, 2019, plaintiffs’ appeal was fully briefed. Oral argument occurred on May 4, 2020, at which time the Second Circuit affirmed the dismissal of all claims against all defendants.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8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has moved to request permission to file a late reply brief. The Company and its directors continue to believe that this action is without merit and intend to defend the appeal.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Binn, et al. v. Bernstein et al.</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 xml:space="preserve">On June 3, 2019, a third suit was commenced in the United States District Court for the Southern District of New York against FORM, five of its directors, as well as Rockmore, the Company’s previous senior secured lender and a senior executive of the lender. Although this action is brought by Morton Binn and Marisol F, LLC, it is asserted derivatively on behalf of the Company. Plaintiffs assert eight causes of action, including that certain individual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and the valuation of the Company’s lease portfolio. Plaintiffs also assert common law claims for breach of fiduciary duty, corporate waste, unjust enrichment, faithless servant doctrine, and aiding and abetting certain of the directors’ alleged breaches of fiduciary duty. The Company and its directors believe that this action is without merit and intend to file a motion to dismiss and defend the action vigorously.</w:t>
      </w:r>
    </w:p>
    <w:p>
      <w:pPr>
        <w:spacing w:after="0" w:line="16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defendants filed a motion to dismiss on October 23, 2019. The court heard oral argument on the defendants’ motion to dismiss on January 22, 2020 and has not yet ruled on the motion. On August 6, 2020, the court dismissed all of the plaintiff’s claims with prejudice.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or about May 23, 2018, Route1 Inc., Route1 Security Corporation (together, “Route1”) and Group Mobile Int’l, LLC (“Group Mobile”) commenced a legal proceeding against the Company in the Ontario Superior Court of Justice.</w:t>
      </w:r>
    </w:p>
    <w:p>
      <w:pPr>
        <w:spacing w:after="0" w:line="14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Route1 and Group Mobile seek damages in relation to alleged breaches of a Membership Purchase Agreement entered into between Route1 and the Company on or about March 7, 2018, pursuant to which Route1 acquired the Company’s 100% membership interest in Group Mobile. The Plaintiffs allege that the Company: (i) failed to ensure all tax returns were true, correct and compliant in all respects and that all taxes had been paid in full; (ii) failed to ensure that all inventory of Group Mobile had been priced in accordance with GAAP and consisted of a quality and quantity that was materially usable and salable in the ordinary course of business; (iii) failed to ensure that Group Mobile’s most recent balance sheet was materially complete and correct and prepared in accordance with GAAP; (iv) failed to record all liabilities on Group Mobile’s most recent balance sheet; and (v) failed to deliver the agreed upon amount of net working capital, and/or pay the shortfall, to Route1.</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counterclaimed against the plaintiffs for amounts owed to the Company in relation to the sale of excluded inventory and seek damages thereon.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and Route1 are actively involved in settlement negotiations on a without-prejudice basis to resolve the matters.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Rodger Jenkins and Gregory Jones v. XpresSpa Group, Inc.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denied the material allegations of the complaint in its answer and is currently defending the action. Efforts to settle the parties’ dispute at a court-ordered mediation in March 2020 were not successful. The action was scheduled for a bench trial on May 18, 2020 but was adjourned due to the COVID-19 pandemic, and the judge ordered the parties to submit motions for summary judgment instead. Although we remain confident in the Company’s defenses, some of the rulings by the trial judge in this action have not been favorable to the Company. Accordingly, although we are unable to predict the outcome of this litigation, we cannot rule out the possibility of a judgment being entered against the Company in the absence of a settlement.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EFP Capital Solutions LLC Settlement</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In March 2019, a complaint was filed against the Company by EFP Capital Solutions LLC (“EFP”), the receivables factor of the Company’s vendor MobiPT, Inc. (“MobiPT”), relating to payments made incorrectly by the Company to MobiPT for receivables MobiPT had sold to EFP. The ensuing mediation in January 2020 resulted in the Company agreeing to pay EFP $165 for such payments, for which the Company recorded an expense that is included in </w:t>
      </w:r>
      <w:r>
        <w:rPr>
          <w:rFonts w:ascii="Arial" w:cs="Arial" w:eastAsia="Arial" w:hAnsi="Arial"/>
          <w:sz w:val="18"/>
          <w:szCs w:val="18"/>
          <w:i w:val="1"/>
          <w:iCs w:val="1"/>
          <w:color w:val="auto"/>
        </w:rPr>
        <w:t>Accounts payable, accrued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and other current liabilities. </w:t>
      </w:r>
      <w:r>
        <w:rPr>
          <w:rFonts w:ascii="Arial" w:cs="Arial" w:eastAsia="Arial" w:hAnsi="Arial"/>
          <w:sz w:val="18"/>
          <w:szCs w:val="18"/>
          <w:color w:val="auto"/>
        </w:rPr>
        <w:t>The Company made the final settlement installment payment on or about July 15,</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claim against the Company is now fully resolved and the action has been dismissed as to the Company. The Company intends to seek reimbursement of the $165 from MobiPT, but there is no assurance the Company will be successful.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continued listing standards of Nasdaq provide, among other things, that a company may be delisted if the bid price of its stock drops below $1.00 for a period of 30 consecutive business days or if stockholders’ equity is less than $2,500. On January 2, 2020, the Company received a deficiency letter from Nasdaq which provided a grace period of 180 calendar days, or until June 30, 2020, to regain compliance with the minimum bid price requirement. On June 19, 2020, the Company was advised by Nasdaq that it had determined that for 10 consecutive business days, from June 3, 2020 to June 16, 2020, the closing bid price of the Company’s common stock has been at $1.00 per share or greater. Accordingly, the Company has regained compliance with the continued listing standards and this matter is now closed.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and Other Matters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2019 filed on April 20, 2020, as subsequently amended on May 18, 2020 and June 12, 2020 (the “2019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9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We currently have one operating segment that is also our sole reporting unit.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Newly launched XpresCheck™ brand</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will host nine separate testing rooms with a capacity to administer over 500 tests per day. All COVID-19 screening and testing will be conducted by a newly launched brand, XpresCheck™, which will operate under our XpresTest subsidiary. The pilot test at JFK launched on June 22, 2020.</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13, 2020, we announced that we have signed a contract with the Port Authority of New York and New Jersey to provide diagnostic COVID-19 testing at Newark Liberty International Airport through our XpresCheck brand. We are building a modular constructed testing facility within Terminal B that will host 6 separate testing rooms with a capacity to administer over 350 tests per day.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Through our XpresCheck facilities, we are offering testing services to airline employees, contractors and workers, concessionaires and their employees, TSA officers, and U.S. Customs and Border Protection agents, and over time, will expand to the traveling public as well.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June 11, 2020, we effected a 1-for-3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Effect of Coronavirus on Business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our business and cash flow from operations, similar to many businesses in the travel sector. Effective March 24, 2020, we temporarily closed all global spa locations, largely due to the categorization of the spa locations by local jurisdictions as “non-essential services”. We intend to strategically reopen our spa locations and resume normal operations once restrictions are lifted and airport traffic returns to sufficient levels to support our operations. The impact of COVID-19 is unknown and may continue as the rates of infection have increased in many states in the U.S., thus additional restrictive measures may be necessary. As a result, management has concluded that there was a long-lived and definite-lived asset impairment triggering event during the six months ended June 30, 2020 which would require management to perform an impairment evaluation of its property and equipment, intangible assets and operating lease right of use assets of approximately $21,088 as of June 30, 2020.</w:t>
      </w:r>
    </w:p>
    <w:p>
      <w:pPr>
        <w:spacing w:after="0" w:line="17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completed an assessment of our property and equipment and operating lease right of use assets for impairment as of June 30, 2020. Based upon the results of the impairment test, we recorded an impairment expense related to property and equipment and operating lease right of use assets of approximately $1,821 and $2,238, respectively. The expense was primarily related to the impairment of leasehold improvements made to certain spa locations and operating lease right of use assets where management determined that the locations discounted future cash flow was not sufficient to support the carrying value of these assets over the remaining lease term. The impairment expense represents the excess of the carrying value of these assets over the estimated future discounted cash flows. Management calculated the future cash flow of each location using a present value income approach. The sum of expected cash flow for the remainder of the lease term for each location was present valued at a discount rate of 9.0%, which represents the current borrowing rate of our B3D Note. We believe that this rate incorporates the time value of money and an appropriate risk premium.</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completed an assessment of our intangible assets for impairment as of June 30, 2020. The Company reassessed its projections and based on management’s expectation of resuming normal operations, no impairment was indicated at this time.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brand, XpresCheck,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brand, XpresCheck, could also have a material effect on our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Airport Rent Concessions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ten-months and began in March 2020.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Company received minimum guaranteed payment concession of approximately $693 in the three months ended June 30, 2020 and $768 in the six months ended June 30, 2020. We expect to realize additional rent concessions while our spas remain closed.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Comparable (“Comp”) Store Sales and Adjusted EBITDA are supplemental measures of financial performance that are not required by or presented in accordance with GAAP but are measurements used by management to assess the trends in our business. In evaluating our performance as measured by Comp Store Sales and Adjusted EBITDA, we recognize and consider the limitations of these measurements.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define Comp Store Sales as current period sales from stores opened more than 12 months compared to those same stores’ sales in the prior year period. The measurement of Comp Store Sales on a daily, weekly, monthly, quarterly and year-to-date basis provides an additional perspective on XpresSpa’s total sales growth when considering the influence of new unit contribution.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 Store Sales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reconciliation between Comp Store Sales and total revenue as reported on the financial statements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09"/>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88"/>
              </w:rPr>
              <w:t>Six months ended June 30, 2020</w:t>
            </w:r>
          </w:p>
        </w:tc>
        <w:tc>
          <w:tcPr>
            <w:tcW w:w="310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8"/>
              </w:rPr>
              <w:t>Six months ended June 30, 2019</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 Inc/(Dec)</w:t>
            </w:r>
          </w:p>
        </w:tc>
        <w:tc>
          <w:tcPr>
            <w:tcW w:w="60" w:type="dxa"/>
            <w:vAlign w:val="bottom"/>
          </w:tcPr>
          <w:p>
            <w:pPr>
              <w:spacing w:after="0"/>
              <w:rPr>
                <w:sz w:val="18"/>
                <w:szCs w:val="18"/>
                <w:color w:val="auto"/>
              </w:rPr>
            </w:pPr>
          </w:p>
        </w:tc>
      </w:tr>
      <w:tr>
        <w:trPr>
          <w:trHeight w:val="191"/>
        </w:trPr>
        <w:tc>
          <w:tcPr>
            <w:tcW w:w="17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Non-Comp</w:t>
            </w: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Non-Comp</w:t>
            </w: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74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Comp Store</w:t>
            </w:r>
          </w:p>
        </w:tc>
        <w:tc>
          <w:tcPr>
            <w:tcW w:w="1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Store</w:t>
            </w:r>
          </w:p>
        </w:tc>
        <w:tc>
          <w:tcPr>
            <w:tcW w:w="8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 Store</w:t>
            </w:r>
          </w:p>
        </w:tc>
        <w:tc>
          <w:tcPr>
            <w:tcW w:w="1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Store</w:t>
            </w: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Comp Store</w:t>
            </w:r>
          </w:p>
        </w:tc>
      </w:tr>
      <w:tr>
        <w:trPr>
          <w:trHeight w:val="182"/>
        </w:trPr>
        <w:tc>
          <w:tcPr>
            <w:tcW w:w="17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Products and</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7,577</w:t>
            </w:r>
          </w:p>
        </w:tc>
        <w:tc>
          <w:tcPr>
            <w:tcW w:w="1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23,301</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$ 23,954</w:t>
            </w:r>
          </w:p>
        </w:tc>
        <w:tc>
          <w:tcPr>
            <w:tcW w:w="1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Revenue from Comp Store Sales decreased significantly for the six months ended June 30, 2020 from the prior year comparable period. This decrease is due to the negative impact COVID-19 has had on our revenue and results of operations. Our revenue began to decrease significantly in February 2020 as COVID-19 began to spread throughout the world and as rates of infection began to increase. Since our spa operations require customers to be in close contact with spa personnel and spa equipment, we believe customers began to forgo spa treatments for fear of being infected with COVID-</w:t>
      </w:r>
    </w:p>
    <w:p>
      <w:pPr>
        <w:spacing w:after="0" w:line="2" w:lineRule="exact"/>
        <w:rPr>
          <w:sz w:val="20"/>
          <w:szCs w:val="20"/>
          <w:color w:val="auto"/>
        </w:rPr>
      </w:pPr>
    </w:p>
    <w:p>
      <w:pPr>
        <w:jc w:val="both"/>
        <w:ind w:left="60" w:right="79" w:hanging="10"/>
        <w:spacing w:after="0" w:line="253" w:lineRule="auto"/>
        <w:tabs>
          <w:tab w:leader="none" w:pos="3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restrictions on travel that were implemented have had a material adverse impact on our revenue and operations. 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Adjusted EBITDA (loss)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Another non-GAAP measurement we use to assess the trends in our business is Adjusted EBITDA, which we define as earnings before interest, taxes, depreciation and amortization expense, excluding financing costs, acquisition integration costs, other one-time costs and stock-based compensation.</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consider Comp Store Sales and Adjusted EBITDA to be important indicators for the performance of our business, but not a measure of performance or liquidity calculated in accordance with GAAP. We have included these non-GAAP financial measures because management utilizes this information for assessing our performance and liquidity, and as an indicator of our ability to make capital expenditures and finance working capital requirements. We believe that Comp Store Sales and Adjusted EBITDA are measurements that are commonly used by analysts and some investors in evaluating the performance and liquidity of companies such as ours. In particular, we believe that it is useful for analysts and investors to understand that Comp Store Sales only include comparable sales for stores open at least 12 months. Adjusted EBITDA (loss) excludes transactions not related to our core cash operating activities. We believe that excluding these transactions allows investors to meaningfully analyze the performance of our core cash operations. Adjusted EBITDA should not be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 reconciliation of operating loss presented in accordance with GAAP for the three and six month periods ended June 30, 2020 and 2019 to Adjusted EBITDA (loss) is presented in the table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Q2 2020 Results of Operations and Adjusted EBITDA (loss)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(amounts in thousands)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June 30,</w:t>
            </w:r>
          </w:p>
        </w:tc>
        <w:tc>
          <w:tcPr>
            <w:tcW w:w="2380" w:type="dxa"/>
            <w:vAlign w:val="bottom"/>
            <w:gridSpan w:val="7"/>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12,908</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25,138</w:t>
            </w:r>
          </w:p>
        </w:tc>
        <w:tc>
          <w:tcPr>
            <w:tcW w:w="2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Labor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and other operating costs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Impairment/disposal of assets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30,246</w:t>
            </w:r>
          </w:p>
        </w:tc>
        <w:tc>
          <w:tcPr>
            <w:tcW w:w="2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Loss on revaluation of warrants and conversion</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(48,298)</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(53,667)</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120"/>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2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Add back: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Impairment/disposal of assets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Less: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Adjusted EBITDA loss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recognize revenue from the sale of XpresSpa services when they are rendered at our stores and from the sale of products at the time goods are purchased at our stores or online (usually by credit card), net of discounts and applicable sales taxes.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entered into a management services agreement with a professional medical services company that provides health care services to patients in connection with the launch of our new XpresCheck brand. The medical services company will pay XpresCheck a monthly fee to operate in the XpresCheck facility. We will defer and record as revenue the monthly fee on a straight-line basis over the term of the agreement.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Cost of sales for our Spa stores consists of store-level costs. Store-level costs include all costs that are directly attributable to the store operations, primarily payroll and related benefit costs for store personnel, occupancy costs and cost of products sold. Cost of sales of our XpresCheck business consists primarily of supplies used to administer COVID-19 tests.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overhead and occupancy costs, insurance and various professional fees, as well as stock-based compensation for management and administrative personnel.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non-operating income (expense), net includes transaction gains (losses) from foreign exchange rate differences, and bank charges.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Three-month period ended June 30, 2020 compared to the three-month period ended June 30,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12,908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(12,765)</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revenue was primarily due the negative adverse impact of COVID-19 as discussed above. The decrease was offset by revenue generated by recently activated sales and marketing agreements with strategic spa partners of $55 and the pro-rated monthly fee associated with the management services agreement associated with XpresCheck of $88 beginning on June 22, 2020.</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(8,875)</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decrease in cost of sales was primarily due to the decrease in spa-related revenues.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decrease in depreciation and amortization of approximately 23.3% was due primarily to four fewer locations in the current three-month period versus the prior year. In addition, impairments and disposals of assets recorded in 2019 resulted in lower amortization of leasehold improvements in the current period.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8"/>
              </w:rPr>
              <w:t>Three months ended June 30,</w:t>
            </w:r>
          </w:p>
        </w:tc>
        <w:tc>
          <w:tcPr>
            <w:tcW w:w="340" w:type="dxa"/>
            <w:vAlign w:val="bottom"/>
            <w:tcBorders>
              <w:bottom w:val="single" w:sz="8" w:color="auto"/>
            </w:tcBorders>
          </w:tcPr>
          <w:p>
            <w:pPr>
              <w:spacing w:after="0"/>
              <w:rPr>
                <w:sz w:val="24"/>
                <w:szCs w:val="24"/>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875</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increase of approximately 35.0% was primarily due to start-up costs associated with the XpresCheck</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brand and additional legal fees related to the resolution of certain litigation matters, offset by the realized benefits of cost cutting and control initiatives instituted throughout 2019, primarily in salaries, occupancy and professional fees..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60"/>
              <w:spacing w:after="0"/>
              <w:rPr>
                <w:sz w:val="20"/>
                <w:szCs w:val="20"/>
                <w:color w:val="auto"/>
              </w:rPr>
            </w:pPr>
            <w:r>
              <w:rPr>
                <w:rFonts w:ascii="Arial" w:cs="Arial" w:eastAsia="Arial" w:hAnsi="Arial"/>
                <w:sz w:val="18"/>
                <w:szCs w:val="18"/>
                <w:b w:val="1"/>
                <w:bCs w:val="1"/>
                <w:color w:val="auto"/>
              </w:rPr>
              <w:t>Loss on revaluation of warrants and conversion options: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10"/>
        </w:trPr>
        <w:tc>
          <w:tcPr>
            <w:tcW w:w="6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revaluation of warrants and conversion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48,298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47,526</w:t>
            </w: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Loss on revaluation of warrants and conversion options represents the loss resulting from the mark to market adjustments of our derivative liabilities. The increase in the loss on revaluation of warrants and conversion options was due mainly to the increase in our stock price at certain fair value measurement dates relative to the conversion price of warrants and convertible debt to Common Stock.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to the condensed consolidated financial statements for additional information.</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Other non-operating (income) expense, net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292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10"/>
        </w:trPr>
        <w:tc>
          <w:tcPr>
            <w:tcW w:w="60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(income) expense, net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(1,643)</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(income) expense, net for the three months ended June 30, 2020 and 2019:</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3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09"/>
        </w:trPr>
        <w:tc>
          <w:tcPr>
            <w:tcW w:w="65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 and financing charges</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Debt conversion expense related to conversion of 5% Secured Convertible Notes</w:t>
            </w:r>
          </w:p>
        </w:tc>
        <w:tc>
          <w:tcPr>
            <w:tcW w:w="7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(91)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w:t>
            </w:r>
          </w:p>
        </w:tc>
      </w:tr>
      <w:tr>
        <w:trPr>
          <w:trHeight w:val="20"/>
        </w:trPr>
        <w:tc>
          <w:tcPr>
            <w:tcW w:w="6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condensed consolidated financial statements for additional information regarding the debt conversion expense.</w:t>
      </w: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Three months ended June 30,</w:t>
            </w:r>
          </w:p>
        </w:tc>
        <w:tc>
          <w:tcPr>
            <w:tcW w:w="300" w:type="dxa"/>
            <w:vAlign w:val="bottom"/>
            <w:tcBorders>
              <w:bottom w:val="single" w:sz="8" w:color="auto"/>
            </w:tcBorders>
          </w:tcPr>
          <w:p>
            <w:pPr>
              <w:spacing w:after="0"/>
              <w:rPr>
                <w:sz w:val="24"/>
                <w:szCs w:val="24"/>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expense increased primarily due to interest and accretion expenses related to the renegotiated B3D.  See Note 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to the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Six-month period ended June 30, 2020 compared to the six-month period ended June 30,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29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10"/>
        </w:trPr>
        <w:tc>
          <w:tcPr>
            <w:tcW w:w="60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7,861</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25,138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(17,277)</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revenue was primarily due the negative adverse impact of COVID-19 as discussed above. The decrease was offset by revenue generated by recently activated sales and marketing agreements with strategic spa partners of $124 and the pro-rated monthly fee associated with the management services agreement associated with XpresCheck of $88 beginning on June 22, 2020.</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18,951</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(10,805)</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decrease in cost of sales was primarily due to the decrease in spa-related revenues.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150"/>
              <w:spacing w:after="0"/>
              <w:rPr>
                <w:sz w:val="20"/>
                <w:szCs w:val="20"/>
                <w:color w:val="auto"/>
              </w:rPr>
            </w:pPr>
            <w:r>
              <w:rPr>
                <w:rFonts w:ascii="Arial" w:cs="Arial" w:eastAsia="Arial" w:hAnsi="Arial"/>
                <w:sz w:val="18"/>
                <w:szCs w:val="18"/>
                <w:b w:val="1"/>
                <w:bCs w:val="1"/>
                <w:color w:val="auto"/>
                <w:w w:val="87"/>
              </w:rPr>
              <w:t>Six months ended June 30,</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(777)</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decrease in depreciation and amortization of approximately 23.3% was due primarily to four fewer locations in the current six-month period versus the prior year. Impairments recorded in 2019 resulted in lower amortization of leasehold improvements in the current period.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87"/>
              </w:rPr>
              <w:t>Six months ended June 30,</w:t>
            </w:r>
          </w:p>
        </w:tc>
        <w:tc>
          <w:tcPr>
            <w:tcW w:w="380" w:type="dxa"/>
            <w:vAlign w:val="bottom"/>
            <w:tcBorders>
              <w:bottom w:val="single" w:sz="8" w:color="auto"/>
            </w:tcBorders>
          </w:tcPr>
          <w:p>
            <w:pPr>
              <w:spacing w:after="0"/>
              <w:rPr>
                <w:sz w:val="24"/>
                <w:szCs w:val="24"/>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508</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34" w:lineRule="auto"/>
        <w:rPr>
          <w:sz w:val="20"/>
          <w:szCs w:val="20"/>
          <w:color w:val="auto"/>
        </w:rPr>
      </w:pPr>
      <w:r>
        <w:rPr>
          <w:rFonts w:ascii="Arial" w:cs="Arial" w:eastAsia="Arial" w:hAnsi="Arial"/>
          <w:sz w:val="17"/>
          <w:szCs w:val="17"/>
          <w:color w:val="auto"/>
        </w:rPr>
        <w:t>The increase of approximately 8.3% was primarily due to start-up costs associated with the XpresCheck</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brand and additional legal fees related to the resolution of certain legal matters, offset by the realized benefits of cost cutting and control initiatives instituted throughout 2019, primarily in salaries, occupancy and professional fees.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Loss on revaluation of warrants and conversion options: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09"/>
        </w:trPr>
        <w:tc>
          <w:tcPr>
            <w:tcW w:w="6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revaluation of warrants and conversion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53,667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53,046</w:t>
            </w: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Loss on revaluation of warrants and conversion options represents the loss or gain resulting from the mark to market adjustments of our derivative liabilities. The increase in the loss on revaluation of warrants and conversion options was due mainly to the impact the increase in the Company’s stock price had on the fair value calculation and the decrease in the conversion price of warrants and convertible debt to Common Stock. See Note 7.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Note 8. </w:t>
      </w:r>
      <w:r>
        <w:rPr>
          <w:rFonts w:ascii="Arial" w:cs="Arial" w:eastAsia="Arial" w:hAnsi="Arial"/>
          <w:sz w:val="17"/>
          <w:szCs w:val="17"/>
          <w:i w:val="1"/>
          <w:iCs w:val="1"/>
          <w:color w:val="auto"/>
        </w:rPr>
        <w:t>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w:t>
      </w:r>
      <w:r>
        <w:rPr>
          <w:rFonts w:ascii="Arial" w:cs="Arial" w:eastAsia="Arial" w:hAnsi="Arial"/>
          <w:sz w:val="17"/>
          <w:szCs w:val="17"/>
          <w:color w:val="auto"/>
        </w:rPr>
        <w:t>to the condensed consolidated financial statements for additional information.</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10"/>
        </w:trPr>
        <w:tc>
          <w:tcPr>
            <w:tcW w:w="60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(income)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1,894</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(1,553)</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(income) expense, net for the six months ended June 30, 2020 and 2019:</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3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65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 and financing charges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Debt conversion expense related to conversion of 5% Secured Convertible Notes</w:t>
            </w:r>
          </w:p>
        </w:tc>
        <w:tc>
          <w:tcPr>
            <w:tcW w:w="7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0"/>
        </w:trPr>
        <w:tc>
          <w:tcPr>
            <w:tcW w:w="6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0"/>
        </w:trPr>
        <w:tc>
          <w:tcPr>
            <w:tcW w:w="6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condensed consolidated financial statements for additional information regarding the debt conversion expense.</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6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87"/>
              </w:rPr>
              <w:t>Six months ended June 30,</w:t>
            </w:r>
          </w:p>
        </w:tc>
        <w:tc>
          <w:tcPr>
            <w:tcW w:w="380" w:type="dxa"/>
            <w:vAlign w:val="bottom"/>
            <w:tcBorders>
              <w:bottom w:val="single" w:sz="8" w:color="auto"/>
            </w:tcBorders>
          </w:tcPr>
          <w:p>
            <w:pPr>
              <w:spacing w:after="0"/>
              <w:rPr>
                <w:sz w:val="24"/>
                <w:szCs w:val="24"/>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464</w:t>
            </w: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expense increased primarily due to interest and accretion expenses related to the renegotiated B3D. See Note 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to the condensed consolidated financial statements for additional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2020, we had cash and cash equivalents, excluding restricted cash, of $37,765, total current assets of $39,019, total current liabilities of $19,595, and positive working capital of $19,424 compared to a working capital deficiency of $12,287 as of December 31, 2019.</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During the three months ended June 30, 2020, to address our historical working capital deficiencies, and our outstanding long-term debt, we raised $38,397 in a series of registered direct equity offerings, net of approximately $4,653 in broker commissions, legal fees and other related offering expenses. We settled our long-term debt owed as of March 31, 2020 by converting the remaining $5,664 of the B3D Note and the entire $2,500 Calm Note to Common Stock. We also paid in full the short-term $910 advance funding owed to Credit Cash, and recognized a gain of approximately $91. Finally, on May 1, 2020, we entered into a U.S. Small Business Administration (“SBA”) Paycheck Protection Program (“PPP”) promissory note in the principal amount of $5,653. See Note 7. </w:t>
      </w:r>
      <w:r>
        <w:rPr>
          <w:rFonts w:ascii="Arial" w:cs="Arial" w:eastAsia="Arial" w:hAnsi="Arial"/>
          <w:sz w:val="17"/>
          <w:szCs w:val="17"/>
          <w:i w:val="1"/>
          <w:iCs w:val="1"/>
          <w:color w:val="auto"/>
        </w:rPr>
        <w:t>Debt.</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report of the our independent registered public accounting firm on our financial statements for the year ended December 31, 2019 included an explanatory paragraph indicating that there was substantial doubt about our ability to continue as a going concern. We believe that as a result of the transactions that have occurred, we has successfully mitigated the substantial doubt raised by our historical operating results and will satisfy our liquidity needs for at least twelve months from the issuance of these financial statements. However, while we have addressed our working capital deficiency and long-term debt, while continuing to focus on our overall operating profitability, we expect to incur net losses in the foreseeable future and therefore cannot predict with any certainty that the results of our actions will satisfy our liquidity needs in the longer-term.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Credit Cash Funding Advance</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As of March 31, 2020, the outstanding repayment amount of $910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 owed under the CC Agreement as of June 1, 2020 (net of a $91 early pay cash discount) and the CC Lender released all security interests held on the assets of the CC Borrowers, including the CC Borrowers’ existing and future accounts receivables and other rights to payment.</w:t>
      </w:r>
    </w:p>
    <w:p>
      <w:pPr>
        <w:spacing w:after="0" w:line="18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compensation for the consent of existing creditor B3D, LLC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convertible promissory note (the “B3D Note”) in order to increase the principal amount owed to B3D from $7,000 to $7,150, which additional $150 in principal and any interest accrued thereon will become convertible, at B3D’s option, into shares of our Common Stock subject to upon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B3D Senior Secured Loan</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“Sixth Credit Agreement Amendment”) to our existing credit agreement with B3D. In connection with the Sixth Credit Agreement Amendment and B3D Note, B3D agreed to provide us with $500 in additional funding and to submit one or more conversion notices to convert an aggregate of $375 in principal under the B3D Note to Common Stock on or prior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March 27, 2020. XpresSpa Holdings entered into the Credit Agreement Amendment in order to, among other provisions,</w:t>
      </w:r>
    </w:p>
    <w:p>
      <w:pPr>
        <w:spacing w:after="0" w:line="46" w:lineRule="exact"/>
        <w:rPr>
          <w:sz w:val="20"/>
          <w:szCs w:val="20"/>
          <w:color w:val="auto"/>
        </w:rPr>
      </w:pPr>
    </w:p>
    <w:p>
      <w:pPr>
        <w:jc w:val="both"/>
        <w:ind w:left="100" w:right="59" w:hanging="50"/>
        <w:spacing w:after="0" w:line="281" w:lineRule="auto"/>
        <w:tabs>
          <w:tab w:leader="none" w:pos="278" w:val="left"/>
        </w:tabs>
        <w:numPr>
          <w:ilvl w:val="0"/>
          <w:numId w:val="7"/>
        </w:numPr>
        <w:rPr>
          <w:rFonts w:ascii="Arial" w:cs="Arial" w:eastAsia="Arial" w:hAnsi="Arial"/>
          <w:sz w:val="16"/>
          <w:szCs w:val="16"/>
          <w:color w:val="auto"/>
        </w:rPr>
      </w:pPr>
      <w:r>
        <w:rPr>
          <w:rFonts w:ascii="Arial" w:cs="Arial" w:eastAsia="Arial" w:hAnsi="Arial"/>
          <w:sz w:val="16"/>
          <w:szCs w:val="16"/>
          <w:color w:val="auto"/>
        </w:rPr>
        <w:t>amend and restate our existing convertible promissory note with B3D in order to increase the principal amount owed from $7,150 million to $7,900, which additional $750 in principal and any interest accrued thereon will be convertible, at</w:t>
      </w:r>
    </w:p>
    <w:p>
      <w:pPr>
        <w:spacing w:after="0" w:line="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 in principal and was issued a total of 446,429 shares of our Common Stock in March 2020.</w:t>
      </w:r>
    </w:p>
    <w:p>
      <w:pPr>
        <w:spacing w:after="0" w:line="19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As a result of the conversions of the B3D Note during the second quarter of 2020, we settled approximately $10,957 of derivative liability, reduced the carrying value of the B3D Note by $5,664 and issued 10,789,591 shares of our Common Stock to B3D. Also, as a result of the conversion of the B3D Note to Common Stock, the Company wrote off capitalized financing costs and charged a total of $142 to </w:t>
      </w:r>
      <w:r>
        <w:rPr>
          <w:rFonts w:ascii="Arial" w:cs="Arial" w:eastAsia="Arial" w:hAnsi="Arial"/>
          <w:sz w:val="18"/>
          <w:szCs w:val="18"/>
          <w:i w:val="1"/>
          <w:iCs w:val="1"/>
          <w:color w:val="auto"/>
        </w:rPr>
        <w:t>“Common Stock and Additional Paid-in Capital”</w:t>
      </w:r>
      <w:r>
        <w:rPr>
          <w:rFonts w:ascii="Arial" w:cs="Arial" w:eastAsia="Arial" w:hAnsi="Arial"/>
          <w:sz w:val="18"/>
          <w:szCs w:val="18"/>
          <w:color w:val="auto"/>
        </w:rPr>
        <w:t xml:space="preserve"> on the Company’s condensed consolidated balance sheet as of June 30,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Registered Direct Common Stock Offerings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19, 2020, we entered into a securities purchase agreement with certain purchasers,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March 25, 2020, we entered into a securities purchase agreement with certain purchasers, pursuant to which we issued and sold, in a registered direct offering, (i) 2,483,333 shares of Common Stock at an offering price of $0.60 per share and</w:t>
      </w:r>
    </w:p>
    <w:p>
      <w:pPr>
        <w:ind w:left="60" w:right="59" w:hanging="10"/>
        <w:spacing w:after="0" w:line="260"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aggregate of 500,000 pre-funded warrants exercisable for shares of Common Stock at an offering price of $0.57 per pre-funded warrant.</w:t>
      </w:r>
    </w:p>
    <w:p>
      <w:pPr>
        <w:spacing w:after="0" w:line="185"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On March 27, 2020, we entered into a securities purchase agreement with certain purchasers, pursuant to which we issued and sold, in a registered direct offering (i) 2,631,666 shares of Common Stock at an offering price of $0.60 per share and</w:t>
      </w:r>
    </w:p>
    <w:p>
      <w:pPr>
        <w:ind w:left="60" w:right="59" w:hanging="10"/>
        <w:spacing w:after="0" w:line="260" w:lineRule="auto"/>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aggregate of 701,666 pre-funded warrants exercisable for shares of Common Stock at an offering price of $0.57 per pre-funded warrant.</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sold a total of 6,511,280 shares of Common Stock and 1,900,625 of pre-funded warrants and received total proceeds of $4,209, net of financial advisory and consulting fees of $626. During the three months ended March 31, 2020, 1,698,959 pre-funded warrants were exercised for total proceeds of approximately $49. As of March 31, 2020, 201,666 warrants were not exercised and remained outstanding.</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6, 2020, we entered into a securities purchase agreement with certain purchasers, pursuant to which we issued and sold, in a registered direct offering (i) 4,139,393 shares of Common Stock at an offering price of $0.66 per share and (ii) an aggregate of 481,818 pre-funded warrants exercisable for shares of Common Stock at an offering price of $0.63 per pre-funded warrant.</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June 17, 2020, we entered into a securities purchase agreement with certain purchasers, pursuant to which we agreed to issue and sell, 7,614,700 shares of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“Warrants” and collectively with the Shares, the “Securities”) exercisable for an aggregate of 7,614,700 shares of Common Stock at an exercise price of $5.25 per share. Each Warrant will be immediately exercisable and will expire 21 months from the issuance date. The Warrants and the shares of Common Stock issuable upon the exercise of the Warrants are not registered under the Securities Act of 1933, as amended (the “Securities Act”), were not offered pursuant to the Registration Statement and were offered pursuant to the exemption provided in Section 4(a)(2) under the Securities Act, and Rule 506(b) promulgated thereunder. The Offerings closed on June 19, 2020 and we received gross proceeds of approximately $40,000 before deducting placement agent fees and related offering expenses.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expect to utilize our cash and cash equivalents to provide capital to support the near-term operating loss, limited near-term growth of our core business (primarily through potentially opening new XpresSpa locations), maintaining our existing XpresSpa locations, funding our recently launched XpresCheck COVID-19 testing centers and supporting corporate functions.</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have taken actions described above to improve our overall cash position and our access to liquidity. We continue to expand and explore strategic partnerships, right-size our corporate structure, and streamline our operations.</w:t>
      </w:r>
    </w:p>
    <w:p>
      <w:pPr>
        <w:spacing w:after="0" w:line="14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If we continue to experience operating losses, and we are not able to generate additional liquidity through some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2019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5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of June 30, 2020, we carried out an evaluation, under the supervision and with the participation of our management, including our Chief Executive Officer (Principal Financial and Accounting Officer), of the effectiveness of the design and operation of our disclosure controls and procedures. Based on our evaluation, we have concluded that our disclosure controls and procedures were not effective as of June 30, 2020. This determination is based on the previously reported material weakness management identified in our internal control over financial reporting, as described below. We are in the process of remediating the material weaknesses in our internal control. We believe the completion of these processes should remedy our disclosure controls and procedures. We will continue to monitor these issues.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Previously Reported Material Weakness in Internal Control Over Financial Reporting</w:t>
      </w:r>
    </w:p>
    <w:p>
      <w:pPr>
        <w:spacing w:after="0" w:line="18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our Annual Report for the year ended December 31, 2019, filed with the SEC on April 20, 2020, management concluded that our internal control over financial reporting was not effective as of December 31, 2019. In the evaluation, management identified a material weakness in internal control related to our financial close and reporting process. Management also concluded that we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the Principal Accounting Officer extensively used outside consultants who possessed the appropriate levels of accounting and controls knowledge.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Plan for Material Weakness in Internal Control over Financial Reporting</w:t>
      </w:r>
    </w:p>
    <w:p>
      <w:pPr>
        <w:spacing w:after="0" w:line="19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are still considering the full extent of the procedures to implement in order to remediate the material weakness described above. The current remediation plan includes a more robust review process, and an increase in the supervision and monitoring of the financial reporting processes and our accounting personnel. We will ensure that accounting personnel have the level of accounting and controls knowledge and experience commensurate with our financial reporting requirements by instituting a formal training program for all accounting personnel on a regular basis on internal control procedures over financial reporting. The current remediation plan also includes implementing controls over calculations, analysis and conclusions associated with nonroutine transactions at a more precise level. We will also allocate additional resources to the corporate accounting function, which may include the use of independent consultants with sufficient expertise to assist in the preparation and review of certain non-recurring transactions and timely review of the account reconciliations. Lastly, we will automate, where possible and practical, all account analysis and calculations currently being done manually by better utilizing our current general ledger accounting system. Where cost effective, we will outsource any manually processes that are time consuming to free up accounting personnel to spend more time preparing and reviewing account analysis.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Other than as described above, there has been no change in our internal control over financial reporting (as defined in Rule 13a-15(f) and 15d-15(f) under the Exchange Act) that occurred during the quarter ended June 30, 2020 that has materially affected, or is reasonably likely to materially affect, our internal control over financial reporting.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For information regarding legal proceedings,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Financial Statements.”</w:t>
      </w:r>
    </w:p>
    <w:p>
      <w:pPr>
        <w:spacing w:after="0" w:line="166"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additional risk factors, which could affect our business, financial condition, operating results and cash flows should be read in connection with the existing disclosure on risk factors made in the our most recently filed Annual Report on Form 10-K and other filings made with the SEC.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 operating history in the diagnostic testing industry.</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Despite our management’s extensive experience in health and wellness services, we have no specific operating history in the diagnostic testing industry, including providing management services to a professional practice offering diagnostic testing services. We will face substantial risks and uncertainties to which our new diagnostic testing line of business will be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line of business may not succeed.</w:t>
      </w:r>
    </w:p>
    <w:p>
      <w:pPr>
        <w:spacing w:after="0" w:line="19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may never establish long-term formal contracts and relationships with professional practices for the ordering of and collection of samples for, or with laboratories for the performance of, COVID-19 testing in our XpresCheck locations.</w:t>
      </w:r>
    </w:p>
    <w:p>
      <w:pPr>
        <w:spacing w:after="0" w:line="10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are exploring the possibility of offering COVID-19 testing in XpresCheck airport locations. On June 22, 2020, we began pilot testing and have established formal contractual relationships with professional practices for the ordering of and collection of samples for, and with clinical laboratories for the performance, of COVID-19 testing. We may never formalize longer term arrangements with a professional practice or clinical laboratory for these purposes and may never fully commence diagnostic testing operations. As a result, there can be no assurances that we will be able to execute our current plans or generate any revenue associated with our current XpresCheck COVID-19 testing plans.</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There can be no assurances that we will be able to successfully secure new locations or transition our existing spa facilities into XpresCheck locations at which COVID-19 testing will be ordered or performed.</w:t>
      </w:r>
    </w:p>
    <w:p>
      <w:pPr>
        <w:spacing w:after="0" w:line="14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There can be no assurances that we will be able to obtain new XpresCheck locations or make available or renovate our existing spa facilities for the purpose of operating a location at which XpresCheck COVID-19 testing will be ordered and/or performed by a professional practice. If we are unable to successfully transition such facilities to locations at which COVID-19 testing will be ordered and/or performed due to issues with lease agreements, permits, licenses or other delays, we will not be able to move forward with our planned short-term business transition.</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may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plan to contract with a limited number of professional practices, and potentially only a single professional practice, for the ordering of and collection of samples for COVID-19 testing. Now that our professional practice partner has begun performing point of care COVID-19 testing at our XpresCheck locationse, we may rely on a limited number of suppliers for the COVID-19 test kits, collection supplies, reagents, and various other equipment and materials we intend to use in performing COVID-19 testing. We currently do not have formal long-term agreements with any professional practice or supplier, and, as a result, our professional practice partners or suppliers could cease supplying these services or tests,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materials and equipment to us at any time due to our inability to reach agreement on terms,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if any are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test volume.</w:t>
      </w:r>
    </w:p>
    <w:p>
      <w:pPr>
        <w:spacing w:after="0" w:line="171"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Since our professional practice partner had begun performing point of care COVID-19 testing at our XpresCheck locations, the COVID-19 testing technology we have chosen may not perform as expected, as a result of human error or otherwise. No assurance can be given that the COVID-19 testing technology we use will aid in the testing of this virus.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June 22, 2020, our professional practice partner began performing point of care COVID-19 testing at our XpresCheck locations. Our success will depend on the COVID-19 testing technology we have chosen to use to provide a reliable, high-quality diagnostic result. There is no guarantee that the COVID-19 test technology we ultimately choose will be accurate. We believe that customers will be particularly sensitive to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are currently using may not be effective. As a result, the failure or perceived failure of the chosen tests to perform as expected could have a material adverse effect on our business, financial condition, results of operation and cash flows. If there is little or no demand for the COVID-19 test, our business could be materially harmed.</w:t>
      </w:r>
    </w:p>
    <w:p>
      <w:pPr>
        <w:spacing w:after="0" w:line="18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There can be no assurance that demand for our planned COVID-19 testing services will exist in the future because of the success of containment efforts, the emergence of a vaccine or due to other events. If there is no demand for our planned COVID-19 testing services, our business will be materially harmed.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intended COVID-19 testing capabilities may never achieve significant market acceptance.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use potentially hazardous materials, chemicals and patient samples in our XpresCheck diagnostic testing business and any disputes relating to improper handling, storage or disposal of these materials could be time consuming and costly.</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any damages that result and this liability could exceed their financial resources. Further, future changes to environmental health and safety laws could cause them to incur additional expense or restrict operations.</w:t>
      </w:r>
    </w:p>
    <w:p>
      <w:pPr>
        <w:spacing w:after="0" w:line="170" w:lineRule="exact"/>
        <w:rPr>
          <w:sz w:val="20"/>
          <w:szCs w:val="20"/>
          <w:color w:val="auto"/>
        </w:rPr>
      </w:pPr>
    </w:p>
    <w:p>
      <w:pPr>
        <w:jc w:val="both"/>
        <w:ind w:left="60" w:right="59" w:firstLine="47"/>
        <w:spacing w:after="0" w:line="296" w:lineRule="auto"/>
        <w:rPr>
          <w:sz w:val="20"/>
          <w:szCs w:val="20"/>
          <w:color w:val="auto"/>
        </w:rPr>
      </w:pPr>
      <w:r>
        <w:rPr>
          <w:rFonts w:ascii="Arial" w:cs="Arial" w:eastAsia="Arial" w:hAnsi="Arial"/>
          <w:sz w:val="16"/>
          <w:szCs w:val="16"/>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coverage may not be adequate to fully cover potential liability claims.</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XpresCheck diagnostic testing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16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comply with the complex federal, state, local and foreign laws and regulations that apply to our XpresCheck business, we could suffer severe consequences that could materially and adversely affect our operating results and financial condition.</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expect our planned operations to be subject to extensive federal, state, local and foreign laws and regulations, all of which are subject to change. These laws and regulations currently include, among other things:</w:t>
      </w:r>
    </w:p>
    <w:p>
      <w:pPr>
        <w:spacing w:after="0" w:line="146" w:lineRule="exact"/>
        <w:rPr>
          <w:sz w:val="20"/>
          <w:szCs w:val="20"/>
          <w:color w:val="auto"/>
        </w:rPr>
      </w:pPr>
    </w:p>
    <w:p>
      <w:pPr>
        <w:ind w:left="700" w:hanging="32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CLIA, which requires that laboratories obtain certification from the federal government, and state licensure laws;</w:t>
      </w:r>
    </w:p>
    <w:p>
      <w:pPr>
        <w:spacing w:after="0" w:line="46" w:lineRule="exact"/>
        <w:rPr>
          <w:rFonts w:ascii="Arial" w:cs="Arial" w:eastAsia="Arial" w:hAnsi="Arial"/>
          <w:sz w:val="16"/>
          <w:szCs w:val="16"/>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laws and regulations;</w:t>
      </w:r>
    </w:p>
    <w:p>
      <w:pPr>
        <w:spacing w:after="0" w:line="9" w:lineRule="exact"/>
        <w:rPr>
          <w:rFonts w:ascii="Arial" w:cs="Arial" w:eastAsia="Arial" w:hAnsi="Arial"/>
          <w:sz w:val="18"/>
          <w:szCs w:val="18"/>
          <w:color w:val="auto"/>
        </w:rPr>
      </w:pPr>
    </w:p>
    <w:p>
      <w:pPr>
        <w:jc w:val="both"/>
        <w:ind w:left="700" w:right="79" w:hanging="326"/>
        <w:spacing w:after="0" w:line="302"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HIPAA, which imposes comprehensive federal standards with respect to the privacy and security of protected health information and requirements for the use of certain standardized electronic transactions, and amendments to HIPAA under HITECH, which strengthen and expand HIPAA privacy and security compliance requirements,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spacing w:after="0" w:line="258" w:lineRule="auto"/>
        <w:rPr>
          <w:sz w:val="20"/>
          <w:szCs w:val="20"/>
          <w:color w:val="auto"/>
        </w:rPr>
      </w:pPr>
      <w:r>
        <w:rPr>
          <w:rFonts w:ascii="Arial" w:cs="Arial" w:eastAsia="Arial" w:hAnsi="Arial"/>
          <w:sz w:val="18"/>
          <w:szCs w:val="18"/>
          <w:color w:val="auto"/>
        </w:rPr>
        <w:t>increase penalties for violators, extend enforcement authority to state attorneys general and impose requirements for breach notification;</w:t>
      </w:r>
    </w:p>
    <w:p>
      <w:pPr>
        <w:spacing w:after="0" w:line="1" w:lineRule="exact"/>
        <w:rPr>
          <w:sz w:val="20"/>
          <w:szCs w:val="20"/>
          <w:color w:val="auto"/>
        </w:rPr>
      </w:pPr>
    </w:p>
    <w:p>
      <w:pPr>
        <w:jc w:val="both"/>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1" w:lineRule="exact"/>
        <w:rPr>
          <w:rFonts w:ascii="Arial" w:cs="Arial" w:eastAsia="Arial" w:hAnsi="Arial"/>
          <w:sz w:val="18"/>
          <w:szCs w:val="18"/>
          <w:color w:val="auto"/>
        </w:rPr>
      </w:pPr>
    </w:p>
    <w:p>
      <w:pPr>
        <w:jc w:val="both"/>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Arial" w:cs="Arial" w:eastAsia="Arial" w:hAnsi="Arial"/>
          <w:sz w:val="18"/>
          <w:szCs w:val="18"/>
          <w:color w:val="auto"/>
        </w:rPr>
      </w:pPr>
    </w:p>
    <w:p>
      <w:pPr>
        <w:ind w:left="700" w:right="79" w:hanging="326"/>
        <w:spacing w:after="0" w:line="281"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and false claims acts, which may extend to services reimbursable by any third-party payor, including private insurers;</w:t>
      </w:r>
    </w:p>
    <w:p>
      <w:pPr>
        <w:spacing w:after="0" w:line="1" w:lineRule="exact"/>
        <w:rPr>
          <w:rFonts w:ascii="Arial" w:cs="Arial" w:eastAsia="Arial" w:hAnsi="Arial"/>
          <w:sz w:val="16"/>
          <w:szCs w:val="16"/>
          <w:color w:val="auto"/>
        </w:rPr>
      </w:pPr>
    </w:p>
    <w:p>
      <w:pPr>
        <w:jc w:val="both"/>
        <w:ind w:left="700" w:right="79" w:hanging="326"/>
        <w:spacing w:after="0" w:line="281"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 w:lineRule="exact"/>
        <w:rPr>
          <w:rFonts w:ascii="Arial" w:cs="Arial" w:eastAsia="Arial" w:hAnsi="Arial"/>
          <w:sz w:val="16"/>
          <w:szCs w:val="16"/>
          <w:color w:val="auto"/>
        </w:rPr>
      </w:pPr>
    </w:p>
    <w:p>
      <w:pPr>
        <w:jc w:val="both"/>
        <w:ind w:left="700" w:right="79" w:hanging="326"/>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laws that impose reporting and other compliance-related requirements;</w:t>
      </w:r>
    </w:p>
    <w:p>
      <w:pPr>
        <w:spacing w:after="0" w:line="9" w:lineRule="exact"/>
        <w:rPr>
          <w:rFonts w:ascii="Arial" w:cs="Arial" w:eastAsia="Arial" w:hAnsi="Arial"/>
          <w:sz w:val="18"/>
          <w:szCs w:val="18"/>
          <w:color w:val="auto"/>
        </w:rPr>
      </w:pPr>
    </w:p>
    <w:p>
      <w:pPr>
        <w:jc w:val="both"/>
        <w:ind w:left="700" w:right="79" w:hanging="326"/>
        <w:spacing w:after="0" w:line="265"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p>
      <w:pPr>
        <w:ind w:left="700" w:hanging="32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COVID-19 tests could result in the delay or additional expense in XpresCheck offering tests.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Since our professional practice partner has begun performing point of care COVID-19 testing at our XpresCheck locations, their failure to accurately bill for testing services, or to comply with applicable laws relating to government health care programs, could have a material adverse effect on our business.</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212529"/>
        </w:rPr>
        <w:t xml:space="preserve">Billing for diagnostic testing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if </w:t>
      </w:r>
      <w:r>
        <w:rPr>
          <w:rFonts w:ascii="Arial" w:cs="Arial" w:eastAsia="Arial" w:hAnsi="Arial"/>
          <w:sz w:val="16"/>
          <w:szCs w:val="16"/>
          <w:color w:val="000000"/>
        </w:rPr>
        <w:t>we begin performing point of care</w:t>
      </w:r>
      <w:r>
        <w:rPr>
          <w:rFonts w:ascii="Arial" w:cs="Arial" w:eastAsia="Arial" w:hAnsi="Arial"/>
          <w:sz w:val="16"/>
          <w:szCs w:val="16"/>
          <w:color w:val="212529"/>
        </w:rPr>
        <w:t xml:space="preserve"> </w:t>
      </w:r>
      <w:r>
        <w:rPr>
          <w:rFonts w:ascii="Arial" w:cs="Arial" w:eastAsia="Arial" w:hAnsi="Arial"/>
          <w:sz w:val="16"/>
          <w:szCs w:val="16"/>
          <w:color w:val="000000"/>
        </w:rPr>
        <w:t>COVID-19 testing at our XpresCheck locations</w:t>
      </w:r>
      <w:r>
        <w:rPr>
          <w:rFonts w:ascii="Arial" w:cs="Arial" w:eastAsia="Arial" w:hAnsi="Arial"/>
          <w:sz w:val="16"/>
          <w:szCs w:val="16"/>
          <w:color w:val="212529"/>
        </w:rPr>
        <w:t>. We expect that the majority of our billing and related operations will be</w:t>
      </w:r>
      <w:r>
        <w:rPr>
          <w:rFonts w:ascii="Arial" w:cs="Arial" w:eastAsia="Arial" w:hAnsi="Arial"/>
          <w:sz w:val="16"/>
          <w:szCs w:val="16"/>
          <w:color w:val="000000"/>
        </w:rPr>
        <w:t xml:space="preserve"> </w:t>
      </w:r>
      <w:r>
        <w:rPr>
          <w:rFonts w:ascii="Arial" w:cs="Arial" w:eastAsia="Arial" w:hAnsi="Arial"/>
          <w:sz w:val="16"/>
          <w:szCs w:val="16"/>
          <w:color w:val="212529"/>
        </w:rPr>
        <w:t xml:space="preserve">provided by a third party. Failure to accurately bill for our services could have a material adverse effect on our business. In addition, failure to comply with applicable laws relating to billing government health care programs may result in various consequences, including the return of overpayments, civil and criminal fines and penalties, exclusion from participation in government health 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w:t>
      </w:r>
      <w:r>
        <w:rPr>
          <w:rFonts w:ascii="Arial" w:cs="Arial" w:eastAsia="Arial" w:hAnsi="Arial"/>
          <w:sz w:val="16"/>
          <w:szCs w:val="16"/>
          <w:i w:val="1"/>
          <w:iCs w:val="1"/>
          <w:color w:val="212529"/>
        </w:rPr>
        <w:t>qui tam</w:t>
      </w:r>
      <w:r>
        <w:rPr>
          <w:rFonts w:ascii="Arial" w:cs="Arial" w:eastAsia="Arial" w:hAnsi="Arial"/>
          <w:sz w:val="16"/>
          <w:szCs w:val="16"/>
          <w:color w:val="212529"/>
        </w:rPr>
        <w:t xml:space="preserve"> provisions of the federal False Claims Act and similar provisions in certain state false claims acts allow private individuals to bring lawsuits against health care companies on behalf of the government.</w:t>
      </w:r>
    </w:p>
    <w:p>
      <w:pPr>
        <w:spacing w:after="0" w:line="17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 care fraud. Legislative provisions relating to health care fraud and abuse provide government enforcement personnel with substantial funding, powers, penalties and remedies to pursue suspected cases of fraud and abuse.</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212529"/>
        </w:rPr>
        <w:t>We depend on third parties to provide services critical to our XpresCheck diagnostic testing business, and we depend on them to comply with applicable laws and regulations. Additionally, any breaches of the information technology systems of third parties could have a material adverse effect on our operations.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depend on third parties to provide services critical to our XpresCheck diagnostic testing business, including supplies, ground and air transport of clinical and diagnostic testing supplies and specimens,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operations and reputation may be materially impaired if we do not comply with privacy laws or information security policies.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6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We will be subject to laws and regulations regarding protecting the security and privacy of certain healthcare and personal information, including: (a) the federal Health Insurance Portability and Accountability Act and the regulations thereunder,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6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must comply with complex and overlapping laws protecting the privacy and security of health information and personal data.</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Under the administrative simplification provisions of HIPAA, HHS has issued regulations which establish uniform standards governing the conduct of certain electronic health care transactions and protecting the privacy and security of PHI used or disclosed by health care providers and other covered entities.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privacy regulations regulate the use and disclosure of PHI by health care providers engaging in certain electronic transactions or “standard transactions.” They also set forth certain rights that an individual has with respect to his or her PHI maintained by a covered health 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 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security laws.</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the HIPAA, HITECH and state privacy restrictions may have a negative impact on our operations. Noncompliance could subject us to criminal penalties, civil sanctions and significant monetary penalties as well as reputational damage.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Our XpresCheck capital expenditures may not generate a positive return and we will incur significant additional costs.</w:t>
      </w:r>
    </w:p>
    <w:p>
      <w:pPr>
        <w:spacing w:after="0" w:line="26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capital expenditures may not generate a positive return. Significant capital expenditures will be required to construct new XpresCheck locations or renovate our existing spa facilities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testing could be limited, and our competitive position could be harmed.</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Additionally, </w:t>
      </w:r>
      <w:r>
        <w:rPr>
          <w:rFonts w:ascii="Arial" w:cs="Arial" w:eastAsia="Arial" w:hAnsi="Arial"/>
          <w:sz w:val="17"/>
          <w:szCs w:val="17"/>
          <w:color w:val="212529"/>
        </w:rPr>
        <w:t>we expect to incur significant additional costs as we implement the ability of our professional practice partner</w:t>
      </w:r>
      <w:r>
        <w:rPr>
          <w:rFonts w:ascii="Arial" w:cs="Arial" w:eastAsia="Arial" w:hAnsi="Arial"/>
          <w:sz w:val="17"/>
          <w:szCs w:val="17"/>
          <w:color w:val="auto"/>
        </w:rPr>
        <w:t xml:space="preserve"> </w:t>
      </w:r>
      <w:r>
        <w:rPr>
          <w:rFonts w:ascii="Arial" w:cs="Arial" w:eastAsia="Arial" w:hAnsi="Arial"/>
          <w:sz w:val="17"/>
          <w:szCs w:val="17"/>
          <w:color w:val="212529"/>
        </w:rPr>
        <w:t>to perform on-site COVID-19 testing by XpresCheck. The COVID-19 outbreak could disrupt our future supply chain, including by impacting our ability to secure COVID-19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8040" w:type="dxa"/>
            <w:vAlign w:val="bottom"/>
            <w:gridSpan w:val="1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1"/>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860" w:type="dxa"/>
            <w:vAlign w:val="bottom"/>
          </w:tcPr>
          <w:p>
            <w:pPr>
              <w:ind w:left="20"/>
              <w:spacing w:after="0" w:line="176" w:lineRule="exact"/>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3.1</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20" w:type="dxa"/>
            <w:vAlign w:val="bottom"/>
            <w:tcBorders>
              <w:bottom w:val="single" w:sz="8" w:color="0000EE"/>
            </w:tcBorders>
            <w:gridSpan w:val="12"/>
          </w:tcPr>
          <w:p>
            <w:pPr>
              <w:spacing w:after="0" w:line="17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Certificate of Amendment to the Amended and Restated Certificate of Incorporation of XpresSpa Group,</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Inc., filed with the Secretary of State of the State of Delaware on June 10, 2020 (incorporated by reference</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to Exhibit 3.1 to our Current Report on Form 8-K filed with SEC on June 10, 2020)</w:t>
              </w:r>
            </w:hyperlink>
          </w:p>
        </w:tc>
        <w:tc>
          <w:tcPr>
            <w:tcW w:w="1800" w:type="dxa"/>
            <w:vAlign w:val="bottom"/>
            <w:gridSpan w:val="2"/>
          </w:tcPr>
          <w:p>
            <w:pPr>
              <w:spacing w:after="0"/>
              <w:rPr>
                <w:sz w:val="17"/>
                <w:szCs w:val="17"/>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4.1</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Form of Warrant (incorporated by reference from Exhibit 4.1 to our Current Report on Form 8-K filed with</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12"/>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the SEC on June 17,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4.2</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5"/>
              </w:rPr>
            </w:pPr>
            <w:hyperlink r:id="rId63">
              <w:r>
                <w:rPr>
                  <w:rFonts w:ascii="Arial" w:cs="Arial" w:eastAsia="Arial" w:hAnsi="Arial"/>
                  <w:sz w:val="18"/>
                  <w:szCs w:val="18"/>
                  <w:color w:val="0000EE"/>
                  <w:w w:val="95"/>
                </w:rPr>
                <w:t>Form of Placement Agent Warrant (incorporated by reference from Exhibit 4.2 to our Current Report on</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12"/>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Form 8-K filed with the SEC on June 17,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4.3</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Amended and Restated Calm Note, dated as of April 17, 2020 (incorporated by reference to Exhibit 4.1 to</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our Current Report on Form 8-K filed with the SEC on April 17, 2020).</w:t>
              </w:r>
            </w:hyperlink>
          </w:p>
        </w:tc>
        <w:tc>
          <w:tcPr>
            <w:tcW w:w="2660" w:type="dxa"/>
            <w:vAlign w:val="bottom"/>
            <w:gridSpan w:val="4"/>
          </w:tcPr>
          <w:p>
            <w:pPr>
              <w:spacing w:after="0"/>
              <w:rPr>
                <w:sz w:val="17"/>
                <w:szCs w:val="17"/>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4.4</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Amended and Restated Convertible Promissory Note, dated as of April 22, 2020 (incorporated by reference</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1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to Exhibit 4.1 to our Current Report filed with the SEC on April 24,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4.5</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6"/>
              </w:rPr>
            </w:pPr>
            <w:hyperlink r:id="rId66">
              <w:r>
                <w:rPr>
                  <w:rFonts w:ascii="Arial" w:cs="Arial" w:eastAsia="Arial" w:hAnsi="Arial"/>
                  <w:sz w:val="18"/>
                  <w:szCs w:val="18"/>
                  <w:color w:val="0000EE"/>
                  <w:w w:val="96"/>
                </w:rPr>
                <w:t>Form of Pre-Funded Warrant, dated as of April 6, 2020 (incorporated by reference to Exhibit 4.1 to our</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Current Report filed with the SEC on April 6, 2020)</w:t>
              </w:r>
            </w:hyperlink>
          </w:p>
        </w:tc>
        <w:tc>
          <w:tcPr>
            <w:tcW w:w="4060" w:type="dxa"/>
            <w:vAlign w:val="bottom"/>
            <w:gridSpan w:val="7"/>
          </w:tcPr>
          <w:p>
            <w:pPr>
              <w:spacing w:after="0"/>
              <w:rPr>
                <w:sz w:val="17"/>
                <w:szCs w:val="17"/>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10.1</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Securities Purchase Agreement, date as of April 6, 2020, by and between the Company and the purchasers</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party thereto (incorporated by reference to Exhibit 10.1 to the Company’s Current Report on Form 8-K filed</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with the SEC on April 7, 2020)</w:t>
              </w:r>
            </w:hyperlink>
          </w:p>
        </w:tc>
        <w:tc>
          <w:tcPr>
            <w:tcW w:w="5560" w:type="dxa"/>
            <w:vAlign w:val="bottom"/>
            <w:gridSpan w:val="9"/>
          </w:tcPr>
          <w:p>
            <w:pPr>
              <w:spacing w:after="0"/>
              <w:rPr>
                <w:sz w:val="17"/>
                <w:szCs w:val="17"/>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10.2</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6"/>
              </w:rPr>
            </w:pPr>
            <w:hyperlink r:id="rId68">
              <w:r>
                <w:rPr>
                  <w:rFonts w:ascii="Arial" w:cs="Arial" w:eastAsia="Arial" w:hAnsi="Arial"/>
                  <w:sz w:val="18"/>
                  <w:szCs w:val="18"/>
                  <w:color w:val="0000EE"/>
                  <w:w w:val="96"/>
                </w:rPr>
                <w:t>U.S. Small Business Administration Paycheck Protection Program Note (incorporated by reference to</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12"/>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Exhibit 10.1 to our Current Report filed with the SEC on May 7,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10.3</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Form of Exchange Agreement, dated as of June 4, 2020 (incorporated by reference to Exhibit 10.1 to our</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1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Current Report on Form 8-K filed with the SEC on June 4,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10.4</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Securities Purchase Agreement, date as of June 17, 2020, by and between the Company and the purchasers</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party thereto (incorporated by reference to Exhibit 10.1 to our Current Report on Form 8-K filed with the</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12"/>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SEC on June 17, 2020)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4"/>
        </w:trPr>
        <w:tc>
          <w:tcPr>
            <w:tcW w:w="860" w:type="dxa"/>
            <w:vAlign w:val="bottom"/>
          </w:tcPr>
          <w:p>
            <w:pPr>
              <w:ind w:left="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31*</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Executive Officer and Principal Financial Officer pursuant to Exchange Act, Rules</w:t>
              </w:r>
            </w:hyperlink>
          </w:p>
        </w:tc>
      </w:tr>
      <w:tr>
        <w:trPr>
          <w:trHeight w:val="237"/>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20" w:type="dxa"/>
            <w:vAlign w:val="bottom"/>
            <w:gridSpan w:val="12"/>
          </w:tcPr>
          <w:p>
            <w:pPr>
              <w:spacing w:after="0"/>
              <w:rPr>
                <w:rFonts w:ascii="Arial" w:cs="Arial" w:eastAsia="Arial" w:hAnsi="Arial"/>
                <w:sz w:val="18"/>
                <w:szCs w:val="18"/>
                <w:u w:val="single" w:color="auto"/>
                <w:color w:val="0000EE"/>
                <w:w w:val="97"/>
              </w:rPr>
            </w:pPr>
            <w:hyperlink w:anchor="page55">
              <w:r>
                <w:rPr>
                  <w:rFonts w:ascii="Arial" w:cs="Arial" w:eastAsia="Arial" w:hAnsi="Arial"/>
                  <w:sz w:val="18"/>
                  <w:szCs w:val="18"/>
                  <w:u w:val="single" w:color="auto"/>
                  <w:color w:val="0000EE"/>
                  <w:w w:val="97"/>
                </w:rPr>
                <w:t>13a – 14(a) and 15d – 14(a), as adopted pursuant to Section 302 of the Sarbanes-Oxley Act of 2002</w:t>
              </w:r>
            </w:hyperlink>
          </w:p>
        </w:tc>
      </w:tr>
      <w:tr>
        <w:trPr>
          <w:trHeight w:val="283"/>
        </w:trPr>
        <w:tc>
          <w:tcPr>
            <w:tcW w:w="860" w:type="dxa"/>
            <w:vAlign w:val="bottom"/>
          </w:tcPr>
          <w:p>
            <w:pPr>
              <w:ind w:left="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32**</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Certifications  of Principal Executive Officer and Principal Financial Officer Pursuant to 18 U.S.C.</w:t>
              </w:r>
            </w:hyperlink>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Section 1350, as adopted pursuant to Section 906 of the Sarbanes-Oxley Act of 2002</w:t>
              </w:r>
            </w:hyperlink>
          </w:p>
        </w:tc>
      </w:tr>
      <w:tr>
        <w:trPr>
          <w:trHeight w:val="345"/>
        </w:trPr>
        <w:tc>
          <w:tcPr>
            <w:tcW w:w="86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XBRL Instance Document</w:t>
            </w:r>
          </w:p>
        </w:tc>
        <w:tc>
          <w:tcPr>
            <w:tcW w:w="1720" w:type="dxa"/>
            <w:vAlign w:val="bottom"/>
          </w:tcPr>
          <w:p>
            <w:pPr>
              <w:spacing w:after="0"/>
              <w:rPr>
                <w:sz w:val="24"/>
                <w:szCs w:val="24"/>
                <w:color w:val="auto"/>
              </w:rPr>
            </w:pPr>
          </w:p>
        </w:tc>
      </w:tr>
      <w:tr>
        <w:trPr>
          <w:trHeight w:val="324"/>
        </w:trPr>
        <w:tc>
          <w:tcPr>
            <w:tcW w:w="86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141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hanging="1050"/>
        <w:spacing w:after="0"/>
        <w:tabs>
          <w:tab w:leader="none" w:pos="11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7" w:lineRule="exact"/>
        <w:rPr>
          <w:sz w:val="20"/>
          <w:szCs w:val="20"/>
          <w:color w:val="auto"/>
        </w:rPr>
      </w:pPr>
    </w:p>
    <w:p>
      <w:pPr>
        <w:ind w:left="1100" w:hanging="1050"/>
        <w:spacing w:after="0"/>
        <w:tabs>
          <w:tab w:leader="none" w:pos="11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herein.</w:t>
      </w:r>
    </w:p>
    <w:p>
      <w:pPr>
        <w:spacing w:after="0" w:line="9" w:lineRule="exact"/>
        <w:rPr>
          <w:sz w:val="20"/>
          <w:szCs w:val="20"/>
          <w:color w:val="auto"/>
        </w:rPr>
      </w:pPr>
    </w:p>
    <w:p>
      <w:pPr>
        <w:ind w:left="1100" w:hanging="1050"/>
        <w:spacing w:after="0"/>
        <w:tabs>
          <w:tab w:leader="none" w:pos="11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contract or compensatory plan or arrangement.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August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29210</wp:posOffset>
            </wp:positionV>
            <wp:extent cx="2537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20320</wp:posOffset>
            </wp:positionV>
            <wp:extent cx="25463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3940" w:space="720"/>
            <w:col w:w="4359"/>
          </w:cols>
          <w:pgMar w:left="1440" w:top="517" w:right="1440" w:bottom="1440" w:gutter="0" w:footer="0" w:header="0"/>
          <w:type w:val="continuous"/>
        </w:sectPr>
      </w:pPr>
    </w:p>
    <w:p>
      <w:pPr>
        <w:jc w:val="center"/>
        <w:ind w:left="4860"/>
        <w:spacing w:after="0"/>
        <w:rPr>
          <w:sz w:val="20"/>
          <w:szCs w:val="20"/>
          <w:color w:val="auto"/>
        </w:rPr>
      </w:pPr>
      <w:r>
        <w:rPr>
          <w:rFonts w:ascii="Arial" w:cs="Arial" w:eastAsia="Arial" w:hAnsi="Arial"/>
          <w:sz w:val="18"/>
          <w:szCs w:val="18"/>
          <w:b w:val="1"/>
          <w:bCs w:val="1"/>
          <w:color w:val="auto"/>
        </w:rPr>
        <w:t>Douglas Satzman</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6"/>
          <w:szCs w:val="16"/>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637540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left="1000" w:right="2360"/>
        <w:spacing w:after="0" w:line="263"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2020</w:t>
      </w:r>
    </w:p>
    <w:p>
      <w:pPr>
        <w:spacing w:after="0" w:line="239"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June 30,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2020</w:t>
      </w:r>
    </w:p>
    <w:p>
      <w:pPr>
        <w:spacing w:after="0" w:line="225"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Douglas Satzman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upperLetter"/>
      <w:start w:val="68"/>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9"/>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1)"/>
      <w:numFmt w:val="lowerRoman"/>
      <w:start w:val="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61" Type="http://schemas.openxmlformats.org/officeDocument/2006/relationships/hyperlink" Target="https://www.sec.gov/Archives/edgar/data/1410428/000110465920071715/tm2021956d1_ex3-1.htm" TargetMode="External"/><Relationship Id="rId62" Type="http://schemas.openxmlformats.org/officeDocument/2006/relationships/hyperlink" Target="https://www.sec.gov/Archives/edgar/data/1410428/000110465920074007/tm2022774d1_ex4-1.htm" TargetMode="External"/><Relationship Id="rId63" Type="http://schemas.openxmlformats.org/officeDocument/2006/relationships/hyperlink" Target="https://www.sec.gov/Archives/edgar/data/1410428/000110465920074007/tm2022774d1_ex4-2.htm" TargetMode="External"/><Relationship Id="rId64" Type="http://schemas.openxmlformats.org/officeDocument/2006/relationships/hyperlink" Target="https://www.sec.gov/Archives/edgar/data/1410428/000110465920048297/tm2016230-1_ex41.htm" TargetMode="External"/><Relationship Id="rId65" Type="http://schemas.openxmlformats.org/officeDocument/2006/relationships/hyperlink" Target="https://www.sec.gov/Archives/edgar/data/1410428/000110465920051103/tm2016889d1_ex4-1.htm" TargetMode="External"/><Relationship Id="rId66" Type="http://schemas.openxmlformats.org/officeDocument/2006/relationships/hyperlink" Target="https://www.sec.gov/Archives/edgar/data/1410428/000110465920043879/tm2015133d1_ex4-1.htm" TargetMode="External"/><Relationship Id="rId67" Type="http://schemas.openxmlformats.org/officeDocument/2006/relationships/hyperlink" Target="https://www.sec.gov/Archives/edgar/data/1410428/000110465920043879/tm2015133d1_ex10-1.htm" TargetMode="External"/><Relationship Id="rId68" Type="http://schemas.openxmlformats.org/officeDocument/2006/relationships/hyperlink" Target="https://www.sec.gov/Archives/edgar/data/1410428/000110465920057642/tm2018713d2_ex10-1.htm" TargetMode="External"/><Relationship Id="rId69" Type="http://schemas.openxmlformats.org/officeDocument/2006/relationships/hyperlink" Target="https://www.sec.gov/Archives/edgar/data/1410428/000110465920069761/tm2021831d1_ex10-1.htm" TargetMode="External"/><Relationship Id="rId70" Type="http://schemas.openxmlformats.org/officeDocument/2006/relationships/hyperlink" Target="https://www.sec.gov/Archives/edgar/data/1410428/000110465920074007/tm202277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2020-08-19T16:09:26Z</dcterms:created>
  <dcterms:modified xsi:type="dcterms:W3CDTF">2020-08-19T16:09:26Z</dcterms:modified>
</cp:coreProperties>
</file>