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533881d1_8k.htm"/>
      <w:bookmarkStart w:id="1" w:name="kstm2533881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512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 xml:space="preserve">December 18, 2025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5"/>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0_edei--EntityFileNumber_c20251218"/>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7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0" w:type="dxa"/>
        </w:tblCellMar>
      </w:tblPr>
      <w:tblGrid>
        <w:gridCol w:w="4640"/>
        <w:gridCol w:w="60"/>
        <w:gridCol w:w="920"/>
      </w:tblGrid>
      <w:tr>
        <w:trPr/>
        <w:tc>
          <w:tcPr>
            <w:tcW w:w="4640" w:type="dxa"/>
            <w:tcBorders>
              <w:bottom w:val="single" w:sz="8" w:space="0" w:color="000000"/>
            </w:tcBorders>
            <w:vAlign w:val="center"/>
          </w:tcPr>
          <w:p>
            <w:pPr>
              <w:pStyle w:val="TableContents"/>
              <w:bidi w:val="0"/>
              <w:spacing w:before="0" w:after="283"/>
              <w:jc w:val="center"/>
              <w:rPr/>
            </w:pPr>
            <w:bookmarkStart w:id="8" w:name="xdx_903_edei--EntityAddressAddressLine1_"/>
            <w:bookmarkEnd w:id="8"/>
            <w:r>
              <w:rPr>
                <w:b/>
                <w:sz w:val="20"/>
              </w:rPr>
              <w:t xml:space="preserve">254 West 31st Street, </w:t>
            </w:r>
            <w:bookmarkStart w:id="9" w:name="xdx_905_edei--EntityAddressAddressLine2_"/>
            <w:bookmarkEnd w:id="9"/>
            <w:r>
              <w:rPr>
                <w:b/>
                <w:sz w:val="20"/>
              </w:rPr>
              <w:t xml:space="preserve">11th Floor, </w:t>
            </w:r>
            <w:bookmarkStart w:id="10" w:name="xdx_90C_edei--EntityAddressCityOrTown_c2"/>
            <w:bookmarkEnd w:id="10"/>
            <w:r>
              <w:rPr>
                <w:b/>
                <w:sz w:val="20"/>
              </w:rPr>
              <w:t xml:space="preserve">New York, </w:t>
            </w:r>
            <w:bookmarkStart w:id="11" w:name="xdx_900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0_edei--EntityAddressPostalZipCode"/>
            <w:bookmarkEnd w:id="12"/>
            <w:r>
              <w:rPr>
                <w:b/>
                <w:sz w:val="20"/>
              </w:rPr>
              <w:t>10001</w:t>
            </w:r>
          </w:p>
        </w:tc>
      </w:tr>
      <w:tr>
        <w:trPr/>
        <w:tc>
          <w:tcPr>
            <w:tcW w:w="464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51218__20"/>
      <w:bookmarkEnd w:id="13"/>
      <w:r>
        <w:rPr>
          <w:rFonts w:ascii="Times New Roman;Times;Serif" w:hAnsi="Times New Roman;Times;Serif"/>
          <w:b/>
          <w:i w:val="false"/>
          <w:caps w:val="false"/>
          <w:smallCaps w:val="false"/>
          <w:sz w:val="20"/>
        </w:rPr>
        <w:t xml:space="preserve">212) </w:t>
      </w:r>
      <w:bookmarkStart w:id="14" w:name="xdx_90B_edei--LocalPhoneNumber_c20251218"/>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5_edei--SolicitingMaterial_c202512"/>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E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F_edei--Security12bTitle_c20251218"/>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D_edei--TradingSymbol_c20251218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0_edei--SecurityExchangeName_c2025"/>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875"/>
        <w:gridCol w:w="443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5.07.</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December 18, 2025, XWELL, Inc. (the “</w:t>
      </w:r>
      <w:r>
        <w:rPr>
          <w:rFonts w:ascii="Times New Roman;Times;Serif" w:hAnsi="Times New Roman;Times;Serif"/>
          <w:b/>
          <w:i/>
          <w:caps w:val="false"/>
          <w:smallCaps w:val="false"/>
          <w:color w:val="212529"/>
          <w:sz w:val="20"/>
        </w:rPr>
        <w:t>Company</w:t>
      </w:r>
      <w:r>
        <w:rPr>
          <w:rFonts w:ascii="Times New Roman;Times;Serif" w:hAnsi="Times New Roman;Times;Serif"/>
          <w:b w:val="false"/>
          <w:i w:val="false"/>
          <w:caps w:val="false"/>
          <w:smallCaps w:val="false"/>
          <w:color w:val="212529"/>
          <w:sz w:val="20"/>
        </w:rPr>
        <w:t>”) held its 2025 Annual Meeting of Stockholders (the “</w:t>
      </w:r>
      <w:r>
        <w:rPr>
          <w:rFonts w:ascii="Times New Roman;Times;Serif" w:hAnsi="Times New Roman;Times;Serif"/>
          <w:b/>
          <w:i/>
          <w:caps w:val="false"/>
          <w:smallCaps w:val="false"/>
          <w:color w:val="212529"/>
          <w:sz w:val="20"/>
        </w:rPr>
        <w:t>Annual Meeting</w:t>
      </w:r>
      <w:r>
        <w:rPr>
          <w:rFonts w:ascii="Times New Roman;Times;Serif" w:hAnsi="Times New Roman;Times;Serif"/>
          <w:b w:val="false"/>
          <w:i w:val="false"/>
          <w:caps w:val="false"/>
          <w:smallCaps w:val="false"/>
          <w:color w:val="212529"/>
          <w:sz w:val="20"/>
        </w:rPr>
        <w:t>”). At the Annual Meeting, the Company’s stockholders voted on the eight proposals described below.</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As of November 6, 2025, the record date for the Annual Meeting, there (i) were 5,766,703 shares of common stock, par value $0.01 per share (the “</w:t>
      </w:r>
      <w:r>
        <w:rPr>
          <w:rFonts w:ascii="Times New Roman;Times;Serif" w:hAnsi="Times New Roman;Times;Serif"/>
          <w:b/>
          <w:i/>
          <w:caps w:val="false"/>
          <w:smallCaps w:val="false"/>
          <w:color w:val="212529"/>
          <w:sz w:val="20"/>
        </w:rPr>
        <w:t>Common Stock</w:t>
      </w:r>
      <w:r>
        <w:rPr>
          <w:rFonts w:ascii="Times New Roman;Times;Serif" w:hAnsi="Times New Roman;Times;Serif"/>
          <w:b w:val="false"/>
          <w:i w:val="false"/>
          <w:caps w:val="false"/>
          <w:smallCaps w:val="false"/>
          <w:color w:val="212529"/>
          <w:sz w:val="20"/>
        </w:rPr>
        <w:t>”) and (ii) 4,000 shares of Series G Preferred Stock (as defined herein), outstanding and entitled to vote on each matter presented for vote at the Annual Meeting. At the Annual Meeting, 4,049,638 (66.89%) of the total outstanding shares of common stock were represented in person or by proxy.</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final results for each of the matters submitted to a vote of stockholders at the Annual Meeting are as follows:</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1</w:t>
      </w:r>
      <w:r>
        <w:rPr>
          <w:rFonts w:ascii="Times New Roman;Times;Serif" w:hAnsi="Times New Roman;Times;Serif"/>
          <w:b w:val="false"/>
          <w:i w:val="false"/>
          <w:caps w:val="false"/>
          <w:smallCaps w:val="false"/>
          <w:color w:val="212529"/>
          <w:sz w:val="20"/>
        </w:rPr>
        <w:t>: The following five nominees were reelected to serve on the Company’s Board of Directors (the “</w:t>
      </w:r>
      <w:r>
        <w:rPr>
          <w:rFonts w:ascii="Times New Roman;Times;Serif" w:hAnsi="Times New Roman;Times;Serif"/>
          <w:b/>
          <w:i/>
          <w:caps w:val="false"/>
          <w:smallCaps w:val="false"/>
          <w:color w:val="212529"/>
          <w:sz w:val="20"/>
        </w:rPr>
        <w:t>Board</w:t>
      </w:r>
      <w:r>
        <w:rPr>
          <w:rFonts w:ascii="Times New Roman;Times;Serif" w:hAnsi="Times New Roman;Times;Serif"/>
          <w:b w:val="false"/>
          <w:i w:val="false"/>
          <w:caps w:val="false"/>
          <w:smallCaps w:val="false"/>
          <w:color w:val="212529"/>
          <w:sz w:val="20"/>
        </w:rPr>
        <w:t>”) until the 2026 Annual Meeting of Stockholders or until his or her respective successors have been duly elected and qualified, or until his or her earlier resignation or removal,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5074" w:type="dxa"/>
        <w:jc w:val="left"/>
        <w:tblInd w:w="0" w:type="dxa"/>
        <w:tblLayout w:type="fixed"/>
        <w:tblCellMar>
          <w:top w:w="0" w:type="dxa"/>
          <w:left w:w="0" w:type="dxa"/>
          <w:bottom w:w="28" w:type="dxa"/>
          <w:right w:w="0" w:type="dxa"/>
        </w:tblCellMar>
      </w:tblPr>
      <w:tblGrid>
        <w:gridCol w:w="1520"/>
        <w:gridCol w:w="60"/>
        <w:gridCol w:w="60"/>
        <w:gridCol w:w="845"/>
        <w:gridCol w:w="60"/>
        <w:gridCol w:w="60"/>
        <w:gridCol w:w="62"/>
        <w:gridCol w:w="723"/>
        <w:gridCol w:w="60"/>
        <w:gridCol w:w="60"/>
        <w:gridCol w:w="98"/>
        <w:gridCol w:w="1391"/>
        <w:gridCol w:w="75"/>
      </w:tblGrid>
      <w:tr>
        <w:trPr/>
        <w:tc>
          <w:tcPr>
            <w:tcW w:w="15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Name</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For</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78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Withheld</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Broker Non-Votes</w:t>
            </w:r>
          </w:p>
        </w:tc>
        <w:tc>
          <w:tcPr>
            <w:tcW w:w="75"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r>
      <w:tr>
        <w:trPr/>
        <w:tc>
          <w:tcPr>
            <w:tcW w:w="15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Ezra Ernst</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2,318,830</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2"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211,636</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1,806,432</w:t>
            </w:r>
          </w:p>
        </w:tc>
        <w:tc>
          <w:tcPr>
            <w:tcW w:w="7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5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Bruce Bernstein</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2,052,900</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2"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477,565</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1,806,432</w:t>
            </w:r>
          </w:p>
        </w:tc>
        <w:tc>
          <w:tcPr>
            <w:tcW w:w="7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5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Robert Weinstein</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1,943,374</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2"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587,092</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1,806,432</w:t>
            </w:r>
          </w:p>
        </w:tc>
        <w:tc>
          <w:tcPr>
            <w:tcW w:w="7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5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Gaëlle Wizenberg</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2,141,245</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2"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389,221</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1,806,432</w:t>
            </w:r>
          </w:p>
        </w:tc>
        <w:tc>
          <w:tcPr>
            <w:tcW w:w="7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5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Michael Lebowitz</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1,965,501</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2"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2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564,965</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8"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1,806,432</w:t>
            </w:r>
          </w:p>
        </w:tc>
        <w:tc>
          <w:tcPr>
            <w:tcW w:w="7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2</w:t>
      </w:r>
      <w:r>
        <w:rPr>
          <w:rFonts w:ascii="Times New Roman;Times;Serif" w:hAnsi="Times New Roman;Times;Serif"/>
          <w:b w:val="false"/>
          <w:i w:val="false"/>
          <w:caps w:val="false"/>
          <w:smallCaps w:val="false"/>
          <w:color w:val="212529"/>
          <w:sz w:val="20"/>
        </w:rPr>
        <w:t>: The appointment of CBIZ CPAs, P.C. as the Company’s independent registered public accounting firm for the fiscal year ending December 31, 2025, was ratified,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594" w:type="dxa"/>
        <w:jc w:val="left"/>
        <w:tblInd w:w="0" w:type="dxa"/>
        <w:tblLayout w:type="fixed"/>
        <w:tblCellMar>
          <w:top w:w="0" w:type="dxa"/>
          <w:left w:w="0" w:type="dxa"/>
          <w:bottom w:w="28" w:type="dxa"/>
          <w:right w:w="0" w:type="dxa"/>
        </w:tblCellMar>
      </w:tblPr>
      <w:tblGrid>
        <w:gridCol w:w="75"/>
        <w:gridCol w:w="845"/>
        <w:gridCol w:w="60"/>
        <w:gridCol w:w="60"/>
        <w:gridCol w:w="60"/>
        <w:gridCol w:w="695"/>
        <w:gridCol w:w="60"/>
        <w:gridCol w:w="60"/>
        <w:gridCol w:w="91"/>
        <w:gridCol w:w="904"/>
        <w:gridCol w:w="60"/>
        <w:gridCol w:w="60"/>
        <w:gridCol w:w="637"/>
        <w:gridCol w:w="852"/>
        <w:gridCol w:w="75"/>
      </w:tblGrid>
      <w:tr>
        <w:trPr/>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For</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Against</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Abstentions</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Broker Non-Votes</w:t>
            </w:r>
          </w:p>
        </w:tc>
        <w:tc>
          <w:tcPr>
            <w:tcW w:w="75"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r>
      <w:tr>
        <w:trPr/>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3,641,953</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378,367</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1"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29,317</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212529"/>
              </w:rPr>
            </w:pPr>
            <w:r>
              <w:rPr>
                <w:caps w:val="false"/>
                <w:smallCaps w:val="false"/>
                <w:color w:val="212529"/>
              </w:rPr>
              <w:t> </w:t>
            </w:r>
          </w:p>
        </w:tc>
        <w:tc>
          <w:tcPr>
            <w:tcW w:w="637" w:type="dxa"/>
            <w:tcBorders/>
            <w:shd w:fill="CCEEFF" w:val="clear"/>
            <w:tcMar>
              <w:bottom w:w="0" w:type="dxa"/>
            </w:tcMar>
            <w:vAlign w:val="center"/>
          </w:tcPr>
          <w:p>
            <w:pPr>
              <w:pStyle w:val="TableContents"/>
              <w:bidi w:val="0"/>
              <w:spacing w:before="0" w:after="283"/>
              <w:jc w:val="center"/>
              <w:rPr>
                <w:caps w:val="false"/>
                <w:smallCaps w:val="false"/>
                <w:color w:val="212529"/>
              </w:rPr>
            </w:pPr>
            <w:r>
              <w:rPr>
                <w:caps w:val="false"/>
                <w:smallCaps w:val="false"/>
                <w:color w:val="212529"/>
              </w:rPr>
              <w:t> </w:t>
            </w:r>
          </w:p>
        </w:tc>
        <w:tc>
          <w:tcPr>
            <w:tcW w:w="85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w:t>
            </w:r>
          </w:p>
        </w:tc>
        <w:tc>
          <w:tcPr>
            <w:tcW w:w="75" w:type="dxa"/>
            <w:tcBorders/>
            <w:shd w:fill="CCEEFF" w:val="clear"/>
            <w:tcMar>
              <w:bottom w:w="0" w:type="dxa"/>
            </w:tcMar>
            <w:vAlign w:val="center"/>
          </w:tcPr>
          <w:p>
            <w:pPr>
              <w:pStyle w:val="TableContents"/>
              <w:bidi w:val="0"/>
              <w:spacing w:before="0" w:after="283"/>
              <w:jc w:val="center"/>
              <w:rPr>
                <w:caps w:val="false"/>
                <w:smallCaps w:val="false"/>
                <w:color w:val="212529"/>
              </w:rPr>
            </w:pPr>
            <w:r>
              <w:rPr>
                <w:caps w:val="false"/>
                <w:smallCaps w:val="false"/>
                <w:color w:val="212529"/>
              </w:rPr>
              <w:t> </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3</w:t>
      </w:r>
      <w:r>
        <w:rPr>
          <w:rFonts w:ascii="Times New Roman;Times;Serif" w:hAnsi="Times New Roman;Times;Serif"/>
          <w:b w:val="false"/>
          <w:i w:val="false"/>
          <w:caps w:val="false"/>
          <w:smallCaps w:val="false"/>
          <w:color w:val="212529"/>
          <w:sz w:val="20"/>
        </w:rPr>
        <w:t>: The compensation of the Company’s named executive officers was approved, on a non-binding, advisory basis,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594" w:type="dxa"/>
        <w:jc w:val="left"/>
        <w:tblInd w:w="0" w:type="dxa"/>
        <w:tblLayout w:type="fixed"/>
        <w:tblCellMar>
          <w:top w:w="0" w:type="dxa"/>
          <w:left w:w="0" w:type="dxa"/>
          <w:bottom w:w="28" w:type="dxa"/>
          <w:right w:w="0" w:type="dxa"/>
        </w:tblCellMar>
      </w:tblPr>
      <w:tblGrid>
        <w:gridCol w:w="75"/>
        <w:gridCol w:w="845"/>
        <w:gridCol w:w="60"/>
        <w:gridCol w:w="60"/>
        <w:gridCol w:w="60"/>
        <w:gridCol w:w="695"/>
        <w:gridCol w:w="60"/>
        <w:gridCol w:w="60"/>
        <w:gridCol w:w="109"/>
        <w:gridCol w:w="886"/>
        <w:gridCol w:w="60"/>
        <w:gridCol w:w="60"/>
        <w:gridCol w:w="98"/>
        <w:gridCol w:w="1391"/>
        <w:gridCol w:w="75"/>
      </w:tblGrid>
      <w:tr>
        <w:trPr/>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For</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Against</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Abstentions</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Broker Non-Votes</w:t>
            </w:r>
          </w:p>
        </w:tc>
        <w:tc>
          <w:tcPr>
            <w:tcW w:w="75"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r>
      <w:tr>
        <w:trPr/>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1,984,789</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540,408</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09"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5,269</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1,806,432</w:t>
            </w:r>
          </w:p>
        </w:tc>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4</w:t>
      </w:r>
      <w:r>
        <w:rPr>
          <w:rFonts w:ascii="Times New Roman;Times;Serif" w:hAnsi="Times New Roman;Times;Serif"/>
          <w:b w:val="false"/>
          <w:i w:val="false"/>
          <w:caps w:val="false"/>
          <w:smallCaps w:val="false"/>
          <w:color w:val="212529"/>
          <w:sz w:val="20"/>
        </w:rPr>
        <w:t>: The frequency of the Company’s future non-binding advisory votes of the stockholders’ approval of the executive compensation of the Company, was approved on a non-binding, advisory basis, for every three years,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5436" w:type="dxa"/>
        <w:jc w:val="left"/>
        <w:tblInd w:w="0" w:type="dxa"/>
        <w:tblLayout w:type="fixed"/>
        <w:tblCellMar>
          <w:top w:w="0" w:type="dxa"/>
          <w:left w:w="0" w:type="dxa"/>
          <w:bottom w:w="28" w:type="dxa"/>
          <w:right w:w="0" w:type="dxa"/>
        </w:tblCellMar>
      </w:tblPr>
      <w:tblGrid>
        <w:gridCol w:w="81"/>
        <w:gridCol w:w="913"/>
        <w:gridCol w:w="60"/>
        <w:gridCol w:w="60"/>
        <w:gridCol w:w="80"/>
        <w:gridCol w:w="794"/>
        <w:gridCol w:w="60"/>
        <w:gridCol w:w="60"/>
        <w:gridCol w:w="61"/>
        <w:gridCol w:w="708"/>
        <w:gridCol w:w="60"/>
        <w:gridCol w:w="60"/>
        <w:gridCol w:w="60"/>
        <w:gridCol w:w="695"/>
        <w:gridCol w:w="60"/>
        <w:gridCol w:w="60"/>
        <w:gridCol w:w="98"/>
        <w:gridCol w:w="1391"/>
        <w:gridCol w:w="75"/>
      </w:tblGrid>
      <w:tr>
        <w:trPr/>
        <w:tc>
          <w:tcPr>
            <w:tcW w:w="9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Three Years</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8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Two Years</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One Year</w:t>
            </w:r>
          </w:p>
        </w:tc>
        <w:tc>
          <w:tcPr>
            <w:tcW w:w="60"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Abstain</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Broker Non-Votes</w:t>
            </w:r>
          </w:p>
        </w:tc>
        <w:tc>
          <w:tcPr>
            <w:tcW w:w="75"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r>
      <w:tr>
        <w:trPr/>
        <w:tc>
          <w:tcPr>
            <w:tcW w:w="81"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1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1,470,510</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79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12,899</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1"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70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860,169</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186,888</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1,806,432</w:t>
            </w:r>
          </w:p>
        </w:tc>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bl>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u w:val="single"/>
        </w:rPr>
        <w:t>Proposal 5</w:t>
      </w:r>
      <w:r>
        <w:rPr>
          <w:rFonts w:ascii="Times New Roman;Times;Serif" w:hAnsi="Times New Roman;Times;Serif"/>
          <w:b w:val="false"/>
          <w:i w:val="false"/>
          <w:caps w:val="false"/>
          <w:smallCaps w:val="false"/>
          <w:color w:val="212529"/>
          <w:sz w:val="20"/>
        </w:rPr>
        <w:t>: The amendment</w:t>
      </w:r>
      <w:r>
        <w:rPr>
          <w:rFonts w:ascii="Times New Roman;Times;Serif" w:hAnsi="Times New Roman;Times;Serif"/>
          <w:b w:val="false"/>
          <w:i w:val="false"/>
          <w:caps w:val="false"/>
          <w:smallCaps w:val="false"/>
          <w:sz w:val="20"/>
        </w:rPr>
        <w:t xml:space="preserve"> to the Company’s Certificate of Incorporation (as amended, the “Certificate of Incorporation”) to classify the Board into two classes, with the directors in each class to serve staggered two-year terms, was not approved,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594" w:type="dxa"/>
        <w:jc w:val="left"/>
        <w:tblInd w:w="0" w:type="dxa"/>
        <w:tblLayout w:type="fixed"/>
        <w:tblCellMar>
          <w:top w:w="0" w:type="dxa"/>
          <w:left w:w="0" w:type="dxa"/>
          <w:bottom w:w="28" w:type="dxa"/>
          <w:right w:w="0" w:type="dxa"/>
        </w:tblCellMar>
      </w:tblPr>
      <w:tblGrid>
        <w:gridCol w:w="75"/>
        <w:gridCol w:w="845"/>
        <w:gridCol w:w="60"/>
        <w:gridCol w:w="60"/>
        <w:gridCol w:w="60"/>
        <w:gridCol w:w="695"/>
        <w:gridCol w:w="60"/>
        <w:gridCol w:w="60"/>
        <w:gridCol w:w="91"/>
        <w:gridCol w:w="904"/>
        <w:gridCol w:w="60"/>
        <w:gridCol w:w="60"/>
        <w:gridCol w:w="98"/>
        <w:gridCol w:w="1391"/>
        <w:gridCol w:w="75"/>
      </w:tblGrid>
      <w:tr>
        <w:trPr/>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For</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Against</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Abstentions</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Broker Non-Votes</w:t>
            </w:r>
          </w:p>
        </w:tc>
        <w:tc>
          <w:tcPr>
            <w:tcW w:w="75"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r>
      <w:tr>
        <w:trPr/>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1,789,561</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721,530</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1"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19,375</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1,806,432</w:t>
            </w:r>
          </w:p>
        </w:tc>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6</w:t>
      </w:r>
      <w:r>
        <w:rPr>
          <w:rFonts w:ascii="Times New Roman;Times;Serif" w:hAnsi="Times New Roman;Times;Serif"/>
          <w:b w:val="false"/>
          <w:i w:val="false"/>
          <w:caps w:val="false"/>
          <w:smallCaps w:val="false"/>
          <w:color w:val="212529"/>
          <w:sz w:val="20"/>
        </w:rPr>
        <w:t>: The amendment to the Company’s Certificate of Incorporation to effect, at the discretion of the Board but prior to the one-year anniversary of the reverse stock split is approved by the Company’s stockholders at the Annual Meeting, at a ratio in the range of 1-for-2 to 1-for-20, with such ratio to be determined by the Board in its discretion and included in a public announcement, was approved,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594" w:type="dxa"/>
        <w:jc w:val="left"/>
        <w:tblInd w:w="0" w:type="dxa"/>
        <w:tblLayout w:type="fixed"/>
        <w:tblCellMar>
          <w:top w:w="0" w:type="dxa"/>
          <w:left w:w="0" w:type="dxa"/>
          <w:bottom w:w="28" w:type="dxa"/>
          <w:right w:w="0" w:type="dxa"/>
        </w:tblCellMar>
      </w:tblPr>
      <w:tblGrid>
        <w:gridCol w:w="75"/>
        <w:gridCol w:w="845"/>
        <w:gridCol w:w="60"/>
        <w:gridCol w:w="60"/>
        <w:gridCol w:w="60"/>
        <w:gridCol w:w="695"/>
        <w:gridCol w:w="60"/>
        <w:gridCol w:w="60"/>
        <w:gridCol w:w="109"/>
        <w:gridCol w:w="886"/>
        <w:gridCol w:w="60"/>
        <w:gridCol w:w="60"/>
        <w:gridCol w:w="98"/>
        <w:gridCol w:w="1391"/>
        <w:gridCol w:w="75"/>
      </w:tblGrid>
      <w:tr>
        <w:trPr/>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For</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Against</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Abstentions</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Broker Non-Votes</w:t>
            </w:r>
          </w:p>
        </w:tc>
        <w:tc>
          <w:tcPr>
            <w:tcW w:w="75"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r>
      <w:tr>
        <w:trPr/>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3,126,359</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918,089</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09"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8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5,190</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1,806,432</w:t>
            </w:r>
          </w:p>
        </w:tc>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bl>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7</w:t>
      </w:r>
      <w:r>
        <w:rPr>
          <w:rFonts w:ascii="Times New Roman;Times;Serif" w:hAnsi="Times New Roman;Times;Serif"/>
          <w:b w:val="false"/>
          <w:i w:val="false"/>
          <w:caps w:val="false"/>
          <w:smallCaps w:val="false"/>
          <w:color w:val="212529"/>
          <w:sz w:val="20"/>
        </w:rPr>
        <w:t>: The issuance of, for purposes of complying with Nasdaq Listing Rule 5635(d), (A) any additional shares of Common Stock underlying (i) shares of Series G Convertible Preferred Stock, par value $0.01 per share (as adjusted by that certain Certificate of Amendment, dated November 4, 2025, the “</w:t>
      </w:r>
      <w:r>
        <w:rPr>
          <w:rFonts w:ascii="Times New Roman;Times;Serif" w:hAnsi="Times New Roman;Times;Serif"/>
          <w:b/>
          <w:i/>
          <w:caps w:val="false"/>
          <w:smallCaps w:val="false"/>
          <w:color w:val="212529"/>
          <w:sz w:val="20"/>
        </w:rPr>
        <w:t>Series G Preferred Stock</w:t>
      </w:r>
      <w:r>
        <w:rPr>
          <w:rFonts w:ascii="Times New Roman;Times;Serif" w:hAnsi="Times New Roman;Times;Serif"/>
          <w:b w:val="false"/>
          <w:i w:val="false"/>
          <w:caps w:val="false"/>
          <w:smallCaps w:val="false"/>
          <w:color w:val="212529"/>
          <w:sz w:val="20"/>
        </w:rPr>
        <w:t>”), (ii) the amended and restated series A warrants to purchase shares of Common Stock (the “</w:t>
      </w:r>
      <w:r>
        <w:rPr>
          <w:rFonts w:ascii="Times New Roman;Times;Serif" w:hAnsi="Times New Roman;Times;Serif"/>
          <w:b/>
          <w:i/>
          <w:caps w:val="false"/>
          <w:smallCaps w:val="false"/>
          <w:color w:val="212529"/>
          <w:sz w:val="20"/>
        </w:rPr>
        <w:t>Amended and Restated Series A Warrants</w:t>
      </w:r>
      <w:r>
        <w:rPr>
          <w:rFonts w:ascii="Times New Roman;Times;Serif" w:hAnsi="Times New Roman;Times;Serif"/>
          <w:b w:val="false"/>
          <w:i w:val="false"/>
          <w:caps w:val="false"/>
          <w:smallCaps w:val="false"/>
          <w:color w:val="212529"/>
          <w:sz w:val="20"/>
        </w:rPr>
        <w:t>”), (iii) the amended and restated series B warrants to purchase shares of Common Stock (the “</w:t>
      </w:r>
      <w:r>
        <w:rPr>
          <w:rFonts w:ascii="Times New Roman;Times;Serif" w:hAnsi="Times New Roman;Times;Serif"/>
          <w:b/>
          <w:i/>
          <w:caps w:val="false"/>
          <w:smallCaps w:val="false"/>
          <w:color w:val="212529"/>
          <w:sz w:val="20"/>
        </w:rPr>
        <w:t>Amended and Restated Series B Warrants</w:t>
      </w:r>
      <w:r>
        <w:rPr>
          <w:rFonts w:ascii="Times New Roman;Times;Serif" w:hAnsi="Times New Roman;Times;Serif"/>
          <w:b w:val="false"/>
          <w:i w:val="false"/>
          <w:caps w:val="false"/>
          <w:smallCaps w:val="false"/>
          <w:color w:val="212529"/>
          <w:sz w:val="20"/>
        </w:rPr>
        <w:t>,” and together with the Amended and Restated Series A Warrants, the “</w:t>
      </w:r>
      <w:r>
        <w:rPr>
          <w:rFonts w:ascii="Times New Roman;Times;Serif" w:hAnsi="Times New Roman;Times;Serif"/>
          <w:b/>
          <w:i/>
          <w:caps w:val="false"/>
          <w:smallCaps w:val="false"/>
          <w:color w:val="212529"/>
          <w:sz w:val="20"/>
        </w:rPr>
        <w:t>Warrants</w:t>
      </w:r>
      <w:r>
        <w:rPr>
          <w:rFonts w:ascii="Times New Roman;Times;Serif" w:hAnsi="Times New Roman;Times;Serif"/>
          <w:b w:val="false"/>
          <w:i w:val="false"/>
          <w:caps w:val="false"/>
          <w:smallCaps w:val="false"/>
          <w:color w:val="212529"/>
          <w:sz w:val="20"/>
        </w:rPr>
        <w:t>”), and (B) shares of Common Stock underlying the Senior Secured Convertible Notes (the “</w:t>
      </w:r>
      <w:r>
        <w:rPr>
          <w:rFonts w:ascii="Times New Roman;Times;Serif" w:hAnsi="Times New Roman;Times;Serif"/>
          <w:b/>
          <w:i/>
          <w:caps w:val="false"/>
          <w:smallCaps w:val="false"/>
          <w:color w:val="212529"/>
          <w:sz w:val="20"/>
        </w:rPr>
        <w:t>Notes</w:t>
      </w:r>
      <w:r>
        <w:rPr>
          <w:rFonts w:ascii="Times New Roman;Times;Serif" w:hAnsi="Times New Roman;Times;Serif"/>
          <w:b w:val="false"/>
          <w:i w:val="false"/>
          <w:caps w:val="false"/>
          <w:smallCaps w:val="false"/>
          <w:color w:val="212529"/>
          <w:sz w:val="20"/>
        </w:rPr>
        <w:t>”), in each case, issued by the Company pursuant to the terms of that certain Securities Exchange and Amendment Agreement, dated as of November 3, 2025, by and among the Company and the investors named therein (the “</w:t>
      </w:r>
      <w:r>
        <w:rPr>
          <w:rFonts w:ascii="Times New Roman;Times;Serif" w:hAnsi="Times New Roman;Times;Serif"/>
          <w:b/>
          <w:i/>
          <w:caps w:val="false"/>
          <w:smallCaps w:val="false"/>
          <w:color w:val="212529"/>
          <w:sz w:val="20"/>
        </w:rPr>
        <w:t>Exchange Agreement</w:t>
      </w:r>
      <w:r>
        <w:rPr>
          <w:rFonts w:ascii="Times New Roman;Times;Serif" w:hAnsi="Times New Roman;Times;Serif"/>
          <w:b w:val="false"/>
          <w:i w:val="false"/>
          <w:caps w:val="false"/>
          <w:smallCaps w:val="false"/>
          <w:color w:val="212529"/>
          <w:sz w:val="20"/>
        </w:rPr>
        <w:t>”), in an amount equal to or in excess of 19.99% of Common Stock outstanding immediately prior to the date of the Exchange Agreement (including any amortization and/or dividends made to the holders of the Series G Preferred Stock and the Notes, as the case may be, in the form of issuance of shares of Common Stock pursuant to certain provisions applicable to such Series G Preferred Stock, the Warrants and the Notes in accordance with their terms) and, in case of the Series G Preferred Stock and the Warrants, at a conversion or exercise price per share, as applicable, lower than such prices previously approved by stockholders, was approved,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594" w:type="dxa"/>
        <w:jc w:val="left"/>
        <w:tblInd w:w="0" w:type="dxa"/>
        <w:tblLayout w:type="fixed"/>
        <w:tblCellMar>
          <w:top w:w="0" w:type="dxa"/>
          <w:left w:w="0" w:type="dxa"/>
          <w:bottom w:w="28" w:type="dxa"/>
          <w:right w:w="0" w:type="dxa"/>
        </w:tblCellMar>
      </w:tblPr>
      <w:tblGrid>
        <w:gridCol w:w="75"/>
        <w:gridCol w:w="845"/>
        <w:gridCol w:w="60"/>
        <w:gridCol w:w="60"/>
        <w:gridCol w:w="60"/>
        <w:gridCol w:w="695"/>
        <w:gridCol w:w="60"/>
        <w:gridCol w:w="60"/>
        <w:gridCol w:w="91"/>
        <w:gridCol w:w="904"/>
        <w:gridCol w:w="60"/>
        <w:gridCol w:w="60"/>
        <w:gridCol w:w="98"/>
        <w:gridCol w:w="1391"/>
        <w:gridCol w:w="75"/>
      </w:tblGrid>
      <w:tr>
        <w:trPr/>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For</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Against</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Abstentions</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Broker Non-Votes</w:t>
            </w:r>
          </w:p>
        </w:tc>
        <w:tc>
          <w:tcPr>
            <w:tcW w:w="75"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r>
      <w:tr>
        <w:trPr/>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1,700,569</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530,197</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1"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12,440</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8"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1,806,432</w:t>
            </w:r>
          </w:p>
        </w:tc>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bl>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u w:val="single"/>
        </w:rPr>
        <w:t>Proposal 8</w:t>
      </w:r>
      <w:r>
        <w:rPr>
          <w:rFonts w:ascii="Times New Roman;Times;Serif" w:hAnsi="Times New Roman;Times;Serif"/>
          <w:b w:val="false"/>
          <w:i w:val="false"/>
          <w:caps w:val="false"/>
          <w:smallCaps w:val="false"/>
          <w:color w:val="212529"/>
          <w:sz w:val="20"/>
        </w:rPr>
        <w:t>: The adjournment of the Annual Meeting to a later date or dates, if necessary or appropriate, to permit further solicitation and vote of proxies in the event that there are insufficient votes for, or otherwise in connection with, the approval of any one or more of the foregoing proposals, having received the following votes: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594" w:type="dxa"/>
        <w:jc w:val="left"/>
        <w:tblInd w:w="0" w:type="dxa"/>
        <w:tblLayout w:type="fixed"/>
        <w:tblCellMar>
          <w:top w:w="0" w:type="dxa"/>
          <w:left w:w="0" w:type="dxa"/>
          <w:bottom w:w="28" w:type="dxa"/>
          <w:right w:w="0" w:type="dxa"/>
        </w:tblCellMar>
      </w:tblPr>
      <w:tblGrid>
        <w:gridCol w:w="75"/>
        <w:gridCol w:w="845"/>
        <w:gridCol w:w="60"/>
        <w:gridCol w:w="60"/>
        <w:gridCol w:w="60"/>
        <w:gridCol w:w="695"/>
        <w:gridCol w:w="60"/>
        <w:gridCol w:w="60"/>
        <w:gridCol w:w="91"/>
        <w:gridCol w:w="904"/>
        <w:gridCol w:w="60"/>
        <w:gridCol w:w="60"/>
        <w:gridCol w:w="637"/>
        <w:gridCol w:w="852"/>
        <w:gridCol w:w="75"/>
      </w:tblGrid>
      <w:tr>
        <w:trPr/>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For</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Against</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Abstentions</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60"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Broker Non-Votes</w:t>
            </w:r>
          </w:p>
        </w:tc>
        <w:tc>
          <w:tcPr>
            <w:tcW w:w="75" w:type="dxa"/>
            <w:tcBorders/>
            <w:tcMar>
              <w:bottom w:w="0" w:type="dxa"/>
            </w:tcMar>
            <w:vAlign w:val="center"/>
          </w:tcPr>
          <w:p>
            <w:pPr>
              <w:pStyle w:val="TableContents"/>
              <w:bidi w:val="0"/>
              <w:spacing w:before="0" w:after="283"/>
              <w:jc w:val="left"/>
              <w:rPr>
                <w:caps w:val="false"/>
                <w:smallCaps w:val="false"/>
                <w:color w:val="212529"/>
              </w:rPr>
            </w:pPr>
            <w:r>
              <w:rPr>
                <w:caps w:val="false"/>
                <w:smallCaps w:val="false"/>
                <w:color w:val="212529"/>
              </w:rPr>
              <w:t> </w:t>
            </w:r>
          </w:p>
        </w:tc>
      </w:tr>
      <w:tr>
        <w:trPr/>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3,228,340</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802,786</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1"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90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18,512</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37"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85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75" w:type="dxa"/>
            <w:tcBorders/>
            <w:shd w:fill="CCEEFF" w:val="clear"/>
            <w:tcMar>
              <w:bottom w:w="0" w:type="dxa"/>
            </w:tcMar>
            <w:vAlign w:val="center"/>
          </w:tcPr>
          <w:p>
            <w:pPr>
              <w:pStyle w:val="TableContents"/>
              <w:bidi w:val="0"/>
              <w:spacing w:before="0" w:after="283"/>
              <w:jc w:val="center"/>
              <w:rPr>
                <w:caps w:val="false"/>
                <w:smallCaps w:val="false"/>
                <w:color w:val="000000"/>
              </w:rPr>
            </w:pPr>
            <w:r>
              <w:rPr>
                <w:caps w:val="false"/>
                <w:smallCaps w:val="false"/>
                <w:color w:val="00000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foregoing proposals, see the Company’s definitive proxy statement for the Annual Meeting, filed with the Securities and Exchange Commission on November 17, 2025, the relevant portions of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reported above are final voting results. No other matters were considered or voted upon at the Annual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090"/>
        <w:gridCol w:w="545"/>
        <w:gridCol w:w="3095"/>
      </w:tblGrid>
      <w:tr>
        <w:trPr/>
        <w:tc>
          <w:tcPr>
            <w:tcW w:w="2090"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rFonts w:ascii="Times New Roman;Times;Serif" w:hAnsi="Times New Roman;Times;Serif"/>
                <w:b/>
                <w:caps/>
                <w:sz w:val="20"/>
              </w:rPr>
              <w:t>XWELL, I</w:t>
            </w:r>
            <w:r>
              <w:rPr>
                <w:rFonts w:ascii="Times New Roman;Times;Serif" w:hAnsi="Times New Roman;Times;Serif"/>
                <w:b/>
                <w:sz w:val="20"/>
              </w:rPr>
              <w:t>NC</w:t>
            </w:r>
            <w:r>
              <w:rPr>
                <w:rFonts w:ascii="Times New Roman;Times;Serif" w:hAnsi="Times New Roman;Times;Serif"/>
                <w:b/>
                <w:caps/>
                <w:sz w:val="20"/>
              </w:rPr>
              <w:t>.</w:t>
            </w:r>
          </w:p>
        </w:tc>
      </w:tr>
      <w:tr>
        <w:trPr/>
        <w:tc>
          <w:tcPr>
            <w:tcW w:w="20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20"/>
              </w:rPr>
            </w:pPr>
            <w:r>
              <w:rPr>
                <w:sz w:val="20"/>
              </w:rPr>
              <w:t>Date: December 18, 2025</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T. Ernst</w:t>
            </w:r>
          </w:p>
        </w:tc>
      </w:tr>
      <w:tr>
        <w:trPr/>
        <w:tc>
          <w:tcPr>
            <w:tcW w:w="20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Ezra T. Ernst</w:t>
            </w:r>
          </w:p>
        </w:tc>
      </w:tr>
      <w:tr>
        <w:trPr/>
        <w:tc>
          <w:tcPr>
            <w:tcW w:w="20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1238</Words>
  <Characters>6765</Characters>
  <CharactersWithSpaces>8119</CharactersWithSpaces>
  <Paragraphs>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