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xwel-20251231x10ka.htm"/>
        <w:bookmarkStart w:id="1" w:name="ksxwel2025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bookmarkStart w:id="2" w:name="_c2c30855_c5a8_431a_98ad_883fdd9b8cdb"/>
      <w:bookmarkEnd w:id="2"/>
      <w:r>
        <w:rPr/>
        <w:t>​</w:t>
      </w:r>
    </w:p>
    <w:p>
      <w:pPr>
        <w:pStyle w:val="TextBody"/>
        <w:bidi w:val="0"/>
        <w:spacing w:before="60" w:after="0"/>
        <w:ind w:left="0" w:right="0" w:hanging="0"/>
        <w:jc w:val="center"/>
        <w:rPr>
          <w:rFonts w:ascii="Times New Roman;Times;serif" w:hAnsi="Times New Roman;Times;serif"/>
          <w:b/>
          <w:i/>
          <w:sz w:val="16"/>
        </w:rPr>
      </w:pPr>
      <w:r>
        <w:rPr>
          <w:rFonts w:ascii="Times New Roman;Times;serif" w:hAnsi="Times New Roman;Times;serif"/>
          <w:b/>
          <w:i/>
          <w:sz w:val="16"/>
        </w:rPr>
        <w:t>UNITED STATES</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SECURITIES AND EXCHANGE COMMISSION</w:t>
      </w:r>
    </w:p>
    <w:p>
      <w:pPr>
        <w:pStyle w:val="TextBody"/>
        <w:bidi w:val="0"/>
        <w:spacing w:before="0" w:after="60"/>
        <w:ind w:left="0" w:right="0" w:hanging="0"/>
        <w:jc w:val="center"/>
        <w:rPr>
          <w:rFonts w:ascii="Times New Roman;Times;serif" w:hAnsi="Times New Roman;Times;serif"/>
          <w:b/>
          <w:i/>
          <w:sz w:val="16"/>
        </w:rPr>
      </w:pPr>
      <w:r>
        <w:rPr>
          <w:rFonts w:ascii="Times New Roman;Times;serif" w:hAnsi="Times New Roman;Times;serif"/>
          <w:b/>
          <w:i/>
          <w:sz w:val="16"/>
        </w:rPr>
        <w:t>Washington, D.C. 20549</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FORM 10-K/A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(Amendment No. 1)</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zZji1VLp506HuTNkn-2msA_2_2"/>
      <w:bookmarkStart w:id="4" w:name="Tc_sCpOYm1yqkabFVelrxgWZg_1_2"/>
      <w:bookmarkStart w:id="5" w:name="_f33538bb_fbdf_4c5a_b9de_bc35c847d095"/>
      <w:bookmarkStart w:id="6" w:name="Tc_zZji1VLp506HuTNkn-2msA_2_2"/>
      <w:bookmarkStart w:id="7" w:name="Tc_sCpOYm1yqkabFVelrxgWZg_1_2"/>
      <w:bookmarkStart w:id="8" w:name="_f33538bb_fbdf_4c5a_b9de_bc35c847d095"/>
      <w:bookmarkEnd w:id="6"/>
      <w:bookmarkEnd w:id="7"/>
      <w:bookmarkEnd w:id="8"/>
    </w:p>
    <w:tbl>
      <w:tblPr>
        <w:tblW w:w="8488" w:type="dxa"/>
        <w:jc w:val="left"/>
        <w:tblInd w:w="0" w:type="dxa"/>
        <w:tblLayout w:type="fixed"/>
        <w:tblCellMar>
          <w:top w:w="0" w:type="dxa"/>
          <w:left w:w="0" w:type="dxa"/>
          <w:bottom w:w="0" w:type="dxa"/>
          <w:right w:w="0" w:type="dxa"/>
        </w:tblCellMar>
      </w:tblPr>
      <w:tblGrid>
        <w:gridCol w:w="161"/>
        <w:gridCol w:w="316"/>
        <w:gridCol w:w="8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before="0" w:after="0"/>
              <w:ind w:left="0" w:right="0" w:hanging="0"/>
              <w:jc w:val="both"/>
              <w:rPr>
                <w:rFonts w:ascii="Times New Roman;Times;serif" w:hAnsi="Times New Roman;Times;serif"/>
                <w:b/>
                <w:i/>
                <w:sz w:val="16"/>
              </w:rPr>
            </w:pPr>
            <w:r>
              <w:rPr>
                <w:rFonts w:ascii="Times New Roman;Times;serif" w:hAnsi="Times New Roman;Times;serif"/>
                <w:b/>
                <w:i/>
                <w:sz w:val="16"/>
              </w:rPr>
              <w:t>(Mark One)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8011" w:type="dxa"/>
            <w:tcBorders/>
            <w:vAlign w:val="center"/>
          </w:tcPr>
          <w:p>
            <w:pPr>
              <w:pStyle w:val="TableContents"/>
              <w:bidi w:val="0"/>
              <w:spacing w:before="0" w:after="0"/>
              <w:ind w:left="0" w:right="0" w:hanging="0"/>
              <w:jc w:val="both"/>
              <w:rPr>
                <w:rFonts w:ascii="Times New Roman;Times;serif" w:hAnsi="Times New Roman;Times;serif"/>
                <w:b/>
                <w:i/>
                <w:sz w:val="16"/>
              </w:rPr>
            </w:pPr>
            <w:r>
              <w:rPr>
                <w:rFonts w:ascii="Times New Roman;Times;serif" w:hAnsi="Times New Roman;Times;serif"/>
                <w:b/>
                <w:i/>
                <w:sz w:val="16"/>
              </w:rPr>
              <w:t>ANNUAL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For the fiscal year ended December 31, 2025</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NO3yUjgH1Ea2D21XdAb3kA_1_2"/>
      <w:bookmarkStart w:id="10" w:name="_92c4bd6b_18ff_47c1_8144_e8312035257d"/>
      <w:bookmarkStart w:id="11" w:name="Tc_NO3yUjgH1Ea2D21XdAb3kA_1_2"/>
      <w:bookmarkStart w:id="12" w:name="_92c4bd6b_18ff_47c1_8144_e8312035257d"/>
      <w:bookmarkEnd w:id="11"/>
      <w:bookmarkEnd w:id="12"/>
    </w:p>
    <w:tbl>
      <w:tblPr>
        <w:tblW w:w="8803" w:type="dxa"/>
        <w:jc w:val="left"/>
        <w:tblInd w:w="0" w:type="dxa"/>
        <w:tblLayout w:type="fixed"/>
        <w:tblCellMar>
          <w:top w:w="0" w:type="dxa"/>
          <w:left w:w="0" w:type="dxa"/>
          <w:bottom w:w="0" w:type="dxa"/>
          <w:right w:w="0" w:type="dxa"/>
        </w:tblCellMar>
      </w:tblPr>
      <w:tblGrid>
        <w:gridCol w:w="161"/>
        <w:gridCol w:w="316"/>
        <w:gridCol w:w="8326"/>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326"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8326" w:type="dxa"/>
            <w:tcBorders/>
            <w:vAlign w:val="center"/>
          </w:tcPr>
          <w:p>
            <w:pPr>
              <w:pStyle w:val="TableContents"/>
              <w:bidi w:val="0"/>
              <w:spacing w:before="0" w:after="0"/>
              <w:ind w:left="0" w:right="0" w:hanging="0"/>
              <w:jc w:val="both"/>
              <w:rPr>
                <w:rFonts w:ascii="Times New Roman;Times;serif" w:hAnsi="Times New Roman;Times;serif"/>
                <w:b/>
                <w:i/>
                <w:sz w:val="16"/>
              </w:rPr>
            </w:pPr>
            <w:r>
              <w:rPr>
                <w:rFonts w:ascii="Times New Roman;Times;serif" w:hAnsi="Times New Roman;Times;serif"/>
                <w:b/>
                <w:i/>
                <w:sz w:val="16"/>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i/>
          <w:sz w:val="16"/>
        </w:rPr>
      </w:pPr>
      <w:r>
        <w:rPr>
          <w:rFonts w:ascii="Times New Roman;Times;serif" w:hAnsi="Times New Roman;Times;serif"/>
          <w:b/>
          <w:i/>
          <w:sz w:val="16"/>
        </w:rPr>
        <w:t>For the transition period from ___ to ___</w:t>
      </w:r>
    </w:p>
    <w:p>
      <w:pPr>
        <w:pStyle w:val="TextBody"/>
        <w:bidi w:val="0"/>
        <w:spacing w:before="0" w:after="60"/>
        <w:ind w:left="0" w:right="0" w:hanging="0"/>
        <w:jc w:val="center"/>
        <w:rPr>
          <w:rFonts w:ascii="Times New Roman;Times;serif" w:hAnsi="Times New Roman;Times;serif"/>
          <w:b/>
          <w:i/>
          <w:sz w:val="16"/>
        </w:rPr>
      </w:pPr>
      <w:r>
        <w:rPr>
          <w:rFonts w:ascii="Times New Roman;Times;serif" w:hAnsi="Times New Roman;Times;serif"/>
          <w:b/>
          <w:i/>
          <w:sz w:val="16"/>
        </w:rPr>
        <w:t>Commission file number 001-34785</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i/>
          <w:sz w:val="16"/>
        </w:rPr>
        <w:t>XWELL,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mRvOfLAK2U-8mqcAjX3huw_5_1"/>
      <w:bookmarkStart w:id="14" w:name="Tc_Yb2vu4bOc0S2aBedO3jdlQ_5_0"/>
      <w:bookmarkStart w:id="15" w:name="Tc_SHVGEAbyL0K5VD1UW6Ogaw_4_0"/>
      <w:bookmarkStart w:id="16" w:name="Tc_XaZk5M0vPEa0fxKeoAmi0w_2_1"/>
      <w:bookmarkStart w:id="17" w:name="Tc_65ZywAMQyE-kzHm8QYUzbw_2_0"/>
      <w:bookmarkStart w:id="18" w:name="_7b8cbe04_7a8c_463b_8a8a_ff6ab53c065c"/>
      <w:bookmarkStart w:id="19" w:name="Tc_mRvOfLAK2U-8mqcAjX3huw_5_1"/>
      <w:bookmarkStart w:id="20" w:name="Tc_Yb2vu4bOc0S2aBedO3jdlQ_5_0"/>
      <w:bookmarkStart w:id="21" w:name="Tc_SHVGEAbyL0K5VD1UW6Ogaw_4_0"/>
      <w:bookmarkStart w:id="22" w:name="Tc_XaZk5M0vPEa0fxKeoAmi0w_2_1"/>
      <w:bookmarkStart w:id="23" w:name="Tc_65ZywAMQyE-kzHm8QYUzbw_2_0"/>
      <w:bookmarkStart w:id="24" w:name="_7b8cbe04_7a8c_463b_8a8a_ff6ab53c065c"/>
      <w:bookmarkEnd w:id="19"/>
      <w:bookmarkEnd w:id="20"/>
      <w:bookmarkEnd w:id="21"/>
      <w:bookmarkEnd w:id="22"/>
      <w:bookmarkEnd w:id="23"/>
      <w:bookmarkEnd w:id="24"/>
    </w:p>
    <w:tbl>
      <w:tblPr>
        <w:tblW w:w="5957" w:type="dxa"/>
        <w:jc w:val="left"/>
        <w:tblInd w:w="0" w:type="dxa"/>
        <w:tblLayout w:type="fixed"/>
        <w:tblCellMar>
          <w:top w:w="0" w:type="dxa"/>
          <w:left w:w="0" w:type="dxa"/>
          <w:bottom w:w="0" w:type="dxa"/>
          <w:right w:w="0" w:type="dxa"/>
        </w:tblCellMar>
      </w:tblPr>
      <w:tblGrid>
        <w:gridCol w:w="3331"/>
        <w:gridCol w:w="262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Delaware</w:t>
            </w:r>
          </w:p>
        </w:tc>
        <w:tc>
          <w:tcPr>
            <w:tcW w:w="2626"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20-4988129</w:t>
            </w:r>
          </w:p>
        </w:tc>
      </w:tr>
      <w:tr>
        <w:trPr/>
        <w:tc>
          <w:tcPr>
            <w:tcW w:w="333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(State or other jurisdiction of incorporation or</w:t>
            </w:r>
          </w:p>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organization)</w:t>
            </w:r>
          </w:p>
        </w:tc>
        <w:tc>
          <w:tcPr>
            <w:tcW w:w="262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(I.R.S. Employer Identification No.)</w:t>
            </w:r>
          </w:p>
        </w:tc>
      </w:tr>
      <w:tr>
        <w:trPr/>
        <w:tc>
          <w:tcPr>
            <w:tcW w:w="3331" w:type="dxa"/>
            <w:tcBorders/>
            <w:vAlign w:val="center"/>
          </w:tcPr>
          <w:p>
            <w:pPr>
              <w:pStyle w:val="TableContents"/>
              <w:bidi w:val="0"/>
              <w:spacing w:before="0" w:after="0"/>
              <w:ind w:left="0" w:right="0" w:hanging="0"/>
              <w:jc w:val="center"/>
              <w:rPr/>
            </w:pPr>
            <w:r>
              <w:rPr/>
              <w:t> </w:t>
            </w:r>
          </w:p>
        </w:tc>
        <w:tc>
          <w:tcPr>
            <w:tcW w:w="2626" w:type="dxa"/>
            <w:tcBorders/>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i/>
                <w:sz w:val="16"/>
              </w:rPr>
              <w:t>254 West 31</w:t>
            </w:r>
            <w:r>
              <w:rPr>
                <w:rFonts w:ascii="Times New Roman;Times;serif" w:hAnsi="Times New Roman;Times;serif"/>
                <w:b/>
                <w:i/>
                <w:sz w:val="12"/>
              </w:rPr>
              <w:t xml:space="preserve">st </w:t>
            </w:r>
            <w:r>
              <w:rPr>
                <w:rFonts w:ascii="Times New Roman;Times;serif" w:hAnsi="Times New Roman;Times;serif"/>
                <w:b/>
                <w:i/>
                <w:sz w:val="16"/>
              </w:rPr>
              <w:t>Street, 11</w:t>
            </w:r>
            <w:r>
              <w:rPr>
                <w:rFonts w:ascii="Times New Roman;Times;serif" w:hAnsi="Times New Roman;Times;serif"/>
                <w:b/>
                <w:i/>
                <w:sz w:val="12"/>
              </w:rPr>
              <w:t>th</w:t>
            </w:r>
            <w:r>
              <w:rPr>
                <w:rFonts w:ascii="Times New Roman;Times;serif" w:hAnsi="Times New Roman;Times;serif"/>
                <w:sz w:val="20"/>
              </w:rPr>
              <w:t xml:space="preserve"> </w:t>
            </w:r>
            <w:r>
              <w:rPr>
                <w:rFonts w:ascii="Times New Roman;Times;serif" w:hAnsi="Times New Roman;Times;serif"/>
                <w:b/>
                <w:i/>
                <w:sz w:val="16"/>
              </w:rPr>
              <w:t>Floor</w:t>
            </w:r>
          </w:p>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New York, NY</w:t>
            </w:r>
          </w:p>
        </w:tc>
        <w:tc>
          <w:tcPr>
            <w:tcW w:w="2626"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10001</w:t>
            </w:r>
          </w:p>
        </w:tc>
      </w:tr>
      <w:tr>
        <w:trPr/>
        <w:tc>
          <w:tcPr>
            <w:tcW w:w="333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(Address of principal executive offices)</w:t>
            </w:r>
          </w:p>
        </w:tc>
        <w:tc>
          <w:tcPr>
            <w:tcW w:w="262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(Zip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Registrant’s telephone number, including area code: (212)-750-9595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GGMoNVoQ702lBOkcNsymwA_2_4"/>
      <w:bookmarkStart w:id="26" w:name="Tc_DOCD71oqmE60apiEGonf5A_1_4"/>
      <w:bookmarkStart w:id="27" w:name="Tc_fQ6b1jvI9EqrSQiMTOpyXw_1_2"/>
      <w:bookmarkStart w:id="28" w:name="Tc_B8pBBqChBUqr8OgyXXeRmQ_1_0"/>
      <w:bookmarkStart w:id="29" w:name="_0a6bed99_ad96_49ce_8ceb_58d3a905c139"/>
      <w:bookmarkStart w:id="30" w:name="Tc_GGMoNVoQ702lBOkcNsymwA_2_4"/>
      <w:bookmarkStart w:id="31" w:name="Tc_DOCD71oqmE60apiEGonf5A_1_4"/>
      <w:bookmarkStart w:id="32" w:name="Tc_fQ6b1jvI9EqrSQiMTOpyXw_1_2"/>
      <w:bookmarkStart w:id="33" w:name="Tc_B8pBBqChBUqr8OgyXXeRmQ_1_0"/>
      <w:bookmarkStart w:id="34" w:name="_0a6bed99_ad96_49ce_8ceb_58d3a905c139"/>
      <w:bookmarkEnd w:id="30"/>
      <w:bookmarkEnd w:id="31"/>
      <w:bookmarkEnd w:id="32"/>
      <w:bookmarkEnd w:id="33"/>
      <w:bookmarkEnd w:id="34"/>
    </w:p>
    <w:tbl>
      <w:tblPr>
        <w:tblW w:w="8240" w:type="dxa"/>
        <w:jc w:val="left"/>
        <w:tblInd w:w="0" w:type="dxa"/>
        <w:tblLayout w:type="fixed"/>
        <w:tblCellMar>
          <w:top w:w="0" w:type="dxa"/>
          <w:left w:w="0" w:type="dxa"/>
          <w:bottom w:w="0" w:type="dxa"/>
          <w:right w:w="0" w:type="dxa"/>
        </w:tblCellMar>
      </w:tblPr>
      <w:tblGrid>
        <w:gridCol w:w="3046"/>
        <w:gridCol w:w="346"/>
        <w:gridCol w:w="1246"/>
        <w:gridCol w:w="346"/>
        <w:gridCol w:w="325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Title of each class</w:t>
            </w:r>
          </w:p>
        </w:tc>
        <w:tc>
          <w:tcPr>
            <w:tcW w:w="346" w:type="dxa"/>
            <w:tcBorders/>
            <w:vAlign w:val="center"/>
          </w:tcPr>
          <w:p>
            <w:pPr>
              <w:pStyle w:val="TableContents"/>
              <w:bidi w:val="0"/>
              <w:spacing w:before="0" w:after="0"/>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Trading Symbol</w:t>
            </w:r>
          </w:p>
        </w:tc>
        <w:tc>
          <w:tcPr>
            <w:tcW w:w="346" w:type="dxa"/>
            <w:tcBorders/>
            <w:vAlign w:val="center"/>
          </w:tcPr>
          <w:p>
            <w:pPr>
              <w:pStyle w:val="TableContents"/>
              <w:bidi w:val="0"/>
              <w:spacing w:before="0" w:after="0"/>
              <w:ind w:left="0" w:right="0" w:hanging="0"/>
              <w:jc w:val="left"/>
              <w:rPr/>
            </w:pPr>
            <w:r>
              <w:rPr/>
              <w:t>  ​ ​ ​</w:t>
            </w:r>
          </w:p>
        </w:tc>
        <w:tc>
          <w:tcPr>
            <w:tcW w:w="32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Name of each exchange on which registered</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Common Stock, par value $0.01 per share</w:t>
            </w:r>
          </w:p>
        </w:tc>
        <w:tc>
          <w:tcPr>
            <w:tcW w:w="346" w:type="dxa"/>
            <w:tcBorders/>
            <w:vAlign w:val="center"/>
          </w:tcPr>
          <w:p>
            <w:pPr>
              <w:pStyle w:val="TableContents"/>
              <w:bidi w:val="0"/>
              <w:spacing w:before="0" w:after="240"/>
              <w:ind w:left="0" w:right="0" w:hanging="0"/>
              <w:jc w:val="left"/>
              <w:rPr/>
            </w:pPr>
            <w:r>
              <w:rPr/>
              <w:t>​</w:t>
            </w:r>
          </w:p>
        </w:tc>
        <w:tc>
          <w:tcPr>
            <w:tcW w:w="12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XWEL</w:t>
            </w:r>
          </w:p>
        </w:tc>
        <w:tc>
          <w:tcPr>
            <w:tcW w:w="34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16"/>
              </w:rPr>
              <w:t>The Nasdaq</w:t>
            </w:r>
            <w:r>
              <w:rPr>
                <w:rFonts w:ascii="Times New Roman;Times;serif" w:hAnsi="Times New Roman;Times;serif"/>
                <w:sz w:val="20"/>
              </w:rPr>
              <w:t xml:space="preserve"> </w:t>
            </w:r>
            <w:r>
              <w:rPr>
                <w:rFonts w:ascii="Times New Roman;Times;serif" w:hAnsi="Times New Roman;Times;serif"/>
                <w:i/>
                <w:sz w:val="16"/>
              </w:rPr>
              <w:t>Stock Market LLC</w:t>
            </w:r>
          </w:p>
        </w:tc>
      </w:tr>
    </w:tbl>
    <w:p>
      <w:pPr>
        <w:pStyle w:val="TextBody"/>
        <w:bidi w:val="0"/>
        <w:spacing w:before="0" w:after="240"/>
        <w:ind w:left="0" w:right="0" w:hanging="0"/>
        <w:jc w:val="both"/>
        <w:rPr/>
      </w:pPr>
      <w:r>
        <w:rPr/>
        <w:t>​</w:t>
      </w:r>
    </w:p>
    <w:p>
      <w:pPr>
        <w:pStyle w:val="TextBody"/>
        <w:bidi w:val="0"/>
        <w:spacing w:before="0" w:after="60"/>
        <w:ind w:left="0" w:right="0" w:hanging="0"/>
        <w:jc w:val="center"/>
        <w:rPr>
          <w:rFonts w:ascii="Times New Roman;Times;serif" w:hAnsi="Times New Roman;Times;serif"/>
          <w:b/>
          <w:i/>
          <w:sz w:val="16"/>
        </w:rPr>
      </w:pPr>
      <w:r>
        <w:rPr>
          <w:rFonts w:ascii="Times New Roman;Times;serif" w:hAnsi="Times New Roman;Times;serif"/>
          <w:b/>
          <w:i/>
          <w:sz w:val="16"/>
        </w:rPr>
        <w:t>Securities registered pursuant to Section 12(g) of the Act: None</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i/>
          <w:sz w:val="16"/>
        </w:rPr>
        <w:t>No</w:t>
      </w:r>
      <w:r>
        <w:rPr>
          <w:rFonts w:ascii="Times New Roman;Times;serif" w:hAnsi="Times New Roman;Times;serif"/>
          <w:sz w:val="20"/>
        </w:rPr>
        <w: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i/>
          <w:sz w:val="16"/>
        </w:rPr>
        <w:t>No</w:t>
      </w:r>
      <w:r>
        <w:rPr>
          <w:rFonts w:ascii="Times New Roman;Times;serif" w:hAnsi="Times New Roman;Times;serif"/>
          <w:sz w:val="20"/>
        </w:rPr>
        <w: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i/>
          <w:sz w:val="16"/>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i/>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i/>
          <w:sz w:val="16"/>
        </w:rPr>
      </w:pPr>
      <w:r>
        <w:rPr>
          <w:rFonts w:ascii="Times New Roman;Times;serif" w:hAnsi="Times New Roman;Times;serif"/>
          <w:i/>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5" w:name="Tc_5XaH5dZekUulSn6hQ-XOnw_3_3"/>
      <w:bookmarkStart w:id="36" w:name="Tc_ysJf2c-OVUmZffcbQgJapg_2_3"/>
      <w:bookmarkStart w:id="37" w:name="Tc_Vn7f_zNsH06JYOj78k_fzg_2_1"/>
      <w:bookmarkStart w:id="38" w:name="Tc_kMdfqKIYU0a7Obp46S6TkA_1_4"/>
      <w:bookmarkStart w:id="39" w:name="Tc_t7Sls27nxEyGz2gwmp0Ptw_1_3"/>
      <w:bookmarkStart w:id="40" w:name="Tc_3KxByxGafUyrfmjD1W4FeA_1_1"/>
      <w:bookmarkStart w:id="41" w:name="Tc_RlJ1D4Px-0O_Le0hY9yaXw_1_0"/>
      <w:bookmarkStart w:id="42" w:name="_5c525c2d_9bab_462e_89e4_657d2d48096d"/>
      <w:bookmarkStart w:id="43" w:name="Tc_5XaH5dZekUulSn6hQ-XOnw_3_3"/>
      <w:bookmarkStart w:id="44" w:name="Tc_ysJf2c-OVUmZffcbQgJapg_2_3"/>
      <w:bookmarkStart w:id="45" w:name="Tc_Vn7f_zNsH06JYOj78k_fzg_2_1"/>
      <w:bookmarkStart w:id="46" w:name="Tc_kMdfqKIYU0a7Obp46S6TkA_1_4"/>
      <w:bookmarkStart w:id="47" w:name="Tc_t7Sls27nxEyGz2gwmp0Ptw_1_3"/>
      <w:bookmarkStart w:id="48" w:name="Tc_3KxByxGafUyrfmjD1W4FeA_1_1"/>
      <w:bookmarkStart w:id="49" w:name="Tc_RlJ1D4Px-0O_Le0hY9yaXw_1_0"/>
      <w:bookmarkStart w:id="50" w:name="_5c525c2d_9bab_462e_89e4_657d2d48096d"/>
      <w:bookmarkEnd w:id="43"/>
      <w:bookmarkEnd w:id="44"/>
      <w:bookmarkEnd w:id="45"/>
      <w:bookmarkEnd w:id="46"/>
      <w:bookmarkEnd w:id="47"/>
      <w:bookmarkEnd w:id="48"/>
      <w:bookmarkEnd w:id="49"/>
      <w:bookmarkEnd w:id="50"/>
    </w:p>
    <w:tbl>
      <w:tblPr>
        <w:tblW w:w="4463" w:type="dxa"/>
        <w:jc w:val="left"/>
        <w:tblInd w:w="0" w:type="dxa"/>
        <w:tblLayout w:type="fixed"/>
        <w:tblCellMar>
          <w:top w:w="0" w:type="dxa"/>
          <w:left w:w="0" w:type="dxa"/>
          <w:bottom w:w="0" w:type="dxa"/>
          <w:right w:w="0" w:type="dxa"/>
        </w:tblCellMar>
      </w:tblPr>
      <w:tblGrid>
        <w:gridCol w:w="1681"/>
        <w:gridCol w:w="316"/>
        <w:gridCol w:w="109"/>
        <w:gridCol w:w="1996"/>
        <w:gridCol w:w="361"/>
      </w:tblGrid>
      <w:tr>
        <w:trPr/>
        <w:tc>
          <w:tcPr>
            <w:tcW w:w="1681" w:type="dxa"/>
            <w:tcBorders/>
            <w:vAlign w:val="center"/>
          </w:tcPr>
          <w:p>
            <w:pPr>
              <w:pStyle w:val="TableContents"/>
              <w:bidi w:val="0"/>
              <w:spacing w:before="0" w:after="0"/>
              <w:ind w:left="0" w:right="0" w:hanging="0"/>
              <w:jc w:val="left"/>
              <w:rPr/>
            </w:pPr>
            <w:r>
              <w:rPr/>
              <w:t>​</w:t>
            </w:r>
          </w:p>
        </w:tc>
        <w:tc>
          <w:tcPr>
            <w:tcW w:w="425" w:type="dxa"/>
            <w:gridSpan w:val="2"/>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i/>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i/>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sz w:val="16"/>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i/>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i/>
          <w:sz w:val="16"/>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i/>
          <w:sz w:val="18"/>
        </w:rPr>
        <w:t>The aggregate market value of the registrant’s voting common stock held by non-affiliates of the registrant, as of June 30, 2025, the last business day of the registrant’s most recently completed second quarter, was $3,633,243</w:t>
      </w:r>
      <w:r>
        <w:rPr>
          <w:rFonts w:ascii="Times New Roman;Times;serif" w:hAnsi="Times New Roman;Times;serif"/>
          <w:sz w:val="18"/>
        </w:rPr>
        <w:t xml:space="preserve"> </w:t>
      </w:r>
      <w:r>
        <w:rPr>
          <w:rFonts w:ascii="Times New Roman;Times;serif" w:hAnsi="Times New Roman;Times;serif"/>
          <w:i/>
          <w:sz w:val="18"/>
        </w:rPr>
        <w:t>computed by reference to the closing sale price of $0.92 per share on the Nasdaq Stock Market LLC on June 30, 2025. The registrant does not have any non-voting common stock.</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i/>
          <w:sz w:val="18"/>
        </w:rPr>
        <w:t>As of April 25, 2026, 7,926,766</w:t>
      </w:r>
      <w:r>
        <w:rPr>
          <w:rFonts w:ascii="Times New Roman;Times;serif" w:hAnsi="Times New Roman;Times;serif"/>
          <w:sz w:val="18"/>
        </w:rPr>
        <w:t xml:space="preserve"> </w:t>
      </w:r>
      <w:r>
        <w:rPr>
          <w:rFonts w:ascii="Times New Roman;Times;serif" w:hAnsi="Times New Roman;Times;serif"/>
          <w:i/>
          <w:sz w:val="18"/>
        </w:rPr>
        <w:t>shares of the registrant’s common stock are outstanding.</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DOCUMENTS INCORPORATED BY REFERENCE</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None.</w:t>
      </w:r>
    </w:p>
    <w:tbl>
      <w:tblPr>
        <w:tblW w:w="6273" w:type="dxa"/>
        <w:jc w:val="left"/>
        <w:tblInd w:w="0" w:type="dxa"/>
        <w:tblLayout w:type="fixed"/>
        <w:tblCellMar>
          <w:top w:w="0" w:type="dxa"/>
          <w:left w:w="0" w:type="dxa"/>
          <w:bottom w:w="0" w:type="dxa"/>
          <w:right w:w="0" w:type="dxa"/>
        </w:tblCellMar>
      </w:tblPr>
      <w:tblGrid>
        <w:gridCol w:w="2326"/>
        <w:gridCol w:w="2446"/>
        <w:gridCol w:w="1501"/>
      </w:tblGrid>
      <w:tr>
        <w:trPr/>
        <w:tc>
          <w:tcPr>
            <w:tcW w:w="232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Auditor Name: CBIZ CPAs P.C.</w:t>
            </w:r>
          </w:p>
        </w:tc>
        <w:tc>
          <w:tcPr>
            <w:tcW w:w="2446" w:type="dxa"/>
            <w:tcBorders/>
            <w:vAlign w:val="center"/>
          </w:tcPr>
          <w:p>
            <w:pPr>
              <w:pStyle w:val="TableContents"/>
              <w:bidi w:val="0"/>
              <w:spacing w:before="0" w:after="60"/>
              <w:ind w:left="0" w:right="0" w:hanging="0"/>
              <w:jc w:val="both"/>
              <w:rPr>
                <w:rFonts w:ascii="Times New Roman;Times;serif" w:hAnsi="Times New Roman;Times;serif"/>
                <w:sz w:val="16"/>
              </w:rPr>
            </w:pPr>
            <w:r>
              <w:rPr>
                <w:rFonts w:ascii="Times New Roman;Times;serif" w:hAnsi="Times New Roman;Times;serif"/>
                <w:sz w:val="16"/>
              </w:rPr>
              <w:t>Auditor Location: New York, NY</w:t>
            </w:r>
          </w:p>
        </w:tc>
        <w:tc>
          <w:tcPr>
            <w:tcW w:w="1501" w:type="dxa"/>
            <w:tcBorders/>
            <w:vAlign w:val="center"/>
          </w:tcPr>
          <w:p>
            <w:pPr>
              <w:pStyle w:val="TableContents"/>
              <w:bidi w:val="0"/>
              <w:spacing w:before="0" w:after="60"/>
              <w:ind w:left="0" w:right="0" w:hanging="0"/>
              <w:jc w:val="both"/>
              <w:rPr>
                <w:rFonts w:ascii="Times New Roman;Times;serif" w:hAnsi="Times New Roman;Times;serif"/>
                <w:sz w:val="16"/>
              </w:rPr>
            </w:pPr>
            <w:r>
              <w:rPr>
                <w:rFonts w:ascii="Times New Roman;Times;serif" w:hAnsi="Times New Roman;Times;serif"/>
                <w:sz w:val="16"/>
              </w:rPr>
              <w:t>Audit Firm ID: 199</w:t>
            </w:r>
          </w:p>
        </w:tc>
      </w:tr>
    </w:tbl>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1" w:name="TOC"/>
      <w:bookmarkStart w:id="52" w:name="_03a058b3_b9d8_41c8_b7bf_0714390523e6"/>
      <w:bookmarkEnd w:id="51"/>
      <w:bookmarkEnd w:id="5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50940" cy="29210"/>
                      <wp:effectExtent l="0" t="0" r="0" b="0"/>
                      <wp:wrapNone/>
                      <wp:docPr id="1" name="Frame1"/>
                      <a:graphic xmlns:a="http://schemas.openxmlformats.org/drawingml/2006/main">
                        <a:graphicData uri="http://schemas.microsoft.com/office/word/2010/wordprocessingShape">
                          <wps:wsp>
                            <wps:cNvSpPr txBox="1"/>
                            <wps:spPr>
                              <a:xfrm>
                                <a:off x="0" y="0"/>
                                <a:ext cx="6250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9235" cy="175260"/>
                      <wp:effectExtent l="0" t="0" r="0" b="0"/>
                      <wp:wrapNone/>
                      <wp:docPr id="2" name="Frame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lineRule="auto" w:line="304" w:before="0" w:after="0"/>
              <w:ind w:left="0" w:right="0" w:hanging="0"/>
              <w:jc w:val="left"/>
              <w:rPr/>
            </w:pPr>
            <w:hyperlink w:anchor="EXPLANATORYNOTE_336513">
              <w:r>
                <w:rPr>
                  <w:rStyle w:val="InternetLink"/>
                  <w:rFonts w:ascii="Times New Roman;Times;serif" w:hAnsi="Times New Roman;Times;serif"/>
                  <w:b w:val="false"/>
                  <w:i w:val="false"/>
                  <w:caps w:val="false"/>
                  <w:smallCaps w:val="false"/>
                  <w:sz w:val="20"/>
                </w:rPr>
                <w:t>EXPLANATORY NOTE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844" w:type="dxa"/>
            <w:tcBorders/>
            <w:vAlign w:val="center"/>
          </w:tcPr>
          <w:p>
            <w:pPr>
              <w:pStyle w:val="TableContents"/>
              <w:bidi w:val="0"/>
              <w:spacing w:lineRule="auto" w:line="304"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844" w:type="dxa"/>
            <w:tcBorders/>
            <w:vAlign w:val="center"/>
          </w:tcPr>
          <w:p>
            <w:pPr>
              <w:pStyle w:val="TableContents"/>
              <w:bidi w:val="0"/>
              <w:spacing w:lineRule="auto" w:line="304" w:before="0" w:after="0"/>
              <w:ind w:left="0" w:right="0" w:hanging="0"/>
              <w:jc w:val="left"/>
              <w:rPr/>
            </w:pPr>
            <w:hyperlink w:anchor="PARTIII_963396">
              <w:r>
                <w:rPr>
                  <w:rStyle w:val="InternetLink"/>
                  <w:rFonts w:ascii="Times New Roman;Times;serif" w:hAnsi="Times New Roman;Times;serif"/>
                  <w:b w:val="false"/>
                  <w:i w:val="false"/>
                  <w:caps w:val="false"/>
                  <w:smallCaps w:val="false"/>
                  <w:sz w:val="20"/>
                </w:rPr>
                <w:t>PART III</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304" w:before="0" w:after="0"/>
              <w:ind w:left="0" w:right="0" w:hanging="0"/>
              <w:jc w:val="left"/>
              <w:rPr/>
            </w:pPr>
            <w:hyperlink w:anchor="_ITEM_10._DIRECTORS">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304" w:before="0" w:after="0"/>
              <w:ind w:left="0" w:right="0" w:hanging="0"/>
              <w:jc w:val="left"/>
              <w:rPr/>
            </w:pPr>
            <w:hyperlink w:anchor="ITEM11EXECUTIVECOMPENSATION_276099">
              <w:r>
                <w:rPr>
                  <w:rStyle w:val="InternetLink"/>
                  <w:rFonts w:ascii="Times New Roman;Times;serif" w:hAnsi="Times New Roman;Times;serif"/>
                  <w:b w:val="false"/>
                  <w:i w:val="false"/>
                  <w:caps w:val="false"/>
                  <w:smallCaps w:val="false"/>
                  <w:sz w:val="20"/>
                </w:rPr>
                <w:t>ITEM 11. EXECUTIVE COMPENSATION</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844" w:type="dxa"/>
            <w:tcBorders/>
            <w:vAlign w:val="center"/>
          </w:tcPr>
          <w:p>
            <w:pPr>
              <w:pStyle w:val="TableContents"/>
              <w:bidi w:val="0"/>
              <w:spacing w:lineRule="auto" w:line="304" w:before="0" w:after="0"/>
              <w:ind w:left="0" w:right="0" w:hanging="0"/>
              <w:jc w:val="left"/>
              <w:rPr/>
            </w:pPr>
            <w:hyperlink w:anchor="_ITEM_12._SECURITY">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lineRule="auto" w:line="304" w:before="0" w:after="0"/>
              <w:ind w:left="0" w:right="0" w:hanging="0"/>
              <w:jc w:val="left"/>
              <w:rPr/>
            </w:pPr>
            <w:hyperlink w:anchor="_ITEM_13._CERTAI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vAlign w:val="center"/>
          </w:tcPr>
          <w:p>
            <w:pPr>
              <w:pStyle w:val="TableContents"/>
              <w:bidi w:val="0"/>
              <w:spacing w:lineRule="auto" w:line="304" w:before="0" w:after="0"/>
              <w:ind w:left="0" w:right="0" w:hanging="0"/>
              <w:jc w:val="left"/>
              <w:rPr/>
            </w:pPr>
            <w:hyperlink w:anchor="_ITEM_14._PRINCIPAL">
              <w:r>
                <w:rPr>
                  <w:rStyle w:val="InternetLink"/>
                  <w:rFonts w:ascii="Times New Roman;Times;serif" w:hAnsi="Times New Roman;Times;serif"/>
                  <w:b w:val="false"/>
                  <w:i w:val="false"/>
                  <w:caps w:val="false"/>
                  <w:smallCaps w:val="false"/>
                  <w:sz w:val="20"/>
                </w:rPr>
                <w:t>ITEM 14. PRINCIPAL ACCOUNTANT FEES AND SERVICES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844" w:type="dxa"/>
            <w:tcBorders/>
            <w:vAlign w:val="center"/>
          </w:tcPr>
          <w:p>
            <w:pPr>
              <w:pStyle w:val="TableContents"/>
              <w:bidi w:val="0"/>
              <w:spacing w:lineRule="auto" w:line="304" w:before="0" w:after="0"/>
              <w:ind w:left="0" w:right="0" w:hanging="0"/>
              <w:jc w:val="left"/>
              <w:rPr/>
            </w:pPr>
            <w:hyperlink w:anchor="PARTIV_547038">
              <w:r>
                <w:rPr>
                  <w:rStyle w:val="InternetLink"/>
                  <w:rFonts w:ascii="Times New Roman;Times;serif" w:hAnsi="Times New Roman;Times;serif"/>
                  <w:b w:val="false"/>
                  <w:i w:val="false"/>
                  <w:caps w:val="false"/>
                  <w:smallCaps w:val="false"/>
                  <w:sz w:val="20"/>
                </w:rPr>
                <w:t>PART IV</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844" w:type="dxa"/>
            <w:tcBorders/>
            <w:vAlign w:val="center"/>
          </w:tcPr>
          <w:p>
            <w:pPr>
              <w:pStyle w:val="TableContents"/>
              <w:bidi w:val="0"/>
              <w:spacing w:lineRule="auto" w:line="304" w:before="0" w:after="0"/>
              <w:ind w:left="0" w:right="0" w:hanging="0"/>
              <w:jc w:val="left"/>
              <w:rPr/>
            </w:pPr>
            <w:hyperlink w:anchor="_ITEM_15._EXHIBITS">
              <w:r>
                <w:rPr>
                  <w:rStyle w:val="InternetLink"/>
                  <w:rFonts w:ascii="Times New Roman;Times;serif" w:hAnsi="Times New Roman;Times;serif"/>
                  <w:b w:val="false"/>
                  <w:i w:val="false"/>
                  <w:caps w:val="false"/>
                  <w:smallCaps w:val="false"/>
                  <w:sz w:val="20"/>
                </w:rPr>
                <w:t>ITEM 15. EXHIBITS AND FINANCIAL STATEMENT SCHEDULES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844" w:type="dxa"/>
            <w:tcBorders/>
            <w:vAlign w:val="center"/>
          </w:tcPr>
          <w:p>
            <w:pPr>
              <w:pStyle w:val="TableContents"/>
              <w:bidi w:val="0"/>
              <w:spacing w:lineRule="auto" w:line="304" w:before="0" w:after="0"/>
              <w:ind w:left="0" w:right="0" w:hanging="0"/>
              <w:jc w:val="left"/>
              <w:rPr/>
            </w:pPr>
            <w:hyperlink w:anchor="SIGNATURES_457177">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3" w:name="EXPLANATORYNOTE_336513"/>
      <w:bookmarkStart w:id="54" w:name="_3b3e5d92_475c_40c3_9899_b7c4822c7f07"/>
      <w:bookmarkEnd w:id="53"/>
      <w:bookmarkEnd w:id="54"/>
      <w:r>
        <w:rPr>
          <w:rFonts w:ascii="Times New Roman;Times;serif" w:hAnsi="Times New Roman;Times;serif"/>
          <w:b/>
          <w:sz w:val="20"/>
        </w:rPr>
        <w:t>EXPLANATORY NOTE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on Form 10-K/A (this “Form 10-K/A”) amends the Annual Report on Form 10-K of XWELL, Inc. (“XWELL” or the “Company”) for the fiscal year ended December 31, 2025 as originally filed with the Securities and Exchange Commission (the “SEC”) on April 1, 2026, (the “Original Filing”). This Form 10-K/A amends the Original Filing to include the information required by Part III of the Original Filing because the Company has not filed and will not file a definitive proxy statement within 120 days after the end of its 2025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Form 10-K/A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 w:name="CAUTIONARYNOTEREGARDINGFORWARDLOOKINGSTA"/>
      <w:bookmarkStart w:id="56" w:name="_1a1d08ee_a54a_4f09_befb_cffd4d30a267"/>
      <w:bookmarkEnd w:id="55"/>
      <w:bookmarkEnd w:id="56"/>
      <w:r>
        <w:rPr>
          <w:rFonts w:ascii="Times New Roman;Times;serif" w:hAnsi="Times New Roman;Times;serif"/>
          <w:b/>
          <w:sz w:val="20"/>
        </w:rPr>
        <w:t>CAUTIONARY NOTE REGARDING FORWARD-LOOKING STATEMENTS</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Quarterly Reports on Form 10-Q and Current Reports on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references in this Form 10-K/A to “we,” “us” and “our” refer to XWELL, Inc., a Delaware corporation, and its consolidated subsidiaries unless the context requires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7" w:name="PARTIII_963396"/>
      <w:bookmarkStart w:id="58" w:name="_246efc59_60ff_48c3_a0d1_33be9b2e6fd5"/>
      <w:bookmarkStart w:id="59" w:name="_Toc163832293"/>
      <w:bookmarkEnd w:id="57"/>
      <w:bookmarkEnd w:id="58"/>
      <w:bookmarkEnd w:id="59"/>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b/>
          <w:sz w:val="20"/>
        </w:rPr>
      </w:pPr>
      <w:bookmarkStart w:id="60" w:name="ITEM10DIRECTORSEXECUTIVEOFFICERSANDCORPO"/>
      <w:bookmarkStart w:id="61" w:name="_Toc163832294"/>
      <w:bookmarkStart w:id="62" w:name="_ITEM_10._DIRECTORS"/>
      <w:bookmarkEnd w:id="60"/>
      <w:bookmarkEnd w:id="61"/>
      <w:bookmarkEnd w:id="62"/>
      <w:r>
        <w:rPr>
          <w:rFonts w:ascii="Times New Roman;Times;serif" w:hAnsi="Times New Roman;Times;serif"/>
          <w:b/>
          <w:sz w:val="20"/>
        </w:rPr>
        <w:t>ITEM 10. DIRECTORS, EXECUTIVE OFFICERS AND CORPORATE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(the “Board of Directors” or the “Board”)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p>
      <w:pPr>
        <w:pStyle w:val="TextBody"/>
        <w:bidi w:val="0"/>
        <w:spacing w:before="0" w:after="0"/>
        <w:ind w:left="0" w:right="0" w:hanging="0"/>
        <w:jc w:val="both"/>
        <w:rPr/>
      </w:pPr>
      <w:r>
        <w:rPr/>
        <w:t>​</w:t>
      </w:r>
    </w:p>
    <w:tbl>
      <w:tblPr>
        <w:tblW w:w="8525" w:type="dxa"/>
        <w:jc w:val="left"/>
        <w:tblInd w:w="0" w:type="dxa"/>
        <w:tblLayout w:type="fixed"/>
        <w:tblCellMar>
          <w:top w:w="0" w:type="dxa"/>
          <w:left w:w="0" w:type="dxa"/>
          <w:bottom w:w="0" w:type="dxa"/>
          <w:right w:w="0" w:type="dxa"/>
        </w:tblCellMar>
      </w:tblPr>
      <w:tblGrid>
        <w:gridCol w:w="2401"/>
        <w:gridCol w:w="346"/>
        <w:gridCol w:w="391"/>
        <w:gridCol w:w="346"/>
        <w:gridCol w:w="50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24635" cy="175260"/>
                      <wp:effectExtent l="0" t="0" r="0" b="0"/>
                      <wp:wrapNone/>
                      <wp:docPr id="3" name="Frame3"/>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48285" cy="175260"/>
                      <wp:effectExtent l="0" t="0" r="0" b="0"/>
                      <wp:wrapNone/>
                      <wp:docPr id="5" name="Frame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01035" cy="175260"/>
                      <wp:effectExtent l="0" t="0" r="0" b="0"/>
                      <wp:wrapNone/>
                      <wp:docPr id="7" name="Frame7"/>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5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 with the Company</w:t>
            </w:r>
          </w:p>
        </w:tc>
      </w:tr>
      <w:tr>
        <w:trPr/>
        <w:tc>
          <w:tcPr>
            <w:tcW w:w="2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(1)(2)(3)(4)</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 </w:t>
            </w:r>
          </w:p>
        </w:tc>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2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*(1)(2)(3)(4)</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 </w:t>
            </w:r>
          </w:p>
        </w:tc>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 (3)(4)</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Gaëlle Wizenberg*</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w:t>
            </w:r>
          </w:p>
        </w:tc>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Ian Brown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Ezra T. Ernst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&amp; Chief Executive Officer of XWELL and Director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Independent director under the rules of The Nasdaq Stock Market (“Nasdaq”)</w:t>
      </w:r>
    </w:p>
    <w:tbl>
      <w:tblPr>
        <w:tblW w:w="4187" w:type="dxa"/>
        <w:jc w:val="left"/>
        <w:tblInd w:w="0" w:type="dxa"/>
        <w:tblLayout w:type="fixed"/>
        <w:tblCellMar>
          <w:top w:w="0" w:type="dxa"/>
          <w:left w:w="0" w:type="dxa"/>
          <w:bottom w:w="0" w:type="dxa"/>
          <w:right w:w="0" w:type="dxa"/>
        </w:tblCellMar>
      </w:tblPr>
      <w:tblGrid>
        <w:gridCol w:w="346"/>
        <w:gridCol w:w="3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Compensation Committee</w:t>
            </w:r>
          </w:p>
        </w:tc>
      </w:tr>
    </w:tbl>
    <w:tbl>
      <w:tblPr>
        <w:tblW w:w="3467" w:type="dxa"/>
        <w:jc w:val="left"/>
        <w:tblInd w:w="0" w:type="dxa"/>
        <w:tblLayout w:type="fixed"/>
        <w:tblCellMar>
          <w:top w:w="0" w:type="dxa"/>
          <w:left w:w="0" w:type="dxa"/>
          <w:bottom w:w="0" w:type="dxa"/>
          <w:right w:w="0" w:type="dxa"/>
        </w:tblCellMar>
      </w:tblPr>
      <w:tblGrid>
        <w:gridCol w:w="346"/>
        <w:gridCol w:w="31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Audit Committee</w:t>
            </w:r>
          </w:p>
        </w:tc>
      </w:tr>
    </w:tbl>
    <w:tbl>
      <w:tblPr>
        <w:tblW w:w="6197" w:type="dxa"/>
        <w:jc w:val="left"/>
        <w:tblInd w:w="0" w:type="dxa"/>
        <w:tblLayout w:type="fixed"/>
        <w:tblCellMar>
          <w:top w:w="0" w:type="dxa"/>
          <w:left w:w="0" w:type="dxa"/>
          <w:bottom w:w="0" w:type="dxa"/>
          <w:right w:w="0" w:type="dxa"/>
        </w:tblCellMar>
      </w:tblPr>
      <w:tblGrid>
        <w:gridCol w:w="346"/>
        <w:gridCol w:w="58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Nominating and Corporate Governance Committee</w:t>
            </w:r>
          </w:p>
        </w:tc>
      </w:tr>
    </w:tbl>
    <w:tbl>
      <w:tblPr>
        <w:tblW w:w="4307" w:type="dxa"/>
        <w:jc w:val="left"/>
        <w:tblInd w:w="0" w:type="dxa"/>
        <w:tblLayout w:type="fixed"/>
        <w:tblCellMar>
          <w:top w:w="0" w:type="dxa"/>
          <w:left w:w="0" w:type="dxa"/>
          <w:bottom w:w="0" w:type="dxa"/>
          <w:right w:w="0" w:type="dxa"/>
        </w:tblCellMar>
      </w:tblPr>
      <w:tblGrid>
        <w:gridCol w:w="346"/>
        <w:gridCol w:w="39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Strategic Affairs Committee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Nasdaq</w:t>
      </w:r>
      <w:r>
        <w:rPr>
          <w:rFonts w:ascii="Times New Roman;Times;serif" w:hAnsi="Times New Roman;Times;serif"/>
          <w:b/>
          <w:sz w:val="20"/>
        </w:rPr>
        <w:t>:</w:t>
      </w:r>
      <w:r>
        <w:rPr>
          <w:rFonts w:ascii="Times New Roman;Times;serif" w:hAnsi="Times New Roman;Times;serif"/>
          <w:sz w:val="20"/>
        </w:rPr>
        <w:t xml:space="preserve"> Bruce T. Bernstein, Gaelle Wizenberg, Robert Weinstein, and Michael Lebowitz.</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Bruce T. Bernstein </w:t>
      </w:r>
      <w:r>
        <w:rPr>
          <w:rFonts w:ascii="Times New Roman;Times;serif" w:hAnsi="Times New Roman;Times;serif"/>
          <w:sz w:val="20"/>
        </w:rPr>
        <w:t xml:space="preserve">joined our Board of Directors in February 2016 and has served as the Chairman of our 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glucose monitor distributor, based in New Jersey. Mr. Bernstein holds a B.B.A. from City University of New York (Baruch).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Bernstein’s extensive experience in the securities industry qualifies him to serve as the Chairman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Robert Weinstein </w:t>
      </w:r>
      <w:r>
        <w:rPr>
          <w:rFonts w:ascii="Times New Roman;Times;serif" w:hAnsi="Times New Roman;Times;serif"/>
          <w:sz w:val="20"/>
        </w:rPr>
        <w:t>joined our Board of Directors in February 2020. Mr. Weinstein has extensive accounting and finance experience, spanning more than thirty years, as a public accountant, investment banker, healthcare private equity fund principal and chief financial officer. Since October 2013, Mr. Weinstein has been the Chief Financial Officer of TAO Synergies Inc. (formerly Synaptogenix,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Weinstein’s extensive financial expertise and healthcare experience qualifies him to serve on our Board of Directors and as a member and the chairperson of the audit committee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Michael Lebowitz </w:t>
      </w:r>
      <w:r>
        <w:rPr>
          <w:rFonts w:ascii="Times New Roman;Times;serif" w:hAnsi="Times New Roman;Times;serif"/>
          <w:sz w:val="20"/>
        </w:rPr>
        <w:t>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Lebowitz’s extensive experience in the area of creative brand strategy qualifies him to serve on our Board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Gaëlle Wizenberg</w:t>
      </w:r>
      <w:r>
        <w:rPr>
          <w:rFonts w:ascii="Times New Roman;Times;serif" w:hAnsi="Times New Roman;Times;serif"/>
          <w:sz w:val="20"/>
        </w:rPr>
        <w:t xml:space="preserve"> joined XWELL’s Board of Directors in January 2024. An expert in branding, manufacturing, global distribution of consumer goods and serial 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Ezra T. Ernst joined the Company in January 2022 and has served as our Chief Executive Officer and as a member of our Board of Directors since September 2024. Prior to September 2024, Mr. Ernst served as Executive Vice President of the Company and Chief Executive Officer of XpresTest, Inc., following the Company’s January 2022 acquisition of gcg Connect LLC (formerly doing business as HyperPointe). He also served as President and Chief Executive Officer of HyperPointe from March 2020 until 2025.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2015 and General Manager at WebMD, an online publisher of health and medical news and information, from December 2008 to January 2013.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Thomas Ian Brown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 and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Meeting Attendance. </w:t>
      </w:r>
      <w:r>
        <w:rPr>
          <w:rFonts w:ascii="Times New Roman;Times;serif" w:hAnsi="Times New Roman;Times;serif"/>
          <w:sz w:val="20"/>
        </w:rPr>
        <w:t>During the fiscal year ended December 31, 2025, there were four meetings of our Board of Directors as well as six unanimous written consents of the Board of Directors. The various committees of the Board of Directors met a total of five times, collectively. All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2025. The Board of Directors has adopted a policy under which each member of the Board of Directors is strongly encouraged, but not required, to attend each annual meeting of our stockholders. All five of our 2025 directors attended our 2025 annual meeting of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Audit Committee. </w:t>
      </w:r>
      <w:r>
        <w:rPr>
          <w:rFonts w:ascii="Times New Roman;Times;serif" w:hAnsi="Times New Roman;Times;serif"/>
          <w:sz w:val="20"/>
        </w:rPr>
        <w:t>Our Audit Committee (the “Audit Committee”) met four times during the year ended December 31, 2025. The Audit Committee currently has three members: Robert Weinstein (Chairman), Bruce T. Bernstein and Gaëlle Wizenberg.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Compensation Committee. </w:t>
      </w:r>
      <w:r>
        <w:rPr>
          <w:rFonts w:ascii="Times New Roman;Times;serif" w:hAnsi="Times New Roman;Times;serif"/>
          <w:sz w:val="20"/>
        </w:rPr>
        <w:t>Our Compensation Committee (the “Compensation Committee”) met one time during the year ended December 31, 2025. This committee currently has three members: Bruce T. Bernstein (Chairman), Robert Weinstein and Gaëlle Wizenberg.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our 2020 Equity Incentive Plan (the “2020 Plan”), as well as an inducement award program pursuant to which equity awards may be granted to new employees as an inducement material to such individual’s entering into employment with the Company, as permitted under applicable Nasdaq rules (the “Inducement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and Corporate Governance Committee (the “Nominating and Corporate Governance Committee”) did not meet during the year ended December 31, 2025. This committee currently has three members: Robert Weinstein (Chairman), Michael Lebowitz and Bruce T. Bernstein. The Nominating and Corporate Governance Committee’s role and responsibilities are set forth in the Nominating and Corporate Governance Committee’s written charter and include authority to:</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nominate members of the Board of Directors;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Board of Directors and management;</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recommend corporate governance guidelines to the Board of Directors;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performance of the members of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recommendations to the Board of Directors as to the structure, composition and functioning of the Board of Directors and its committees.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The Strategic Affairs Committee. </w:t>
      </w:r>
      <w:r>
        <w:rPr>
          <w:rFonts w:ascii="Times New Roman;Times;serif" w:hAnsi="Times New Roman;Times;serif"/>
          <w:sz w:val="20"/>
        </w:rPr>
        <w:t xml:space="preserve">The Strategic Affairs Committee (the “Strategic Affairs Committee”) did not meet during the year ended December 31, 2025. This committee was formed in September 2021 to assist the Board in reviewing, analyzing, considering and assessing, potential acquisitions, joint ventures, strategic investments, divestitures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strategic transactions. The Strategic Affairs Committee currently has three members: Bruce T. Bernstein (Chairman), Robert Weinstein and Michael Lebowitz. The Strategic Affairs Committee’s responsibilities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with the identification of potential acquisition, joint venture, strategic investment, divestiture and other strategic transaction opportunities and review transaction candidates with management, when and as appropriate;</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strategic transactions received by the Company or proposed by management;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Leadership Structure and Role in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as of February 5, 2018, the Board appointed Bruce T. Bernstein as the non-executive Chairman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Company’s Policies and Practices Related to the Grant of Certain Equity Awards Close in Time to the Release of Material Nonpublic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stock options were issued to executive officers in fiscal year 2025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Involvement in Certain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our directors or executive officers has been involved in any of the following events during the past ten years: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bankruptcy petition filed by or against any business of which such person was a general partner or executive officer either at the time of the bankruptcy or within two years prior to that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conviction in a criminal proceeding or being subject to a pending criminal proceeding (excluding traffic violations and other minor offences);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family relationships among our directors and executive officers.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16(a) of the Exchange Act requires our directors and officers, and persons who own more than ten percent of our common stock, to file with the SEC initial reports of ownership and reports of changes in ownership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6, 2025, Ian Brown was granted a stock option to purchase up to 37,000 shares of common stock at an exercise price of $1.52 per share with such options vesting in four quarterly installments of 25% each on the first, second, third and fourth quarters after the grant date, subject to certain provisions. Such transaction was reported with the SEC on January 24, 2025, in a Form 4 filing.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our knowledge, based solely on our records and a review of the copies of such reports furnished to us, during the fiscal year ended December 31, 2025, other than above, we believe that all reports applicable to our officers, directors and greater than ten percent stockholders which were required to be filed pursuant to Section 16(a) of the Exchange Act were filed on a timely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Conduct and Ethics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 and will be made available to stockholders without charge, upon request, in writing to the Corporate Secretary at 254 West 31st Street 11</w:t>
      </w:r>
      <w:r>
        <w:rPr>
          <w:rFonts w:ascii="Times New Roman;Times;serif" w:hAnsi="Times New Roman;Times;serif"/>
          <w:sz w:val="20"/>
        </w:rPr>
        <w:t>th</w:t>
      </w:r>
      <w:r>
        <w:rPr>
          <w:rFonts w:ascii="Times New Roman;Times;serif" w:hAnsi="Times New Roman;Times;serif"/>
          <w:sz w:val="20"/>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adopted an insider trading policy governing the purchase, sale, and/or other dispositions of our securities by our directors, officers and employees. The insider trading policy is designed to promote compliance with respect to insider trading laws, rules and regulations. Since the adoption of our insider trading policy, the policy administrator has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any such exemptions to the policy’s general prohibition on hedging or pledging. While the Company is not subject to the insider trading policy, the Company does not trade in its securities when it is in possession of material nonpublic information other than pursuant to previously adopted Rule 10b5-1 trading plans.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63" w:name="ITEM11EXECUTIVECOMPENSATION_276099"/>
      <w:bookmarkStart w:id="64" w:name="_003dc2dc_fb26_4a83_bedd_c177d8ae8a90"/>
      <w:bookmarkStart w:id="65" w:name="_ITEM_11._EXECUTIVE"/>
      <w:bookmarkEnd w:id="63"/>
      <w:bookmarkEnd w:id="64"/>
      <w:bookmarkEnd w:id="65"/>
      <w:r>
        <w:rPr>
          <w:rFonts w:ascii="Times New Roman;Times;serif" w:hAnsi="Times New Roman;Times;serif"/>
          <w:b/>
          <w:sz w:val="20"/>
        </w:rPr>
        <w:t>ITEM 11. EXECUTIVE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compensation awarded or paid by us during the years ended December 31, 2025 and 2024 to (i) our principal executive officer, (ii) the two most highly compensated executive officers other than the principal executive officer who were serving as executive officers at December 31, 2025, and (iii) up to two additional individuals for whom disclosure would have been provided under clause (ii) but for the fact that the person was not serving as an executive officer at the end of the year ended December 31, 2025 (collectively, the “named executive officers”).</w:t>
      </w:r>
    </w:p>
    <w:tbl>
      <w:tblPr>
        <w:tblW w:w="10205" w:type="dxa"/>
        <w:jc w:val="left"/>
        <w:tblInd w:w="0" w:type="dxa"/>
        <w:tblLayout w:type="fixed"/>
        <w:tblCellMar>
          <w:top w:w="0" w:type="dxa"/>
          <w:left w:w="0" w:type="dxa"/>
          <w:bottom w:w="0" w:type="dxa"/>
          <w:right w:w="0" w:type="dxa"/>
        </w:tblCellMar>
      </w:tblPr>
      <w:tblGrid>
        <w:gridCol w:w="1910"/>
        <w:gridCol w:w="346"/>
        <w:gridCol w:w="526"/>
        <w:gridCol w:w="346"/>
        <w:gridCol w:w="781"/>
        <w:gridCol w:w="346"/>
        <w:gridCol w:w="1141"/>
        <w:gridCol w:w="346"/>
        <w:gridCol w:w="676"/>
        <w:gridCol w:w="346"/>
        <w:gridCol w:w="948"/>
        <w:gridCol w:w="109"/>
        <w:gridCol w:w="1141"/>
        <w:gridCol w:w="346"/>
        <w:gridCol w:w="897"/>
      </w:tblGrid>
      <w:tr>
        <w:trPr/>
        <w:tc>
          <w:tcPr>
            <w:tcW w:w="1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12850" cy="175260"/>
                      <wp:effectExtent l="0" t="0" r="0" b="0"/>
                      <wp:wrapNone/>
                      <wp:docPr id="8" name="Frame8"/>
                      <a:graphic xmlns:a="http://schemas.openxmlformats.org/drawingml/2006/main">
                        <a:graphicData uri="http://schemas.microsoft.com/office/word/2010/wordprocessingShape">
                          <wps:wsp>
                            <wps:cNvSpPr txBox="1"/>
                            <wps:spPr>
                              <a:xfrm>
                                <a:off x="0" y="0"/>
                                <a:ext cx="1212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34010" cy="175260"/>
                      <wp:effectExtent l="0" t="0" r="0" b="0"/>
                      <wp:wrapNone/>
                      <wp:docPr id="10" name="Frame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24535" cy="175260"/>
                      <wp:effectExtent l="0" t="0" r="0" b="0"/>
                      <wp:wrapNone/>
                      <wp:docPr id="14" name="Frame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29260" cy="175260"/>
                      <wp:effectExtent l="0" t="0" r="0" b="0"/>
                      <wp:wrapNone/>
                      <wp:docPr id="16" name="Frame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01980" cy="175260"/>
                      <wp:effectExtent l="0" t="0" r="0" b="0"/>
                      <wp:wrapNone/>
                      <wp:docPr id="18" name="Frame18"/>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69595" cy="175260"/>
                      <wp:effectExtent l="0" t="0" r="0" b="0"/>
                      <wp:wrapNone/>
                      <wp:docPr id="22" name="Frame2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Non-Equity </w:t>
            </w:r>
          </w:p>
        </w:tc>
        <w:tc>
          <w:tcPr>
            <w:tcW w:w="346" w:type="dxa"/>
            <w:tcBorders/>
            <w:vAlign w:val="center"/>
          </w:tcPr>
          <w:p>
            <w:pPr>
              <w:pStyle w:val="TableContents"/>
              <w:bidi w:val="0"/>
              <w:spacing w:before="0" w:after="0"/>
              <w:ind w:left="0" w:right="0" w:hanging="0"/>
              <w:jc w:val="left"/>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97" w:type="dxa"/>
            <w:tcBorders/>
            <w:vAlign w:val="center"/>
          </w:tcPr>
          <w:p>
            <w:pPr>
              <w:pStyle w:val="TableContents"/>
              <w:bidi w:val="0"/>
              <w:spacing w:before="0" w:after="0"/>
              <w:ind w:left="0" w:right="0" w:hanging="0"/>
              <w:jc w:val="center"/>
              <w:rPr/>
            </w:pPr>
            <w:r>
              <w:rPr/>
              <w:t>​</w:t>
            </w:r>
          </w:p>
        </w:tc>
      </w:tr>
      <w:tr>
        <w:trPr/>
        <w:tc>
          <w:tcPr>
            <w:tcW w:w="1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All Other </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center"/>
              <w:rPr/>
            </w:pPr>
            <w:r>
              <w:rPr/>
              <w:t>​</w:t>
            </w:r>
          </w:p>
        </w:tc>
      </w:tr>
      <w:tr>
        <w:trPr/>
        <w:tc>
          <w:tcPr>
            <w:tcW w:w="1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 Awards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r>
      <w:tr>
        <w:trPr/>
        <w:tc>
          <w:tcPr>
            <w:tcW w:w="191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Ezra T. Ernst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425,000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70,700</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495,700</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&amp; Chief Executive Officer of XWELL and Director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60,400</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535,400</w:t>
            </w:r>
          </w:p>
        </w:tc>
      </w:tr>
      <w:tr>
        <w:trPr/>
        <w:tc>
          <w:tcPr>
            <w:tcW w:w="19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left"/>
              <w:rPr/>
            </w:pPr>
            <w:r>
              <w:rPr/>
              <w:t>​</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Brown</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17,050</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467,050</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r>
      <w:tr>
        <w:trPr/>
        <w:tc>
          <w:tcPr>
            <w:tcW w:w="1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r>
      <w:tr>
        <w:trPr/>
        <w:tc>
          <w:tcPr>
            <w:tcW w:w="191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Suzanne A. Scrabis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Former Chief Financial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390,100</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Amounts represent the aggregate grant date fair value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For the assumptions made in the valuation of our equity awards see Notes 2 and 15 to our consolidated financial statements included in the Original Filing.</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Ernst is currently our Chief Executive Officer, effective as of September 4, 2024. Compensation for the year ended December 31, 2024 includes equity awards of stock options and restricted stock.</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Scrabis was our former Chief Financial Officer, effective as of July 10, 2023. Compensation for the year ended December 31, 2024 includes equity awards of stock options and restricted stock.</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 President, Chief Executive Officer and Director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Ezra T. Ernst was appointed as the President and Chief Executive Officer of the Company pursuant to the terms of an Executive Employment Agreement (the “Ernst Employment Agreement”), by and between the Company and Ezra T. Ernst The Ernst Employment Agreement supersedes and replaces any previous employment agreements between the Company and Mr. Ernst, including but not limited to, that certain Executive Employment Agreement, dated January 9, 2022, by and between Mr. Ernst and XpresSpa Group, Inc. Pursuant to the terms of the Ernst Employment Agreement, Mr. Ernst will receive an annual base salary of $425,000 (the “Base Salary”) and is eligible for an annual bonus of up to 100% of the Base Salary, split 50/50 between cash and a grant of restricted stock units with respect to the Company’s common stock, par value $0.01 per share (the “Common Stock”). Additionally, Mr. Ernst was granted (A) stock options to purchase up to 30,000 shares of Common Stock at an exercise price of $1.86 per share, with (i) 25% of the shares to vest on the grant date; (ii) 18.75% of shares to vest on December 31, 2024; (iii) 18.75% of the shares to vest on March 31, 2025; (iv) 18.75% of shares to vest on June 30, 2025; and (v) the remaining shares to vest on September 30, 2025, in each case rounded down for any fractional shares and (B) 30,000 restricted shares of Common Stock, which such shares shall vest in approximately three equal annual installments.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Ernst Employment Agreement has a three-year term with automatic one-year renewals unless terminated by either Mr. Ernst or the Company with 30 days’ written notice.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the Ernst Employment Agreement is terminated for good reason by Mr. Ernst, or by the Company without cause and Mr. Ernst provided the Company with a release of claims, Mr. Ernst is entitled to receive a cash severance payment in the amount of one hundred percent (100%) of his then current base salary and one year of COBRA continuation coverage.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Thomas Ian Brown, Chief Financial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3, 2025, the Company entered into that certain Executive Employment Agreement (the “Brown Employment Agreement”) with Thomas Ian Brown, effective as of January 6, 2025 (the “Brown Effective Date”). As of the Brown Effective Date, Mr. Brown shall serve as the Company’s Chief Financial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Brown Employment Agreement, Mr. Brown shall be employed for a period of three years beginning on the Brown Effective Date (the “Initial Employment Period”), which such period shall be automatically renewed for additional consecutive terms of one year each (each, a “Renewal Period” and together with the Initial Employment Period, the “Employment Period”), unless either Mr. Brown or the Company provide a written notice of non-renewal at least 30 days prior to the end of the Initial Employment Period or the then-current Renewal Period, as applicable. The Company shall pay Mr. Brown an annual base salary of $375,000 (the “Base Salary”), less applicable taxes and deductions. Mr. Brown will additionally receive (i) a signing bonus in the amount of $75,000 and (ii) a guaranteed bonus of $75,000 within 30 days of the first anniversary of the Brown Effective Date, provided that Mr. Brown has been an employee in good standing at all times throughout such period. During the Employment Period, Mr. Brown will be eligible to earn an annual bonus of up to 100% of the Base Salary, based upon the achievement of performance goals and metrics established by the Board at its sole discretion, which such bonus payment, if any, shall be split 50/50 between cash and a grant of restricted stock units with respect to the Company’s common stock, par value $0.01 per share (the “Common Stock”). Additionally, following the Brown Effective Date, Mr. Brown shall be granted (A) stock options to purchase up to 37,000 shares of Common Stock at an exercise price equal to the fair market value on the date of the grant, which shall be the closing price of the grant date, with such stock options to vest in four quarterly installments of 25% each on the first, second, third and fourth quarters after the grant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Brown Employment Agreement, the Company may terminate the Brown Employment Agreement and Mr. Brown’s employment thereunder for Cause or Good Reason (as such terms are defined in the Brown Employment Agreement) at any time during the Employment Period and pursuant to the terms and conditions of the Brown Employment Agreement, or without Cause or Good Reason at any time during the Employment Period and pursuant to the terms and conditions of the Brown Employment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Suzanne A. Scrabis, Former Chief Financial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received within 30 days from the Separation Date, a regular bi-weekly salary in the amount of $11,538.46 for a period of six months, less all applicable deductions and withholdings.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2025 Fiscal Year 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grants of stock options and unvested stock awards outstanding on the last day of the fiscal year ended December 31, 2025, to each of our named executive officers.</w:t>
      </w:r>
    </w:p>
    <w:tbl>
      <w:tblPr>
        <w:tblW w:w="10205" w:type="dxa"/>
        <w:jc w:val="left"/>
        <w:tblInd w:w="0" w:type="dxa"/>
        <w:tblLayout w:type="fixed"/>
        <w:tblCellMar>
          <w:top w:w="0" w:type="dxa"/>
          <w:left w:w="0" w:type="dxa"/>
          <w:bottom w:w="0" w:type="dxa"/>
          <w:right w:w="0" w:type="dxa"/>
        </w:tblCellMar>
      </w:tblPr>
      <w:tblGrid>
        <w:gridCol w:w="2526"/>
        <w:gridCol w:w="346"/>
        <w:gridCol w:w="1156"/>
        <w:gridCol w:w="346"/>
        <w:gridCol w:w="953"/>
        <w:gridCol w:w="346"/>
        <w:gridCol w:w="698"/>
        <w:gridCol w:w="346"/>
        <w:gridCol w:w="1131"/>
        <w:gridCol w:w="346"/>
        <w:gridCol w:w="785"/>
        <w:gridCol w:w="375"/>
        <w:gridCol w:w="851"/>
      </w:tblGrid>
      <w:tr>
        <w:trPr/>
        <w:tc>
          <w:tcPr>
            <w:tcW w:w="2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04010" cy="175260"/>
                      <wp:effectExtent l="0" t="0" r="0" b="0"/>
                      <wp:wrapNone/>
                      <wp:docPr id="23" name="Frame23"/>
                      <a:graphic xmlns:a="http://schemas.openxmlformats.org/drawingml/2006/main">
                        <a:graphicData uri="http://schemas.microsoft.com/office/word/2010/wordprocessingShape">
                          <wps:wsp>
                            <wps:cNvSpPr txBox="1"/>
                            <wps:spPr>
                              <a:xfrm>
                                <a:off x="0" y="0"/>
                                <a:ext cx="160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34060" cy="175260"/>
                      <wp:effectExtent l="0" t="0" r="0" b="0"/>
                      <wp:wrapNone/>
                      <wp:docPr id="25" name="Frame2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5155" cy="175260"/>
                      <wp:effectExtent l="0" t="0" r="0" b="0"/>
                      <wp:wrapNone/>
                      <wp:docPr id="27" name="Frame27"/>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43230" cy="175260"/>
                      <wp:effectExtent l="0" t="0" r="0" b="0"/>
                      <wp:wrapNone/>
                      <wp:docPr id="29" name="Frame2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18185" cy="175260"/>
                      <wp:effectExtent l="0" t="0" r="0" b="0"/>
                      <wp:wrapNone/>
                      <wp:docPr id="31" name="Frame31"/>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8475" cy="175260"/>
                      <wp:effectExtent l="0" t="0" r="0" b="0"/>
                      <wp:wrapNone/>
                      <wp:docPr id="33" name="Frame3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8125" cy="175260"/>
                      <wp:effectExtent l="0" t="0" r="0" b="0"/>
                      <wp:wrapNone/>
                      <wp:docPr id="34" name="Frame3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0385" cy="175260"/>
                      <wp:effectExtent l="0" t="0" r="0" b="0"/>
                      <wp:wrapNone/>
                      <wp:docPr id="35" name="Frame35"/>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97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46" w:type="dxa"/>
            <w:tcBorders/>
            <w:vAlign w:val="center"/>
          </w:tcPr>
          <w:p>
            <w:pPr>
              <w:pStyle w:val="TableContents"/>
              <w:bidi w:val="0"/>
              <w:spacing w:before="0" w:after="0"/>
              <w:ind w:left="0" w:right="0" w:hanging="0"/>
              <w:jc w:val="left"/>
              <w:rPr/>
            </w:pPr>
            <w:r>
              <w:rPr/>
              <w:t>  ​ ​ ​</w:t>
            </w:r>
          </w:p>
        </w:tc>
        <w:tc>
          <w:tcPr>
            <w:tcW w:w="20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 Awards</w:t>
            </w:r>
          </w:p>
        </w:tc>
      </w:tr>
      <w:tr>
        <w:trPr/>
        <w:tc>
          <w:tcPr>
            <w:tcW w:w="2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75" w:type="dxa"/>
            <w:tcBorders/>
            <w:vAlign w:val="center"/>
          </w:tcPr>
          <w:p>
            <w:pPr>
              <w:pStyle w:val="TableContents"/>
              <w:bidi w:val="0"/>
              <w:spacing w:before="0" w:after="0"/>
              <w:ind w:left="0" w:right="0" w:hanging="0"/>
              <w:jc w:val="left"/>
              <w:rPr/>
            </w:pPr>
            <w:r>
              <w:rPr/>
              <w:t>  ​ ​ ​</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stock</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units</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stock</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have not</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un-</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expiration</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have not</w:t>
            </w:r>
          </w:p>
        </w:tc>
      </w:tr>
      <w:tr>
        <w:trPr/>
        <w:tc>
          <w:tcPr>
            <w:tcW w:w="25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exercisable</w:t>
            </w:r>
          </w:p>
        </w:tc>
        <w:tc>
          <w:tcPr>
            <w:tcW w:w="346" w:type="dxa"/>
            <w:tcBorders/>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w:t>
            </w:r>
          </w:p>
        </w:tc>
        <w:tc>
          <w:tcPr>
            <w:tcW w:w="346" w:type="dxa"/>
            <w:tcBorders/>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75" w:type="dxa"/>
            <w:tcBorders/>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 ($)</w:t>
            </w:r>
          </w:p>
        </w:tc>
      </w:tr>
      <w:tr>
        <w:trPr/>
        <w:tc>
          <w:tcPr>
            <w:tcW w:w="25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Ezra T. Ernst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55,000</w:t>
            </w:r>
          </w:p>
        </w:tc>
        <w:tc>
          <w:tcPr>
            <w:tcW w:w="375"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$ 1.01</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 Non-Qualified Stock Options from the 2020 Plan</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16,875</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February 5, 2034</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Thomas I. Brown </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Inducement Plan</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37,000</w:t>
            </w:r>
          </w:p>
        </w:tc>
        <w:tc>
          <w:tcPr>
            <w:tcW w:w="346"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January 6, 2035</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bl>
    <w:tbl>
      <w:tblPr>
        <w:tblW w:w="9917" w:type="dxa"/>
        <w:jc w:val="left"/>
        <w:tblInd w:w="0" w:type="dxa"/>
        <w:tblLayout w:type="fixed"/>
        <w:tblCellMar>
          <w:top w:w="0" w:type="dxa"/>
          <w:left w:w="0" w:type="dxa"/>
          <w:bottom w:w="0" w:type="dxa"/>
          <w:right w:w="0" w:type="dxa"/>
        </w:tblCellMar>
      </w:tblPr>
      <w:tblGrid>
        <w:gridCol w:w="346"/>
        <w:gridCol w:w="9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Un-exercisable options vest in equal annual increments over each of the remaining anniversaries of the date of grant.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Pension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qualified or nonqualified defined benefit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Nonqualified Deferred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nonqualified defined contribution plans or other deferred compensation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summarizes the payments and potential payments to each of our named executive officers as of December 31, 2025, upon termination or change-in-control. The discussion assumes that such event occurred on December 31, 2025, the last business day of our fiscal year, at which time the closing price of our common stock as listed on Nasdaq was $0.4608 per share. For a further discussion of these provisions see the “Narrative Disclosure to Summary Compensation Table”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Thomas I. Brown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event Mr. Brown’s employment agreement is terminated by the Company without cause or by Mr. Brown for good reason, and Mr. Brown provides the Company with a release of claims, Mr. Brown would be entitled to receive a severance payment equal to one hundred percent (100%) of his then-current base salary, payable over a twelve-month period, as well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reimbursement of COBRA continuation coverage premiums for up to twelve months, in each case pursuant to the terms of his employment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Suzanne A. Scrabis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8, 2025, Ms. Scrabis began receiving bi-weekly payments of $11,538.46 for six months and continued to  receive to six months of COBRA premium reimbursement pursuant to the terms of her Resignation, Separation Agreement and Release.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compensation of persons who served as non-employee members of our Board of Directors during the fiscal year ended December 31, 2025.</w:t>
      </w:r>
    </w:p>
    <w:tbl>
      <w:tblPr>
        <w:tblW w:w="8576" w:type="dxa"/>
        <w:jc w:val="left"/>
        <w:tblInd w:w="0" w:type="dxa"/>
        <w:tblLayout w:type="fixed"/>
        <w:tblCellMar>
          <w:top w:w="0" w:type="dxa"/>
          <w:left w:w="0" w:type="dxa"/>
          <w:bottom w:w="0" w:type="dxa"/>
          <w:right w:w="0" w:type="dxa"/>
        </w:tblCellMar>
      </w:tblPr>
      <w:tblGrid>
        <w:gridCol w:w="1966"/>
        <w:gridCol w:w="346"/>
        <w:gridCol w:w="841"/>
        <w:gridCol w:w="346"/>
        <w:gridCol w:w="1291"/>
        <w:gridCol w:w="346"/>
        <w:gridCol w:w="781"/>
        <w:gridCol w:w="346"/>
        <w:gridCol w:w="1141"/>
        <w:gridCol w:w="346"/>
        <w:gridCol w:w="82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8410" cy="175260"/>
                      <wp:effectExtent l="0" t="0" r="0" b="0"/>
                      <wp:wrapNone/>
                      <wp:docPr id="36" name="Frame36"/>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4035" cy="175260"/>
                      <wp:effectExtent l="0" t="0" r="0" b="0"/>
                      <wp:wrapNone/>
                      <wp:docPr id="38" name="Frame3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19785" cy="175260"/>
                      <wp:effectExtent l="0" t="0" r="0" b="0"/>
                      <wp:wrapNone/>
                      <wp:docPr id="40" name="Frame4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5935" cy="175260"/>
                      <wp:effectExtent l="0" t="0" r="0" b="0"/>
                      <wp:wrapNone/>
                      <wp:docPr id="42" name="Frame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24535" cy="175260"/>
                      <wp:effectExtent l="0" t="0" r="0" b="0"/>
                      <wp:wrapNone/>
                      <wp:docPr id="44" name="Frame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4510" cy="175260"/>
                      <wp:effectExtent l="0" t="0" r="0" b="0"/>
                      <wp:wrapNone/>
                      <wp:docPr id="46" name="Frame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346" w:type="dxa"/>
            <w:tcBorders/>
            <w:vAlign w:val="center"/>
          </w:tcPr>
          <w:p>
            <w:pPr>
              <w:pStyle w:val="TableContents"/>
              <w:bidi w:val="0"/>
              <w:spacing w:before="0" w:after="0"/>
              <w:ind w:left="0" w:right="0" w:hanging="0"/>
              <w:jc w:val="left"/>
              <w:rPr/>
            </w:pPr>
            <w:r>
              <w:rPr/>
              <w:t>  ​ ​ ​</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Earned or</w:t>
            </w:r>
          </w:p>
        </w:tc>
        <w:tc>
          <w:tcPr>
            <w:tcW w:w="3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All Other </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 Awards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(6)</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(2)(6)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95,000</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101,619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306,619</w:t>
            </w:r>
          </w:p>
        </w:tc>
      </w:tr>
      <w:tr>
        <w:trPr/>
        <w:tc>
          <w:tcPr>
            <w:tcW w:w="19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Gaëlle Wizenberg</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80,112</w:t>
            </w:r>
          </w:p>
        </w:tc>
      </w:tr>
      <w:tr>
        <w:trPr/>
        <w:tc>
          <w:tcPr>
            <w:tcW w:w="19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4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114,322</w:t>
            </w:r>
          </w:p>
        </w:tc>
      </w:tr>
      <w:tr>
        <w:trPr/>
        <w:tc>
          <w:tcPr>
            <w:tcW w:w="19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49,639</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94,639</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Amounts represent the aggregate grant date fair value of the RSUs and option awards granted during the fiscal year computed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See Notes 2 and 15 to the consolidated financial statements included in the Original Filing for the assumptions made in the valuation of the equity awards.</w:t>
            </w:r>
          </w:p>
        </w:tc>
      </w:tr>
    </w:tbl>
    <w:tbl>
      <w:tblPr>
        <w:tblW w:w="6587" w:type="dxa"/>
        <w:jc w:val="left"/>
        <w:tblInd w:w="0" w:type="dxa"/>
        <w:tblLayout w:type="fixed"/>
        <w:tblCellMar>
          <w:top w:w="0" w:type="dxa"/>
          <w:left w:w="0" w:type="dxa"/>
          <w:bottom w:w="0" w:type="dxa"/>
          <w:right w:w="0" w:type="dxa"/>
        </w:tblCellMar>
      </w:tblPr>
      <w:tblGrid>
        <w:gridCol w:w="346"/>
        <w:gridCol w:w="62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Mr. Bernstein held 220,528 unexercised options.</w:t>
            </w:r>
          </w:p>
        </w:tc>
      </w:tr>
    </w:tbl>
    <w:tbl>
      <w:tblPr>
        <w:tblW w:w="6632" w:type="dxa"/>
        <w:jc w:val="left"/>
        <w:tblInd w:w="0" w:type="dxa"/>
        <w:tblLayout w:type="fixed"/>
        <w:tblCellMar>
          <w:top w:w="0" w:type="dxa"/>
          <w:left w:w="0" w:type="dxa"/>
          <w:bottom w:w="0" w:type="dxa"/>
          <w:right w:w="0" w:type="dxa"/>
        </w:tblCellMar>
      </w:tblPr>
      <w:tblGrid>
        <w:gridCol w:w="346"/>
        <w:gridCol w:w="62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Mr. Weinstein held 117,886 unexercised options.</w:t>
            </w:r>
          </w:p>
        </w:tc>
      </w:tr>
    </w:tbl>
    <w:tbl>
      <w:tblPr>
        <w:tblW w:w="6572" w:type="dxa"/>
        <w:jc w:val="left"/>
        <w:tblInd w:w="0" w:type="dxa"/>
        <w:tblLayout w:type="fixed"/>
        <w:tblCellMar>
          <w:top w:w="0" w:type="dxa"/>
          <w:left w:w="0" w:type="dxa"/>
          <w:bottom w:w="0" w:type="dxa"/>
          <w:right w:w="0" w:type="dxa"/>
        </w:tblCellMar>
      </w:tblPr>
      <w:tblGrid>
        <w:gridCol w:w="346"/>
        <w:gridCol w:w="62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Mr. Lebowitz held 107,724 unexercised options.</w:t>
            </w:r>
          </w:p>
        </w:tc>
      </w:tr>
    </w:tbl>
    <w:tbl>
      <w:tblPr>
        <w:tblW w:w="6602" w:type="dxa"/>
        <w:jc w:val="left"/>
        <w:tblInd w:w="0" w:type="dxa"/>
        <w:tblLayout w:type="fixed"/>
        <w:tblCellMar>
          <w:top w:w="0" w:type="dxa"/>
          <w:left w:w="0" w:type="dxa"/>
          <w:bottom w:w="0" w:type="dxa"/>
          <w:right w:w="0" w:type="dxa"/>
        </w:tblCellMar>
      </w:tblPr>
      <w:tblGrid>
        <w:gridCol w:w="346"/>
        <w:gridCol w:w="62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Ms. Wizenberg held 97,900 unexercised options.</w:t>
            </w:r>
          </w:p>
        </w:tc>
      </w:tr>
    </w:tbl>
    <w:tbl>
      <w:tblPr>
        <w:tblW w:w="8462" w:type="dxa"/>
        <w:jc w:val="left"/>
        <w:tblInd w:w="0" w:type="dxa"/>
        <w:tblLayout w:type="fixed"/>
        <w:tblCellMar>
          <w:top w:w="0" w:type="dxa"/>
          <w:left w:w="0" w:type="dxa"/>
          <w:bottom w:w="0" w:type="dxa"/>
          <w:right w:w="0" w:type="dxa"/>
        </w:tblCellMar>
      </w:tblPr>
      <w:tblGrid>
        <w:gridCol w:w="346"/>
        <w:gridCol w:w="81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$110,000 in cash paid in respect of XpresTest, Inc. board services (as described below).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2023, the Board reevaluated the Company’s compensation structure. Based on its review, the Compensation Committee recommended, and the full Board approved, a new director compensation program effective October 1, 2023:</w:t>
      </w:r>
    </w:p>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Chairman of the Board: </w:t>
            </w:r>
          </w:p>
        </w:tc>
      </w:tr>
    </w:tbl>
    <w:tbl>
      <w:tblPr>
        <w:tblW w:w="1791" w:type="dxa"/>
        <w:jc w:val="left"/>
        <w:tblInd w:w="0" w:type="dxa"/>
        <w:tblLayout w:type="fixed"/>
        <w:tblCellMar>
          <w:top w:w="28" w:type="dxa"/>
          <w:left w:w="28" w:type="dxa"/>
          <w:bottom w:w="28" w:type="dxa"/>
          <w:right w:w="28" w:type="dxa"/>
        </w:tblCellMar>
      </w:tblPr>
      <w:tblGrid>
        <w:gridCol w:w="124"/>
        <w:gridCol w:w="22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 in cash</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other non-employee Directors: </w:t>
            </w:r>
          </w:p>
        </w:tc>
      </w:tr>
    </w:tbl>
    <w:tbl>
      <w:tblPr>
        <w:tblW w:w="1791" w:type="dxa"/>
        <w:jc w:val="left"/>
        <w:tblInd w:w="0" w:type="dxa"/>
        <w:tblLayout w:type="fixed"/>
        <w:tblCellMar>
          <w:top w:w="28" w:type="dxa"/>
          <w:left w:w="28" w:type="dxa"/>
          <w:bottom w:w="28" w:type="dxa"/>
          <w:right w:w="28" w:type="dxa"/>
        </w:tblCellMar>
      </w:tblPr>
      <w:tblGrid>
        <w:gridCol w:w="124"/>
        <w:gridCol w:w="22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 in cash</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cash payments:</w:t>
            </w:r>
          </w:p>
        </w:tc>
      </w:tr>
    </w:tbl>
    <w:tbl>
      <w:tblPr>
        <w:tblW w:w="5151" w:type="dxa"/>
        <w:jc w:val="left"/>
        <w:tblInd w:w="0" w:type="dxa"/>
        <w:tblLayout w:type="fixed"/>
        <w:tblCellMar>
          <w:top w:w="28" w:type="dxa"/>
          <w:left w:w="28" w:type="dxa"/>
          <w:bottom w:w="28" w:type="dxa"/>
          <w:right w:w="28" w:type="dxa"/>
        </w:tblCellMar>
      </w:tblPr>
      <w:tblGrid>
        <w:gridCol w:w="124"/>
        <w:gridCol w:w="22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in cash to the Chairman of the Audit Committee.</w:t>
            </w:r>
          </w:p>
        </w:tc>
      </w:tr>
    </w:tbl>
    <w:tbl>
      <w:tblPr>
        <w:tblW w:w="5871" w:type="dxa"/>
        <w:jc w:val="left"/>
        <w:tblInd w:w="0" w:type="dxa"/>
        <w:tblLayout w:type="fixed"/>
        <w:tblCellMar>
          <w:top w:w="28" w:type="dxa"/>
          <w:left w:w="28" w:type="dxa"/>
          <w:bottom w:w="28" w:type="dxa"/>
          <w:right w:w="28" w:type="dxa"/>
        </w:tblCellMar>
      </w:tblPr>
      <w:tblGrid>
        <w:gridCol w:w="124"/>
        <w:gridCol w:w="22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in cash to the Chairman of the Compensation Committee.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961" w:type="dxa"/>
        <w:jc w:val="left"/>
        <w:tblInd w:w="0" w:type="dxa"/>
        <w:tblLayout w:type="fixed"/>
        <w:tblCellMar>
          <w:top w:w="28" w:type="dxa"/>
          <w:left w:w="28" w:type="dxa"/>
          <w:bottom w:w="28" w:type="dxa"/>
          <w:right w:w="28" w:type="dxa"/>
        </w:tblCellMar>
      </w:tblPr>
      <w:tblGrid>
        <w:gridCol w:w="124"/>
        <w:gridCol w:w="22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in cash to each member of the Strategic Affairs Committee.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6" w:name="ITEM12SECURITYOWNERSHIPOFCERTAINBENEFICI"/>
      <w:bookmarkStart w:id="67" w:name="_38b9b8a3_ae23_461f_ad7d_4b45eb9f85bc"/>
      <w:bookmarkStart w:id="68" w:name="_Toc163832296"/>
      <w:bookmarkStart w:id="69" w:name="_ITEM_12._SECURITY"/>
      <w:bookmarkEnd w:id="66"/>
      <w:bookmarkEnd w:id="67"/>
      <w:bookmarkEnd w:id="68"/>
      <w:bookmarkEnd w:id="69"/>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certain aggregate information, as of December 31, 2025 with respect to all of our equity compensation plans then in effect:</w:t>
      </w:r>
    </w:p>
    <w:tbl>
      <w:tblPr>
        <w:tblW w:w="10205" w:type="dxa"/>
        <w:jc w:val="left"/>
        <w:tblInd w:w="0" w:type="dxa"/>
        <w:tblLayout w:type="fixed"/>
        <w:tblCellMar>
          <w:top w:w="0" w:type="dxa"/>
          <w:left w:w="0" w:type="dxa"/>
          <w:bottom w:w="0" w:type="dxa"/>
          <w:right w:w="0" w:type="dxa"/>
        </w:tblCellMar>
      </w:tblPr>
      <w:tblGrid>
        <w:gridCol w:w="5158"/>
        <w:gridCol w:w="346"/>
        <w:gridCol w:w="1314"/>
        <w:gridCol w:w="346"/>
        <w:gridCol w:w="427"/>
        <w:gridCol w:w="927"/>
        <w:gridCol w:w="346"/>
        <w:gridCol w:w="1341"/>
      </w:tblGrid>
      <w:tr>
        <w:trPr/>
        <w:tc>
          <w:tcPr>
            <w:tcW w:w="5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275330" cy="175260"/>
                      <wp:effectExtent l="0" t="0" r="0" b="0"/>
                      <wp:wrapNone/>
                      <wp:docPr id="47" name="Frame47"/>
                      <a:graphic xmlns:a="http://schemas.openxmlformats.org/drawingml/2006/main">
                        <a:graphicData uri="http://schemas.microsoft.com/office/word/2010/wordprocessingShape">
                          <wps:wsp>
                            <wps:cNvSpPr txBox="1"/>
                            <wps:spPr>
                              <a:xfrm>
                                <a:off x="0" y="0"/>
                                <a:ext cx="327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834390" cy="175260"/>
                      <wp:effectExtent l="0" t="0" r="0" b="0"/>
                      <wp:wrapNone/>
                      <wp:docPr id="49" name="Frame49"/>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71145" cy="175260"/>
                      <wp:effectExtent l="0" t="0" r="0" b="0"/>
                      <wp:wrapNone/>
                      <wp:docPr id="51" name="Frame51"/>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8645" cy="175260"/>
                      <wp:effectExtent l="0" t="0" r="0" b="0"/>
                      <wp:wrapNone/>
                      <wp:docPr id="52" name="Frame52"/>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851535" cy="175260"/>
                      <wp:effectExtent l="0" t="0" r="0" b="0"/>
                      <wp:wrapNone/>
                      <wp:docPr id="54" name="Frame54"/>
                      <a:graphic xmlns:a="http://schemas.openxmlformats.org/drawingml/2006/main">
                        <a:graphicData uri="http://schemas.microsoft.com/office/word/2010/wordprocessingShape">
                          <wps:wsp>
                            <wps:cNvSpPr txBox="1"/>
                            <wps:spPr>
                              <a:xfrm>
                                <a:off x="0" y="0"/>
                                <a:ext cx="85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2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 securities</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 securities</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1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51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left"/>
              <w:rPr/>
            </w:pPr>
            <w:r>
              <w:rPr/>
              <w:t>​</w:t>
            </w:r>
          </w:p>
        </w:tc>
        <w:tc>
          <w:tcPr>
            <w:tcW w:w="13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46" w:type="dxa"/>
            <w:tcBorders/>
            <w:vAlign w:val="center"/>
          </w:tcPr>
          <w:p>
            <w:pPr>
              <w:pStyle w:val="TableContents"/>
              <w:bidi w:val="0"/>
              <w:spacing w:before="0" w:after="0"/>
              <w:ind w:left="0" w:right="0" w:hanging="0"/>
              <w:jc w:val="left"/>
              <w:rPr/>
            </w:pPr>
            <w:r>
              <w:rPr/>
              <w:t>​</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rights ($)</w:t>
            </w:r>
          </w:p>
        </w:tc>
        <w:tc>
          <w:tcPr>
            <w:tcW w:w="346" w:type="dxa"/>
            <w:tcBorders/>
            <w:vAlign w:val="center"/>
          </w:tcPr>
          <w:p>
            <w:pPr>
              <w:pStyle w:val="TableContents"/>
              <w:bidi w:val="0"/>
              <w:spacing w:before="0" w:after="0"/>
              <w:ind w:left="0" w:right="0" w:hanging="0"/>
              <w:jc w:val="left"/>
              <w:rPr/>
            </w:pPr>
            <w:r>
              <w:rPr/>
              <w:t>​</w:t>
            </w:r>
          </w:p>
        </w:tc>
        <w:tc>
          <w:tcPr>
            <w:tcW w:w="13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first column)</w:t>
            </w:r>
          </w:p>
        </w:tc>
      </w:tr>
      <w:tr>
        <w:trPr/>
        <w:tc>
          <w:tcPr>
            <w:tcW w:w="515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equity compensation plans approved by security holders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970,851</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46" w:type="dxa"/>
            <w:tcBorders/>
            <w:shd w:fill="CCEEFF" w:val="clear"/>
            <w:vAlign w:val="center"/>
          </w:tcPr>
          <w:p>
            <w:pPr>
              <w:pStyle w:val="TableContents"/>
              <w:bidi w:val="0"/>
              <w:spacing w:before="0" w:after="0"/>
              <w:ind w:left="0" w:right="0" w:hanging="0"/>
              <w:jc w:val="left"/>
              <w:rPr/>
            </w:pPr>
            <w:r>
              <w:rPr/>
              <w:t> </w:t>
            </w:r>
          </w:p>
        </w:tc>
        <w:tc>
          <w:tcPr>
            <w:tcW w:w="13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1,552,745</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plans consist of the Company’s 2020 Equity Incentive Plan, as approved by the Company’s Board of Directors in September 2020 and by its stockholders in October 2020. On October 4, 2022, the Company’s stockholders approved an amendment to the 2020 Equity Incentive Plan to increase the number of shares authorized for issuance under the plan by 375,000 shares. On April 10, 2025, the Company approved an additional increase to the number of shares authorized for issuance under the 2020 Equity Incentive Plan by 2,500,000 shares. As a result, a total of 1,552,745 shares of common stock remained available for issuance under the plan as of December 31, 2025.</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information with respect to the beneficial ownership of common stock as of April 25, 2026, for (a) each stockholder known by us to own beneficially more than 5% of any class of our voting securities, (b) each of our named executive officers (as such term is defined pursuant to Rule 402 of Regulation S-K), (c) each of our directors, and (d) all of our current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the securities. We deem shares of common stock that may be acquired by an individual or group within 60 days of April 25, 2026, pursuant to the exercise of options or warrants, conversion of preferred stock, or the vesting of RSUs, as applicable, to be outstanding for the purpose of computing the percentage ownership of such individual or group, but not for the purpose of computing the percentage ownership of any other person shown in the table. The number of shares of Common Stock beneficially owned by the principal stockholders and the percentage of shares outstanding, as set forth below, take into account certain limitations on the conversion of the Series H Convertible Preferred Stock (the “Series G Preferred Stock”) or exercise of warrants, as the case may be, to purchase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7,926,766 shares of common stock issued and outstanding and outstanding and percentage of Series H Preferred Stock ownership is based on 31,333 shares of Series H Preferred Stock issued and outstanding as of April 25, 2026.</w:t>
      </w:r>
    </w:p>
    <w:tbl>
      <w:tblPr>
        <w:tblW w:w="3369" w:type="dxa"/>
        <w:jc w:val="left"/>
        <w:tblInd w:w="0" w:type="dxa"/>
        <w:tblLayout w:type="fixed"/>
        <w:tblCellMar>
          <w:top w:w="0" w:type="dxa"/>
          <w:left w:w="0" w:type="dxa"/>
          <w:bottom w:w="0" w:type="dxa"/>
          <w:right w:w="0" w:type="dxa"/>
        </w:tblCellMar>
      </w:tblPr>
      <w:tblGrid>
        <w:gridCol w:w="124"/>
        <w:gridCol w:w="346"/>
        <w:gridCol w:w="931"/>
        <w:gridCol w:w="346"/>
        <w:gridCol w:w="109"/>
        <w:gridCol w:w="146"/>
        <w:gridCol w:w="886"/>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8740" cy="175260"/>
                      <wp:effectExtent l="0" t="0" r="0" b="0"/>
                      <wp:wrapNone/>
                      <wp:docPr id="55" name="Frame5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57"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2610" cy="175260"/>
                      <wp:effectExtent l="0" t="0" r="0" b="0"/>
                      <wp:wrapNone/>
                      <wp:docPr id="61" name="Frame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7790" cy="175260"/>
                      <wp:effectExtent l="0" t="0" r="0" b="0"/>
                      <wp:wrapNone/>
                      <wp:docPr id="65" name="Frame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of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H</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47"/>
        <w:gridCol w:w="146"/>
        <w:gridCol w:w="946"/>
        <w:gridCol w:w="146"/>
        <w:gridCol w:w="916"/>
        <w:gridCol w:w="146"/>
        <w:gridCol w:w="1283"/>
        <w:gridCol w:w="109"/>
        <w:gridCol w:w="916"/>
        <w:gridCol w:w="109"/>
        <w:gridCol w:w="741"/>
      </w:tblGrid>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146" w:type="dxa"/>
            <w:tcBorders/>
            <w:vAlign w:val="center"/>
          </w:tcPr>
          <w:p>
            <w:pPr>
              <w:pStyle w:val="TableContents"/>
              <w:bidi w:val="0"/>
              <w:spacing w:before="0" w:after="0"/>
              <w:ind w:left="0" w:right="0" w:hanging="0"/>
              <w:jc w:val="center"/>
              <w:rPr/>
            </w:pPr>
            <w:r>
              <w:rPr/>
              <w:t> </w:t>
            </w:r>
          </w:p>
        </w:tc>
        <w:tc>
          <w:tcPr>
            <w:tcW w:w="1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Preferred Stock </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109"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146" w:type="dxa"/>
            <w:tcBorders/>
            <w:vAlign w:val="center"/>
          </w:tcPr>
          <w:p>
            <w:pPr>
              <w:pStyle w:val="TableContents"/>
              <w:bidi w:val="0"/>
              <w:spacing w:before="0" w:after="0"/>
              <w:ind w:left="0" w:right="0" w:hanging="0"/>
              <w:jc w:val="center"/>
              <w:rPr/>
            </w:pPr>
            <w:r>
              <w:rPr/>
              <w:t> </w:t>
            </w:r>
          </w:p>
        </w:tc>
        <w:tc>
          <w:tcPr>
            <w:tcW w:w="1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109"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r>
      <w:tr>
        <w:trPr/>
        <w:tc>
          <w:tcPr>
            <w:tcW w:w="4747"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b/>
                <w:sz w:val="12"/>
              </w:rPr>
              <w:t>(1)</w:t>
            </w:r>
          </w:p>
        </w:tc>
        <w:tc>
          <w:tcPr>
            <w:tcW w:w="1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Owned</w:t>
            </w:r>
          </w:p>
        </w:tc>
        <w:tc>
          <w:tcPr>
            <w:tcW w:w="1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146" w:type="dxa"/>
            <w:tcBorders/>
            <w:vAlign w:val="center"/>
          </w:tcPr>
          <w:p>
            <w:pPr>
              <w:pStyle w:val="TableContents"/>
              <w:bidi w:val="0"/>
              <w:spacing w:before="0" w:after="0"/>
              <w:ind w:left="0" w:right="0" w:hanging="0"/>
              <w:jc w:val="center"/>
              <w:rPr/>
            </w:pPr>
            <w:r>
              <w:rPr/>
              <w:t> </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109" w:type="dxa"/>
            <w:tcBorders/>
            <w:vAlign w:val="center"/>
          </w:tcPr>
          <w:p>
            <w:pPr>
              <w:pStyle w:val="TableContents"/>
              <w:bidi w:val="0"/>
              <w:spacing w:before="0" w:after="0"/>
              <w:ind w:left="0" w:right="0" w:hanging="0"/>
              <w:jc w:val="center"/>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Power</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5% percent or more beneficial owners:</w:t>
            </w:r>
          </w:p>
        </w:tc>
        <w:tc>
          <w:tcPr>
            <w:tcW w:w="1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41" w:type="dxa"/>
            <w:tcBorders/>
            <w:shd w:fill="CCEEFF" w:val="clear"/>
            <w:vAlign w:val="center"/>
          </w:tcPr>
          <w:p>
            <w:pPr>
              <w:pStyle w:val="TableContents"/>
              <w:bidi w:val="0"/>
              <w:spacing w:before="0" w:after="0"/>
              <w:ind w:left="0" w:right="0" w:hanging="0"/>
              <w:jc w:val="center"/>
              <w:rPr/>
            </w:pPr>
            <w:r>
              <w:rPr/>
              <w:t>​</w: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XWEL INV I, LLC</w:t>
            </w:r>
            <w:r>
              <w:rPr>
                <w:rFonts w:ascii="Times New Roman;Times;serif" w:hAnsi="Times New Roman;Times;serif"/>
                <w:sz w:val="15"/>
              </w:rPr>
              <w:t>(2)</w:t>
            </w:r>
          </w:p>
        </w:tc>
        <w:tc>
          <w:tcPr>
            <w:tcW w:w="1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515,090</w:t>
            </w:r>
          </w:p>
        </w:tc>
        <w:tc>
          <w:tcPr>
            <w:tcW w:w="1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46"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center"/>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Directors and named executive officers:</w:t>
            </w:r>
          </w:p>
        </w:tc>
        <w:tc>
          <w:tcPr>
            <w:tcW w:w="1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left"/>
              <w:rPr/>
            </w:pPr>
            <w:r>
              <w:rPr/>
              <w:t>  ​</w: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Ezra T. Ernst</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316,130</w:t>
            </w:r>
          </w:p>
        </w:tc>
        <w:tc>
          <w:tcPr>
            <w:tcW w:w="1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(4)</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524,183</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14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Gaëlle Wizenberg</w:t>
            </w:r>
            <w:r>
              <w:rPr>
                <w:rFonts w:ascii="Times New Roman;Times;serif" w:hAnsi="Times New Roman;Times;serif"/>
                <w:sz w:val="15"/>
              </w:rPr>
              <w:t>(5)</w:t>
            </w:r>
          </w:p>
        </w:tc>
        <w:tc>
          <w:tcPr>
            <w:tcW w:w="1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286,142</w:t>
            </w:r>
          </w:p>
        </w:tc>
        <w:tc>
          <w:tcPr>
            <w:tcW w:w="1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(6)</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378,942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14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(7)</w:t>
            </w:r>
          </w:p>
        </w:tc>
        <w:tc>
          <w:tcPr>
            <w:tcW w:w="1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328,934</w:t>
            </w:r>
          </w:p>
        </w:tc>
        <w:tc>
          <w:tcPr>
            <w:tcW w:w="1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Thomas Ian Brown</w:t>
            </w:r>
            <w:r>
              <w:rPr>
                <w:rFonts w:ascii="Times New Roman;Times;serif" w:hAnsi="Times New Roman;Times;serif"/>
                <w:sz w:val="15"/>
              </w:rPr>
              <w:t>(8)</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37,000</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Suzanne A. Scrabis</w:t>
            </w:r>
            <w:r>
              <w:rPr>
                <w:rFonts w:ascii="Times New Roman;Times;serif" w:hAnsi="Times New Roman;Times;serif"/>
                <w:sz w:val="15"/>
              </w:rPr>
              <w:t>(9)</w:t>
            </w:r>
          </w:p>
        </w:tc>
        <w:tc>
          <w:tcPr>
            <w:tcW w:w="1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w:t>
            </w:r>
          </w:p>
        </w:tc>
        <w:tc>
          <w:tcPr>
            <w:tcW w:w="1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r>
      <w:tr>
        <w:trPr/>
        <w:tc>
          <w:tcPr>
            <w:tcW w:w="47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 (7 persons)</w:t>
            </w:r>
            <w:r>
              <w:rPr>
                <w:rFonts w:ascii="Times New Roman;Times;serif" w:hAnsi="Times New Roman;Times;serif"/>
                <w:sz w:val="15"/>
              </w:rPr>
              <w:t>(10)</w:t>
            </w:r>
          </w:p>
        </w:tc>
        <w:tc>
          <w:tcPr>
            <w:tcW w:w="1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1,894,217</w:t>
            </w:r>
          </w:p>
        </w:tc>
        <w:tc>
          <w:tcPr>
            <w:tcW w:w="1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146"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2.54%</w:t>
            </w:r>
          </w:p>
        </w:tc>
      </w:tr>
    </w:tbl>
    <w:tbl>
      <w:tblPr>
        <w:tblW w:w="1457" w:type="dxa"/>
        <w:jc w:val="left"/>
        <w:tblInd w:w="0" w:type="dxa"/>
        <w:tblLayout w:type="fixed"/>
        <w:tblCellMar>
          <w:top w:w="0" w:type="dxa"/>
          <w:left w:w="0" w:type="dxa"/>
          <w:bottom w:w="0" w:type="dxa"/>
          <w:right w:w="0" w:type="dxa"/>
        </w:tblCellMar>
      </w:tblPr>
      <w:tblGrid>
        <w:gridCol w:w="226"/>
        <w:gridCol w:w="1231"/>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the column “Number of Shares of Common Stock Beneficially Owned” reflect the application of various limitations on the issuance of the shares of Common Stock issuable upon conversion of the Series H Preferred Stock in the Certificate of Designations of the Series H Preferred Stock, including beneficial ownership limitations and limitations under the rules or regulations of Nasdaq. The information in the table above and in the following footnotes reflects information available to us as of April 25, 2026.</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A total of 7,926,766 shares of our Common Stock are considered to be outstanding pursuant to SEC Rule 13d-3(d)(1) as of the April 25, 2026, and 31,333 shares of Series H Preferred Stock are outstanding as of the April 25, 2026, which such outstanding shares of Series H Preferred Stock as of the April 25, 2026, are entitled to an aggregate of approximately 66,666,669 votes, voting on an as-converted basis, pursuant to the terms of the Certificate of Designations.</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solely on information contained in a Schedule 13G filed on August 9, 2024 by XWEL INV I, LLC. XWEL INV I, LLC’s address is 400 Park Avenue, 4th Floor, New York, New York 10022.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201,130 shares of Common Stock and/or vested shares of restricted stock and options to purchase up to 115,000 shares of Common Stock, which are exercisable within 60 days of April 25, 2026.</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339,882 shares of Common Stock and/or vested shares of restricted stock and options to purchase up to 184,301 shares of Common Stock, which are exercisable within 60 days of April 25, 2026.</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190,698 shares of Common Stock and/or vested shares of restricted stock and options to purchase 95,444 shares of Common Stock, which are exercisable within 60 days of April 25, 2026.</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215,231 shares of Common Stock and/or vested shares of restricted stock and options to purchase up to 163,711 shares of Common Stock, which are exercisable within 60 days of April 25, 2026.</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211,122 shares of Common Stock and/or vested shares of restricted stock and options to purchase up to 117,812 shares of Common Stock, which are exercisable within 60 days of April 25,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options to purchase up to 37,000 shares of Common Stock, which are exercisable within 60 days of April 25, 2026.</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4,136 shares of Common Stock and options to purchase 18,750 shares of Common Stock, which are exercisable within 60 days of April 25, 2026.</w:t>
            </w:r>
          </w:p>
        </w:tc>
      </w:tr>
    </w:tbl>
    <w:tbl>
      <w:tblPr>
        <w:tblW w:w="2972" w:type="dxa"/>
        <w:jc w:val="left"/>
        <w:tblInd w:w="0" w:type="dxa"/>
        <w:tblLayout w:type="fixed"/>
        <w:tblCellMar>
          <w:top w:w="0" w:type="dxa"/>
          <w:left w:w="0" w:type="dxa"/>
          <w:bottom w:w="0" w:type="dxa"/>
          <w:right w:w="0" w:type="dxa"/>
        </w:tblCellMar>
      </w:tblPr>
      <w:tblGrid>
        <w:gridCol w:w="451"/>
        <w:gridCol w:w="2521"/>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2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footnotes (3) through (9).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70" w:name="ITEM13CERTAINRELATIONSHIPSANDRELATEDTRAN"/>
      <w:bookmarkStart w:id="71" w:name="_f88a0375_74f4_4b31_b407_18c551641bb3"/>
      <w:bookmarkStart w:id="72" w:name="_Toc163832297"/>
      <w:bookmarkStart w:id="73" w:name="_ITEM_13._CERTAIN"/>
      <w:bookmarkEnd w:id="70"/>
      <w:bookmarkEnd w:id="71"/>
      <w:bookmarkEnd w:id="72"/>
      <w:bookmarkEnd w:id="7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Person Transactions Approval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Transactions with Related Persons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 Independence and Committee Qualifications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4" w:name="ITEM14PRINCIPALACCOUNTANTFEESANDSERVICES"/>
      <w:bookmarkStart w:id="75" w:name="_8dd04c35_319e_44ad_b585_c4fbf104cba5"/>
      <w:bookmarkStart w:id="76" w:name="_Toc163832298"/>
      <w:bookmarkStart w:id="77" w:name="_ITEM_14._PRINCIPAL"/>
      <w:bookmarkEnd w:id="74"/>
      <w:bookmarkEnd w:id="75"/>
      <w:bookmarkEnd w:id="76"/>
      <w:bookmarkEnd w:id="77"/>
      <w:r>
        <w:rPr>
          <w:rFonts w:ascii="Times New Roman;Times;serif" w:hAnsi="Times New Roman;Times;serif"/>
          <w:b/>
          <w:sz w:val="20"/>
        </w:rPr>
        <w:t>ITEM 14. PRINCIPAL ACCOUNTANT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CBIZ CPAs P.C. (“CBIZ CPAs”) acquired the attest business of Marcum, effective November 1, 2024. Marcum continued to serve as the Company’s independent registered public accounting firm through April 21, 2025. On April 21, 2025, the Company dismissed Marcum as the Company’s independent registered accounting firm and, with the approval of the Audit Committee of the Company’s Board of Directors, engaged CBIZ CPAs as the Company’s independent registered public accounting firm for the fiscal year ending December 31, 2025. The Audit Committee reviewed auditor independence issues and existing commercial relationships with CBIZ CPAs. The Audit Committee concluded that independence of CBIZ CPAs was not impaired for the fiscal years ended December 31, 2025, and 2024. For the fiscal years ended December 31, 2025, and 2024, we incurred the following fees for the services of CBIZ CPAs:</w:t>
      </w:r>
    </w:p>
    <w:tbl>
      <w:tblPr>
        <w:tblW w:w="4082" w:type="dxa"/>
        <w:jc w:val="left"/>
        <w:tblInd w:w="0" w:type="dxa"/>
        <w:tblLayout w:type="fixed"/>
        <w:tblCellMar>
          <w:top w:w="0" w:type="dxa"/>
          <w:left w:w="0" w:type="dxa"/>
          <w:bottom w:w="0" w:type="dxa"/>
          <w:right w:w="0" w:type="dxa"/>
        </w:tblCellMar>
      </w:tblPr>
      <w:tblGrid>
        <w:gridCol w:w="1726"/>
        <w:gridCol w:w="346"/>
        <w:gridCol w:w="211"/>
        <w:gridCol w:w="781"/>
        <w:gridCol w:w="346"/>
        <w:gridCol w:w="211"/>
        <w:gridCol w:w="46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096010" cy="175260"/>
                      <wp:effectExtent l="0" t="0" r="0" b="0"/>
                      <wp:wrapNone/>
                      <wp:docPr id="66" name="Frame66"/>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69"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2735" cy="175260"/>
                      <wp:effectExtent l="0" t="0" r="0" b="0"/>
                      <wp:wrapNone/>
                      <wp:docPr id="72" name="Frame7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CBIZ CPAs: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r>
      <w:tr>
        <w:trPr/>
        <w:tc>
          <w:tcPr>
            <w:tcW w:w="1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866,624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bl>
    <w:tbl>
      <w:tblPr>
        <w:tblW w:w="7232" w:type="dxa"/>
        <w:jc w:val="left"/>
        <w:tblInd w:w="0" w:type="dxa"/>
        <w:tblLayout w:type="fixed"/>
        <w:tblCellMar>
          <w:top w:w="0" w:type="dxa"/>
          <w:left w:w="0" w:type="dxa"/>
          <w:bottom w:w="0" w:type="dxa"/>
          <w:right w:w="0" w:type="dxa"/>
        </w:tblCellMar>
      </w:tblPr>
      <w:tblGrid>
        <w:gridCol w:w="346"/>
        <w:gridCol w:w="68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includes fees for benefit plan audits and lease compliance audits.</w:t>
            </w:r>
          </w:p>
        </w:tc>
      </w:tr>
    </w:tbl>
    <w:tbl>
      <w:tblPr>
        <w:tblW w:w="8192" w:type="dxa"/>
        <w:jc w:val="left"/>
        <w:tblInd w:w="0" w:type="dxa"/>
        <w:tblLayout w:type="fixed"/>
        <w:tblCellMar>
          <w:top w:w="0" w:type="dxa"/>
          <w:left w:w="0" w:type="dxa"/>
          <w:bottom w:w="0" w:type="dxa"/>
          <w:right w:w="0" w:type="dxa"/>
        </w:tblCellMar>
      </w:tblPr>
      <w:tblGrid>
        <w:gridCol w:w="346"/>
        <w:gridCol w:w="78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for tax services, including tax compliance, tax advice and tax planning.</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in this category pertain to fees billed for products and services provided by CBIZ CPAs, other than the services reported in the categories above.</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Pre-Approval Policies and Procedures Audit and Non-Audit Services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2025 and 2024.</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8" w:name="PARTIV_547038"/>
      <w:bookmarkStart w:id="79" w:name="_157749ac_c941_45a7_887e_13ca555d776a"/>
      <w:bookmarkStart w:id="80" w:name="_Toc163832299"/>
      <w:bookmarkEnd w:id="78"/>
      <w:bookmarkEnd w:id="79"/>
      <w:bookmarkEnd w:id="80"/>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81" w:name="ITEM15EXHIBITSANDFINANCIALSTATEMENTSCHED"/>
      <w:bookmarkStart w:id="82" w:name="_Toc163832300"/>
      <w:bookmarkStart w:id="83" w:name="_ITEM_15._EXHIBITS"/>
      <w:bookmarkEnd w:id="81"/>
      <w:bookmarkEnd w:id="82"/>
      <w:bookmarkEnd w:id="83"/>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 financial statements are filed with this 10-K/A. These items were included as part of the Original Filing.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(a)(2)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(a)(3)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exhibits required to be filed by Item 15 are set forth in, and filed with or incorporated by reference in, the exhibit list of the original Form 10-K. The following list of exhibits sets forth the additional exhibits required to be filed with this Form 10-K/A and is incorporated herein by reference in response to this Item 15.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Exhibits Index</w:t>
      </w:r>
    </w:p>
    <w:tbl>
      <w:tblPr>
        <w:tblW w:w="10205" w:type="dxa"/>
        <w:jc w:val="left"/>
        <w:tblInd w:w="0" w:type="dxa"/>
        <w:tblLayout w:type="fixed"/>
        <w:tblCellMar>
          <w:top w:w="0" w:type="dxa"/>
          <w:left w:w="0" w:type="dxa"/>
          <w:bottom w:w="0" w:type="dxa"/>
          <w:right w:w="0" w:type="dxa"/>
        </w:tblCellMar>
      </w:tblPr>
      <w:tblGrid>
        <w:gridCol w:w="691"/>
        <w:gridCol w:w="346"/>
        <w:gridCol w:w="9168"/>
      </w:tblGrid>
      <w:tr>
        <w:trPr/>
        <w:tc>
          <w:tcPr>
            <w:tcW w:w="691" w:type="dxa"/>
            <w:tcBorders/>
            <w:vAlign w:val="center"/>
          </w:tcPr>
          <w:p>
            <w:pPr>
              <w:pStyle w:val="TableHeading"/>
              <w:bidi w:val="0"/>
              <w:spacing w:before="0" w:after="0"/>
              <w:ind w:left="0" w:right="0" w:hanging="0"/>
              <w:jc w:val="left"/>
              <w:rPr>
                <w:rFonts w:ascii="Times New Roman;Times;serif" w:hAnsi="Times New Roman;Times;serif"/>
                <w:b/>
                <w:sz w:val="2"/>
              </w:rPr>
            </w:pPr>
            <w:r>
              <w:rPr>
                <w:rFonts w:ascii="Times New Roman;Times;serif" w:hAnsi="Times New Roman;Times;serif"/>
                <w:b/>
                <w:sz w:val="2"/>
              </w:rPr>
              <w:t>2.4</w: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916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10840" cy="29210"/>
                      <wp:effectExtent l="0" t="0" r="0" b="0"/>
                      <wp:wrapNone/>
                      <wp:docPr id="73" name="Frame73"/>
                      <a:graphic xmlns:a="http://schemas.openxmlformats.org/drawingml/2006/main">
                        <a:graphicData uri="http://schemas.microsoft.com/office/word/2010/wordprocessingShape">
                          <wps:wsp>
                            <wps:cNvSpPr txBox="1"/>
                            <wps:spPr>
                              <a:xfrm>
                                <a:off x="0" y="0"/>
                                <a:ext cx="29108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91"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346" w:type="dxa"/>
            <w:tcBorders/>
            <w:vAlign w:val="center"/>
          </w:tcPr>
          <w:p>
            <w:pPr>
              <w:pStyle w:val="TableHeading"/>
              <w:bidi w:val="0"/>
              <w:spacing w:before="0" w:after="0"/>
              <w:ind w:left="0" w:right="0" w:hanging="0"/>
              <w:jc w:val="left"/>
              <w:rPr/>
            </w:pPr>
            <w:r>
              <w:rPr/>
              <w:t>  ​ ​ ​</w:t>
            </w:r>
          </w:p>
        </w:tc>
        <w:tc>
          <w:tcPr>
            <w:tcW w:w="9168"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 </w:t>
            </w:r>
          </w:p>
        </w:tc>
        <w:tc>
          <w:tcPr>
            <w:tcW w:w="9168" w:type="dxa"/>
            <w:tcBorders/>
            <w:vAlign w:val="center"/>
          </w:tcPr>
          <w:p>
            <w:pPr>
              <w:pStyle w:val="TableHeading"/>
              <w:bidi w:val="0"/>
              <w:spacing w:before="0" w:after="0"/>
              <w:ind w:left="0" w:right="0" w:hanging="0"/>
              <w:jc w:val="both"/>
              <w:rPr/>
            </w:pPr>
            <w:r>
              <w:rPr/>
              <w:t> </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w:t>
            </w:r>
          </w:p>
        </w:tc>
        <w:tc>
          <w:tcPr>
            <w:tcW w:w="9168" w:type="dxa"/>
            <w:tcBorders/>
            <w:vAlign w:val="center"/>
          </w:tcPr>
          <w:p>
            <w:pPr>
              <w:pStyle w:val="TableContents"/>
              <w:bidi w:val="0"/>
              <w:spacing w:before="0" w:after="0"/>
              <w:ind w:left="0" w:right="0" w:hanging="0"/>
              <w:jc w:val="both"/>
              <w:rPr/>
            </w:pPr>
            <w:hyperlink w:anchor="xwel-202512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both"/>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both"/>
              <w:rPr/>
            </w:pPr>
            <w:hyperlink w:anchor="xwel-202512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both"/>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9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documents)</w:t>
            </w:r>
          </w:p>
        </w:tc>
      </w:tr>
      <w:tr>
        <w:trPr/>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8"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4" w:name="SIGNATURES_457177"/>
      <w:bookmarkStart w:id="85" w:name="_d62b314c_5b43_44e7_8dbe_25ad333dc4c6"/>
      <w:bookmarkStart w:id="86" w:name="_Toc163832303"/>
      <w:bookmarkStart w:id="87" w:name="_ITEM_16._FORM"/>
      <w:bookmarkEnd w:id="84"/>
      <w:bookmarkEnd w:id="85"/>
      <w:bookmarkEnd w:id="86"/>
      <w:bookmarkEnd w:id="87"/>
      <w:r>
        <w:rPr>
          <w:rFonts w:ascii="Times New Roman;Times;serif" w:hAnsi="Times New Roman;Times;serif"/>
          <w:b/>
          <w:sz w:val="20"/>
        </w:rPr>
        <w:t>SIGNATURES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Annual Report on Form 10-K to be signed on its behalf by the undersigned thereunto, duly authorized on the 30</w:t>
      </w:r>
      <w:r>
        <w:rPr>
          <w:rFonts w:ascii="Times New Roman;Times;serif" w:hAnsi="Times New Roman;Times;serif"/>
          <w:sz w:val="15"/>
        </w:rPr>
        <w:t>th</w:t>
      </w:r>
      <w:r>
        <w:rPr>
          <w:rFonts w:ascii="Times New Roman;Times;serif" w:hAnsi="Times New Roman;Times;serif"/>
          <w:sz w:val="20"/>
        </w:rPr>
        <w:t xml:space="preserve"> day of April, 2026.</w:t>
      </w:r>
    </w:p>
    <w:tbl>
      <w:tblPr>
        <w:tblW w:w="3253" w:type="dxa"/>
        <w:jc w:val="left"/>
        <w:tblInd w:w="0" w:type="dxa"/>
        <w:tblLayout w:type="fixed"/>
        <w:tblCellMar>
          <w:top w:w="0" w:type="dxa"/>
          <w:left w:w="0" w:type="dxa"/>
          <w:bottom w:w="0" w:type="dxa"/>
          <w:right w:w="0" w:type="dxa"/>
        </w:tblCellMar>
      </w:tblPr>
      <w:tblGrid>
        <w:gridCol w:w="161"/>
        <w:gridCol w:w="496"/>
        <w:gridCol w:w="2596"/>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2596"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0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161" w:type="dxa"/>
            <w:tcBorders/>
            <w:vAlign w:val="center"/>
          </w:tcPr>
          <w:p>
            <w:pPr>
              <w:pStyle w:val="TableContents"/>
              <w:bidi w:val="0"/>
              <w:spacing w:before="0" w:after="0"/>
              <w:ind w:left="0" w:right="0" w:hanging="0"/>
              <w:jc w:val="left"/>
              <w:rPr/>
            </w:pPr>
            <w:r>
              <w:rPr/>
              <w:t> </w:t>
            </w:r>
          </w:p>
        </w:tc>
        <w:tc>
          <w:tcPr>
            <w:tcW w:w="3092"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5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Ezra T. Ernst</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Ezra T. Ernst</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93" w:type="dxa"/>
        <w:jc w:val="left"/>
        <w:tblInd w:w="0" w:type="dxa"/>
        <w:tblLayout w:type="fixed"/>
        <w:tblCellMar>
          <w:top w:w="0" w:type="dxa"/>
          <w:left w:w="0" w:type="dxa"/>
          <w:bottom w:w="0" w:type="dxa"/>
          <w:right w:w="0" w:type="dxa"/>
        </w:tblCellMar>
      </w:tblPr>
      <w:tblGrid>
        <w:gridCol w:w="166"/>
        <w:gridCol w:w="496"/>
        <w:gridCol w:w="3931"/>
      </w:tblGrid>
      <w:tr>
        <w:trPr/>
        <w:tc>
          <w:tcPr>
            <w:tcW w:w="16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N Bro</w:t>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 w:type="dxa"/>
            <w:tcBorders/>
            <w:vAlign w:val="center"/>
          </w:tcPr>
          <w:p>
            <w:pPr>
              <w:pStyle w:val="TableContents"/>
              <w:bidi w:val="0"/>
              <w:spacing w:before="0" w:after="0"/>
              <w:ind w:left="0" w:right="0" w:hanging="0"/>
              <w:jc w:val="left"/>
              <w:rPr/>
            </w:pPr>
            <w:r>
              <w:rPr/>
              <w:t> </w:t>
            </w:r>
          </w:p>
        </w:tc>
        <w:tc>
          <w:tcPr>
            <w:tcW w:w="442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166" w:type="dxa"/>
            <w:tcBorders/>
            <w:vAlign w:val="center"/>
          </w:tcPr>
          <w:p>
            <w:pPr>
              <w:pStyle w:val="TableContents"/>
              <w:bidi w:val="0"/>
              <w:spacing w:before="0" w:after="0"/>
              <w:ind w:left="0" w:right="0" w:hanging="0"/>
              <w:jc w:val="left"/>
              <w:rPr/>
            </w:pPr>
            <w:r>
              <w:rPr/>
              <w:t> </w:t>
            </w:r>
          </w:p>
        </w:tc>
        <w:tc>
          <w:tcPr>
            <w:tcW w:w="4427" w:type="dxa"/>
            <w:gridSpan w:val="2"/>
            <w:tcBorders/>
            <w:vAlign w:val="center"/>
          </w:tcPr>
          <w:p>
            <w:pPr>
              <w:pStyle w:val="TableContents"/>
              <w:bidi w:val="0"/>
              <w:spacing w:before="0" w:after="0"/>
              <w:ind w:left="0" w:right="0" w:hanging="0"/>
              <w:jc w:val="left"/>
              <w:rPr/>
            </w:pPr>
            <w:r>
              <w:rPr/>
              <w:t> </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9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Brown</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Ian Brown</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right"/>
        <w:rPr>
          <w:rFonts w:ascii="Times New Roman;Times;serif" w:hAnsi="Times New Roman;Times;serif"/>
          <w:b/>
          <w:sz w:val="20"/>
        </w:rPr>
      </w:pPr>
      <w:bookmarkStart w:id="88" w:name="xwel-20251231xex31d1.htm"/>
      <w:bookmarkStart w:id="89" w:name="ksxwel20251231xex31d1"/>
      <w:bookmarkEnd w:id="88"/>
      <w:bookmarkEnd w:id="89"/>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0"/>
        <w:ind w:left="0" w:right="0" w:hanging="0"/>
        <w:jc w:val="left"/>
        <w:rPr/>
      </w:pPr>
      <w:r>
        <w:rPr/>
        <w:t>​</w:t>
      </w:r>
    </w:p>
    <w:tbl>
      <w:tblPr>
        <w:tblW w:w="7653" w:type="dxa"/>
        <w:jc w:val="left"/>
        <w:tblInd w:w="0" w:type="dxa"/>
        <w:tblLayout w:type="fixed"/>
        <w:tblCellMar>
          <w:top w:w="0" w:type="dxa"/>
          <w:left w:w="0" w:type="dxa"/>
          <w:bottom w:w="0" w:type="dxa"/>
          <w:right w:w="0" w:type="dxa"/>
        </w:tblCellMar>
      </w:tblPr>
      <w:tblGrid>
        <w:gridCol w:w="23"/>
        <w:gridCol w:w="17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on Form 10-K of XWELL,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EZRA T. ERNST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0" w:name="xwel-20251231xex31d2.htm"/>
      <w:bookmarkStart w:id="91" w:name="ksxwel20251231xex31d2"/>
      <w:bookmarkEnd w:id="90"/>
      <w:bookmarkEnd w:id="91"/>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Ian Brown, certify that:</w:t>
      </w:r>
    </w:p>
    <w:p>
      <w:pPr>
        <w:pStyle w:val="TextBody"/>
        <w:bidi w:val="0"/>
        <w:spacing w:before="0" w:after="0"/>
        <w:ind w:left="0" w:right="0" w:hanging="0"/>
        <w:jc w:val="left"/>
        <w:rPr/>
      </w:pPr>
      <w:r>
        <w:rPr/>
        <w:t>​</w:t>
      </w:r>
    </w:p>
    <w:tbl>
      <w:tblPr>
        <w:tblW w:w="7653" w:type="dxa"/>
        <w:jc w:val="left"/>
        <w:tblInd w:w="0" w:type="dxa"/>
        <w:tblLayout w:type="fixed"/>
        <w:tblCellMar>
          <w:top w:w="0" w:type="dxa"/>
          <w:left w:w="0" w:type="dxa"/>
          <w:bottom w:w="0" w:type="dxa"/>
          <w:right w:w="0" w:type="dxa"/>
        </w:tblCellMar>
      </w:tblPr>
      <w:tblGrid>
        <w:gridCol w:w="23"/>
        <w:gridCol w:w="17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on Form 10-K of XWELL,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THOMAS IAN BROWN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9435</Words>
  <Characters>51024</Characters>
  <CharactersWithSpaces>60860</CharactersWithSpaces>
  <Paragraphs>1480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