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40"/>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ind w:right="640"/>
        <w:spacing w:after="0"/>
        <w:rPr>
          <w:sz w:val="20"/>
          <w:szCs w:val="20"/>
          <w:color w:val="auto"/>
        </w:rPr>
      </w:pPr>
      <w:r>
        <w:rPr>
          <w:rFonts w:ascii="Arial" w:cs="Arial" w:eastAsia="Arial" w:hAnsi="Arial"/>
          <w:sz w:val="18"/>
          <w:szCs w:val="18"/>
          <w:b w:val="1"/>
          <w:bCs w:val="1"/>
          <w:color w:val="auto"/>
        </w:rPr>
        <w:t>Issuer Free Writing Prospectus dated August 8, 2012</w:t>
      </w:r>
    </w:p>
    <w:p>
      <w:pPr>
        <w:spacing w:after="0" w:line="9" w:lineRule="exact"/>
        <w:rPr>
          <w:sz w:val="24"/>
          <w:szCs w:val="24"/>
          <w:color w:val="auto"/>
        </w:rPr>
      </w:pPr>
    </w:p>
    <w:p>
      <w:pPr>
        <w:jc w:val="right"/>
        <w:ind w:right="640"/>
        <w:spacing w:after="0"/>
        <w:rPr>
          <w:sz w:val="20"/>
          <w:szCs w:val="20"/>
          <w:color w:val="auto"/>
        </w:rPr>
      </w:pPr>
      <w:r>
        <w:rPr>
          <w:rFonts w:ascii="Arial" w:cs="Arial" w:eastAsia="Arial" w:hAnsi="Arial"/>
          <w:sz w:val="18"/>
          <w:szCs w:val="18"/>
          <w:b w:val="1"/>
          <w:bCs w:val="1"/>
          <w:color w:val="auto"/>
        </w:rPr>
        <w:t>Relating to Prospectus dated August 2, 2012</w:t>
      </w:r>
    </w:p>
    <w:p>
      <w:pPr>
        <w:spacing w:after="0" w:line="9" w:lineRule="exact"/>
        <w:rPr>
          <w:sz w:val="24"/>
          <w:szCs w:val="24"/>
          <w:color w:val="auto"/>
        </w:rPr>
      </w:pPr>
    </w:p>
    <w:p>
      <w:pPr>
        <w:jc w:val="right"/>
        <w:ind w:right="640"/>
        <w:spacing w:after="0"/>
        <w:rPr>
          <w:sz w:val="20"/>
          <w:szCs w:val="20"/>
          <w:color w:val="auto"/>
        </w:rPr>
      </w:pPr>
      <w:r>
        <w:rPr>
          <w:rFonts w:ascii="Arial" w:cs="Arial" w:eastAsia="Arial" w:hAnsi="Arial"/>
          <w:sz w:val="18"/>
          <w:szCs w:val="18"/>
          <w:b w:val="1"/>
          <w:bCs w:val="1"/>
          <w:color w:val="auto"/>
        </w:rPr>
        <w:t>Registration Statement No. 333-182823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2646680</wp:posOffset>
            </wp:positionH>
            <wp:positionV relativeFrom="paragraph">
              <wp:posOffset>5715</wp:posOffset>
            </wp:positionV>
            <wp:extent cx="155194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94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right="720" w:firstLine="441"/>
        <w:spacing w:after="0" w:line="276" w:lineRule="auto"/>
        <w:rPr>
          <w:sz w:val="20"/>
          <w:szCs w:val="20"/>
          <w:color w:val="auto"/>
        </w:rPr>
      </w:pPr>
      <w:r>
        <w:rPr>
          <w:rFonts w:ascii="Arial" w:cs="Arial" w:eastAsia="Arial" w:hAnsi="Arial"/>
          <w:sz w:val="17"/>
          <w:szCs w:val="17"/>
          <w:color w:val="auto"/>
        </w:rPr>
        <w:t>This issuer free writing prospectus relates only to the securities described below and should be read together with the prospectus dated August 8, 2012 (the “Prospectus”) included in the Registration Statement on Form S-3 (File No. 333-182823) relating to these securities. The Registration Statement and the Prospectus included therein can be accessed through the following link:http://www.sec.gov/Archives/edgar/data/1410428/000114420412042850/v320304_424b2.htm. The following information supplements and updates the information contained in the Prospectus with respect to the offering of these securities and certain other matters.</w:t>
      </w: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6980" w:type="dxa"/>
            <w:vAlign w:val="bottom"/>
          </w:tcPr>
          <w:p>
            <w:pPr>
              <w:ind w:left="1520"/>
              <w:spacing w:after="0"/>
              <w:rPr>
                <w:sz w:val="20"/>
                <w:szCs w:val="20"/>
                <w:color w:val="auto"/>
              </w:rPr>
            </w:pPr>
            <w:r>
              <w:rPr>
                <w:rFonts w:ascii="Arial" w:cs="Arial" w:eastAsia="Arial" w:hAnsi="Arial"/>
                <w:sz w:val="18"/>
                <w:szCs w:val="18"/>
                <w:color w:val="auto"/>
              </w:rPr>
              <w:t>Vringo, Inc. (NYSE MKT: VRNG)</w:t>
            </w:r>
          </w:p>
        </w:tc>
      </w:tr>
      <w:tr>
        <w:trPr>
          <w:trHeight w:val="432"/>
        </w:trPr>
        <w:tc>
          <w:tcPr>
            <w:tcW w:w="4440" w:type="dxa"/>
            <w:vAlign w:val="bottom"/>
          </w:tcPr>
          <w:p>
            <w:pPr>
              <w:spacing w:after="0"/>
              <w:rPr>
                <w:sz w:val="20"/>
                <w:szCs w:val="20"/>
                <w:color w:val="auto"/>
              </w:rPr>
            </w:pPr>
            <w:r>
              <w:rPr>
                <w:rFonts w:ascii="Arial" w:cs="Arial" w:eastAsia="Arial" w:hAnsi="Arial"/>
                <w:sz w:val="18"/>
                <w:szCs w:val="18"/>
                <w:b w:val="1"/>
                <w:bCs w:val="1"/>
                <w:color w:val="auto"/>
              </w:rPr>
              <w:t>Shares Offered:</w:t>
            </w:r>
          </w:p>
        </w:tc>
        <w:tc>
          <w:tcPr>
            <w:tcW w:w="6980" w:type="dxa"/>
            <w:vAlign w:val="bottom"/>
          </w:tcPr>
          <w:p>
            <w:pPr>
              <w:ind w:left="1520"/>
              <w:spacing w:after="0"/>
              <w:rPr>
                <w:sz w:val="20"/>
                <w:szCs w:val="20"/>
                <w:color w:val="auto"/>
              </w:rPr>
            </w:pPr>
            <w:r>
              <w:rPr>
                <w:rFonts w:ascii="Arial" w:cs="Arial" w:eastAsia="Arial" w:hAnsi="Arial"/>
                <w:sz w:val="18"/>
                <w:szCs w:val="18"/>
                <w:color w:val="auto"/>
              </w:rPr>
              <w:t>Shares of common stock, par value $0.01 per share.</w:t>
            </w:r>
          </w:p>
        </w:tc>
      </w:tr>
      <w:tr>
        <w:trPr>
          <w:trHeight w:val="432"/>
        </w:trPr>
        <w:tc>
          <w:tcPr>
            <w:tcW w:w="4440" w:type="dxa"/>
            <w:vAlign w:val="bottom"/>
          </w:tcPr>
          <w:p>
            <w:pPr>
              <w:spacing w:after="0"/>
              <w:rPr>
                <w:sz w:val="20"/>
                <w:szCs w:val="20"/>
                <w:color w:val="auto"/>
              </w:rPr>
            </w:pPr>
            <w:r>
              <w:rPr>
                <w:rFonts w:ascii="Arial" w:cs="Arial" w:eastAsia="Arial" w:hAnsi="Arial"/>
                <w:sz w:val="18"/>
                <w:szCs w:val="18"/>
                <w:b w:val="1"/>
                <w:bCs w:val="1"/>
                <w:color w:val="auto"/>
              </w:rPr>
              <w:t>Maximum Number of Shares Offered:</w:t>
            </w:r>
          </w:p>
        </w:tc>
        <w:tc>
          <w:tcPr>
            <w:tcW w:w="6980" w:type="dxa"/>
            <w:vAlign w:val="bottom"/>
          </w:tcPr>
          <w:p>
            <w:pPr>
              <w:ind w:left="1520"/>
              <w:spacing w:after="0"/>
              <w:rPr>
                <w:sz w:val="20"/>
                <w:szCs w:val="20"/>
                <w:color w:val="auto"/>
              </w:rPr>
            </w:pPr>
            <w:r>
              <w:rPr>
                <w:rFonts w:ascii="Arial" w:cs="Arial" w:eastAsia="Arial" w:hAnsi="Arial"/>
                <w:sz w:val="18"/>
                <w:szCs w:val="18"/>
                <w:color w:val="auto"/>
              </w:rPr>
              <w:t>9,600,000</w:t>
            </w:r>
          </w:p>
        </w:tc>
      </w:tr>
      <w:tr>
        <w:trPr>
          <w:trHeight w:val="675"/>
        </w:trPr>
        <w:tc>
          <w:tcPr>
            <w:tcW w:w="4440" w:type="dxa"/>
            <w:vAlign w:val="bottom"/>
          </w:tcPr>
          <w:p>
            <w:pPr>
              <w:spacing w:after="0"/>
              <w:rPr>
                <w:sz w:val="20"/>
                <w:szCs w:val="20"/>
                <w:color w:val="auto"/>
              </w:rPr>
            </w:pPr>
            <w:r>
              <w:rPr>
                <w:rFonts w:ascii="Arial" w:cs="Arial" w:eastAsia="Arial" w:hAnsi="Arial"/>
                <w:sz w:val="18"/>
                <w:szCs w:val="18"/>
                <w:b w:val="1"/>
                <w:bCs w:val="1"/>
                <w:color w:val="auto"/>
              </w:rPr>
              <w:t>Price per Share:</w:t>
            </w:r>
          </w:p>
        </w:tc>
        <w:tc>
          <w:tcPr>
            <w:tcW w:w="6980" w:type="dxa"/>
            <w:vAlign w:val="bottom"/>
          </w:tcPr>
          <w:p>
            <w:pPr>
              <w:ind w:left="1520"/>
              <w:spacing w:after="0"/>
              <w:rPr>
                <w:sz w:val="20"/>
                <w:szCs w:val="20"/>
                <w:color w:val="auto"/>
              </w:rPr>
            </w:pPr>
            <w:r>
              <w:rPr>
                <w:rFonts w:ascii="Arial" w:cs="Arial" w:eastAsia="Arial" w:hAnsi="Arial"/>
                <w:sz w:val="18"/>
                <w:szCs w:val="18"/>
                <w:color w:val="auto"/>
              </w:rPr>
              <w:t>$3.25</w:t>
            </w:r>
          </w:p>
        </w:tc>
      </w:tr>
      <w:tr>
        <w:trPr>
          <w:trHeight w:val="418"/>
        </w:trPr>
        <w:tc>
          <w:tcPr>
            <w:tcW w:w="4440" w:type="dxa"/>
            <w:vAlign w:val="bottom"/>
          </w:tcPr>
          <w:p>
            <w:pPr>
              <w:spacing w:after="0"/>
              <w:rPr>
                <w:sz w:val="20"/>
                <w:szCs w:val="20"/>
                <w:color w:val="auto"/>
              </w:rPr>
            </w:pPr>
            <w:r>
              <w:rPr>
                <w:rFonts w:ascii="Arial" w:cs="Arial" w:eastAsia="Arial" w:hAnsi="Arial"/>
                <w:sz w:val="18"/>
                <w:szCs w:val="18"/>
                <w:b w:val="1"/>
                <w:bCs w:val="1"/>
                <w:color w:val="auto"/>
              </w:rPr>
              <w:t>Estimated Net Proceeds:</w:t>
            </w:r>
          </w:p>
        </w:tc>
        <w:tc>
          <w:tcPr>
            <w:tcW w:w="6980" w:type="dxa"/>
            <w:vAlign w:val="bottom"/>
          </w:tcPr>
          <w:p>
            <w:pPr>
              <w:ind w:left="1520"/>
              <w:spacing w:after="0"/>
              <w:rPr>
                <w:sz w:val="20"/>
                <w:szCs w:val="20"/>
                <w:color w:val="auto"/>
              </w:rPr>
            </w:pPr>
            <w:r>
              <w:rPr>
                <w:rFonts w:ascii="Arial" w:cs="Arial" w:eastAsia="Arial" w:hAnsi="Arial"/>
                <w:sz w:val="18"/>
                <w:szCs w:val="18"/>
                <w:color w:val="auto"/>
              </w:rPr>
              <w:t>$30.5 million assuming we sell the maximum number of the</w:t>
            </w:r>
          </w:p>
        </w:tc>
      </w:tr>
      <w:tr>
        <w:trPr>
          <w:trHeight w:val="230"/>
        </w:trPr>
        <w:tc>
          <w:tcPr>
            <w:tcW w:w="4440" w:type="dxa"/>
            <w:vAlign w:val="bottom"/>
          </w:tcPr>
          <w:p>
            <w:pPr>
              <w:spacing w:after="0"/>
              <w:rPr>
                <w:sz w:val="20"/>
                <w:szCs w:val="20"/>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shares of common stock offered</w:t>
            </w:r>
          </w:p>
        </w:tc>
      </w:tr>
      <w:tr>
        <w:trPr>
          <w:trHeight w:val="418"/>
        </w:trPr>
        <w:tc>
          <w:tcPr>
            <w:tcW w:w="444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6980" w:type="dxa"/>
            <w:vAlign w:val="bottom"/>
          </w:tcPr>
          <w:p>
            <w:pPr>
              <w:ind w:left="1520"/>
              <w:spacing w:after="0"/>
              <w:rPr>
                <w:sz w:val="20"/>
                <w:szCs w:val="20"/>
                <w:color w:val="auto"/>
              </w:rPr>
            </w:pPr>
            <w:r>
              <w:rPr>
                <w:rFonts w:ascii="Arial" w:cs="Arial" w:eastAsia="Arial" w:hAnsi="Arial"/>
                <w:sz w:val="18"/>
                <w:szCs w:val="18"/>
                <w:color w:val="auto"/>
              </w:rPr>
              <w:t>Of the approximately $30.5 estimated net proceeds from this</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offering, we intend to use $22 million as payment in connection</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with our acquisition of patent assets pursuant to a patent purchase</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agreement, $3.2 million as repayment in full of our outstanding</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debt to Hudson Bay Master Fund Ltd. (“Hudson Bay”) and the</w:t>
            </w:r>
          </w:p>
        </w:tc>
      </w:tr>
      <w:tr>
        <w:trPr>
          <w:trHeight w:val="230"/>
        </w:trPr>
        <w:tc>
          <w:tcPr>
            <w:tcW w:w="4440" w:type="dxa"/>
            <w:vAlign w:val="bottom"/>
          </w:tcPr>
          <w:p>
            <w:pPr>
              <w:spacing w:after="0"/>
              <w:rPr>
                <w:sz w:val="20"/>
                <w:szCs w:val="20"/>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remainder for general corporate purposes.</w:t>
            </w:r>
          </w:p>
        </w:tc>
      </w:tr>
      <w:tr>
        <w:trPr>
          <w:trHeight w:val="418"/>
        </w:trPr>
        <w:tc>
          <w:tcPr>
            <w:tcW w:w="4440" w:type="dxa"/>
            <w:vAlign w:val="bottom"/>
          </w:tcPr>
          <w:p>
            <w:pPr>
              <w:spacing w:after="0"/>
              <w:rPr>
                <w:sz w:val="20"/>
                <w:szCs w:val="20"/>
                <w:color w:val="auto"/>
              </w:rPr>
            </w:pPr>
            <w:r>
              <w:rPr>
                <w:rFonts w:ascii="Arial" w:cs="Arial" w:eastAsia="Arial" w:hAnsi="Arial"/>
                <w:sz w:val="18"/>
                <w:szCs w:val="18"/>
                <w:b w:val="1"/>
                <w:bCs w:val="1"/>
                <w:color w:val="auto"/>
              </w:rPr>
              <w:t>Dilution:</w:t>
            </w:r>
          </w:p>
        </w:tc>
        <w:tc>
          <w:tcPr>
            <w:tcW w:w="6980" w:type="dxa"/>
            <w:vAlign w:val="bottom"/>
          </w:tcPr>
          <w:p>
            <w:pPr>
              <w:ind w:left="1520"/>
              <w:spacing w:after="0"/>
              <w:rPr>
                <w:sz w:val="20"/>
                <w:szCs w:val="20"/>
                <w:color w:val="auto"/>
              </w:rPr>
            </w:pPr>
            <w:r>
              <w:rPr>
                <w:rFonts w:ascii="Arial" w:cs="Arial" w:eastAsia="Arial" w:hAnsi="Arial"/>
                <w:sz w:val="18"/>
                <w:szCs w:val="18"/>
                <w:color w:val="auto"/>
              </w:rPr>
              <w:t>You will suffer substantial dilution in the net tangible book value</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of the common stock you purchase in this offering because the</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price per share of our common stock being offered hereby is</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substantially higher than the book value per share of our common</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stock. On a pro forma basis, after giving effect to the</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consummation of the merger with Innovate/Protect and subsequent</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conversions of preferred shares and warrants, our net tangible</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book value as of March 31, 2012 would have been approximately</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$(0.50) per share of common stock. Based on an offering price of</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$3.25 per share in this offering, if you purchase shares of common</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stock in this offering, you will suffer immediate and substantial</w:t>
            </w:r>
          </w:p>
        </w:tc>
      </w:tr>
      <w:tr>
        <w:trPr>
          <w:trHeight w:val="216"/>
        </w:trPr>
        <w:tc>
          <w:tcPr>
            <w:tcW w:w="4440" w:type="dxa"/>
            <w:vAlign w:val="bottom"/>
          </w:tcPr>
          <w:p>
            <w:pPr>
              <w:spacing w:after="0"/>
              <w:rPr>
                <w:sz w:val="18"/>
                <w:szCs w:val="18"/>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dilution of $3.14 per share in the net tangible book value of the</w:t>
            </w:r>
          </w:p>
        </w:tc>
      </w:tr>
      <w:tr>
        <w:trPr>
          <w:trHeight w:val="230"/>
        </w:trPr>
        <w:tc>
          <w:tcPr>
            <w:tcW w:w="4440" w:type="dxa"/>
            <w:vAlign w:val="bottom"/>
          </w:tcPr>
          <w:p>
            <w:pPr>
              <w:spacing w:after="0"/>
              <w:rPr>
                <w:sz w:val="20"/>
                <w:szCs w:val="20"/>
                <w:color w:val="auto"/>
              </w:rPr>
            </w:pPr>
          </w:p>
        </w:tc>
        <w:tc>
          <w:tcPr>
            <w:tcW w:w="6980" w:type="dxa"/>
            <w:vAlign w:val="bottom"/>
          </w:tcPr>
          <w:p>
            <w:pPr>
              <w:ind w:left="1520"/>
              <w:spacing w:after="0"/>
              <w:rPr>
                <w:sz w:val="20"/>
                <w:szCs w:val="20"/>
                <w:color w:val="auto"/>
              </w:rPr>
            </w:pPr>
            <w:r>
              <w:rPr>
                <w:rFonts w:ascii="Arial" w:cs="Arial" w:eastAsia="Arial" w:hAnsi="Arial"/>
                <w:sz w:val="18"/>
                <w:szCs w:val="18"/>
                <w:color w:val="auto"/>
              </w:rPr>
              <w:t>common stock.</w:t>
            </w:r>
          </w:p>
        </w:tc>
      </w:tr>
      <w:tr>
        <w:trPr>
          <w:trHeight w:val="1513"/>
        </w:trPr>
        <w:tc>
          <w:tcPr>
            <w:tcW w:w="444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Innovate/Protect’s Initial Litigation</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one of the means of realizing the value of the Lycos Patents, on September 15, 2011, Innovate/Protect initiated (through I/P Engine) litigation in the United States District Court, Eastern District of Virginia, against AOL, Inc. (“AOL”), Google, Inc. (“Google”), IAC Search &amp; Media, Inc. (“IAC”), Gannett Company, Inc. (“Gannett”), and Target Corporation (“Target”) for patent infringement regarding two of the Lycos Patents (U.S. Patent Nos. 6,314,420 and 6,775,664). The case number is 2:11 CV 512-RAJ/FBS, and is pending in the Norfolk Division.</w:t>
      </w:r>
    </w:p>
    <w:p>
      <w:pPr>
        <w:spacing w:after="0" w:line="17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court docket for the case, including the parties’ briefs, is publicly available on the Public Access to Court Electronic Records website (“PACER”), www.pacer.gov, which is operated by the Administrative Office of the U.S. Courts.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16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ind w:right="60" w:firstLine="648"/>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7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March 15, 2012, Google submitted a request to the USPTO for ex parte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resubmitted their request to the USPTO. This resubmission purports to address the issues identified by the USPTO. On July 18, 2012 the USPTO issued a determination ordering a reexamination. Google’s request has not resulted in any delay of the dates set out in the Court’s scheduling order dated February 15, 2012.</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was filed by Vringo with the Securities and Exchange Commission.</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July 25, 2012, the parties exchanged expert reports. By August 29, 2012, the parties will exchange expert disclosures intended to respond to, contract or rebut evidence on the same subject matter disclosed by the other party. Innovate/Protect expects that the defendants will make several attempts to avoid trial.</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July 30, 2012, I/P Engine and AOL Inc. entered into a partial settlement agreement, which resulted in I/P Engine granting a partial release of AOL as to certain claims raised in the lawsuit in exchange for $100,000. AOL remains a defendant in the proceeding.</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August 2, 2012, I/P Engine and defendants Google and IAC agreed to dismiss the patent infringement claims as to Google Search and IAC’s Ask Sponsored Listings. For the avoidance of doubt, the patent infringement claims being dismissed explicitly excluded, and I/P Engine explicitly reserved and retained all rights and remedies with respect to, any and all other claims asserted in the present litigation including, without limitation, the patent infringement claims as to Google AdWords, Google AdSense for Search, Google AdSense for Mobile Search and AOL’s Search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color w:val="auto"/>
        </w:rPr>
        <w:t>The case remains scheduled for trial on October 16,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Anticipated Purchase of Patent Portfolio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181818"/>
        </w:rPr>
        <w:t>W</w:t>
      </w:r>
      <w:r>
        <w:rPr>
          <w:rFonts w:ascii="Arial" w:cs="Arial" w:eastAsia="Arial" w:hAnsi="Arial"/>
          <w:sz w:val="18"/>
          <w:szCs w:val="18"/>
          <w:color w:val="000000"/>
        </w:rPr>
        <w:t>e anticipate entering into a patent purchase agreement with a multinational communications and information technology corporation (the “Seller”)</w:t>
      </w:r>
      <w:r>
        <w:rPr>
          <w:rFonts w:ascii="Arial" w:cs="Arial" w:eastAsia="Arial" w:hAnsi="Arial"/>
          <w:sz w:val="18"/>
          <w:szCs w:val="18"/>
          <w:color w:val="181818"/>
        </w:rPr>
        <w:t xml:space="preserve"> </w:t>
      </w:r>
      <w:r>
        <w:rPr>
          <w:rFonts w:ascii="Arial" w:cs="Arial" w:eastAsia="Arial" w:hAnsi="Arial"/>
          <w:sz w:val="18"/>
          <w:szCs w:val="18"/>
          <w:color w:val="000000"/>
        </w:rPr>
        <w:t>pursuant to which we will potentially purchase a portfolio consisting of over 500 patents and patent applications worldwide, including 109 issued United States patents. Pursuant to the patent purchase agreement, we will agree to compensate the Seller with a cash payment and certain ongoing rights in revenues generated from the patent portfolio.</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portfolio encompasses a broad range of technologies relating to cellular infrastructure, including communication management, data and signal transmission, mobility management, radio resources management and services.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Thirty-one of the 124 patent families to be acquired have been declared essential by the Seller to wireless communications standards. Standards represented in the portfolio are commonly known as 2G, 2.5G, 3G and 4G and related technologies and include GSM, WCDMA, T63, T64, DECT, IETF, LTE, SAE, and OMA.</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purchase price for the portfolio is $22.0 million, plus to the extent that the gross revenue (as defined in the purchase agreement) generated by such portfolio exceeds $22.0 million, a royalty of 35% of such excess. The $22.0 million payment shall be paid to the Seller on or before September 14, 2012. The purchase agreement provides that the Seller and its affiliates will retain a non-exclusive, worldwide and fully paid-up license (without the right to grant sublicenses) to the portfolio for the sole purpose of supplying (as defined in the purchase agreement) the Seller’s products. The purchase agreement also provides that if we bring a proceeding against the Seller or its affiliates within seven years, the Seller shall have the right to re-acquire the patent portfolio for a nominal amount.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if we either sell to a third party any assigned essential cellular patent, or more than a certain portion of the other assigned patents (other than in connection with a change of control of our company), or file an action against a telecom provider to enforce any of the assigned patents (other than in response to any specified action filed by a telecom provider against us or our affiliate) which action is not withdrawn after notice from the Seller, then we will be obligated to pay to the Seller a substantial impairment payment. Because all of the foregoing actions are within our sole control, we do not expect to be obligated to pay any such impairment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Stock Options and RSUs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On July 26, 2012, we granted to our directors, executive officers and certain of our employees options to purchase an aggregate of approximately 5,000,000 shares of common stock and an aggregate of 3,200,000 shares of common stock in the form of restricted stock units (RSUs) pursuant to our 2012 Employee, Director and Consultant Equity Incentive Plan (“2012 Plan”). Of such grants to our executive officers and directors, Andrew Perlman, our Chief Executive Officer and a director, received options to purchase 1,275,000 shares and 675,000 shares subject to RSUs; Andrew Kennedy Lang, our Chief Technology Officer, President and a director, received options to purchase 250,000 shares and 125,000 shares subject to RSUs; Alexander Berger, our Chief Operating Officer and a director, received options to purchase 1,275,000 shares and 675,000 shares subject to RSUs; and Ellen Cohl, our Chief Financial Officer, received options to purchase 200,000 shares and 100,000 shares subject to RSUs; Seth M. Siegel, our non-executive Chairman of the Board of Directors, received options to purchase 125,000 shares and 300,000 shares subject to RSUs; Donald E. Stout, a non-executive director, received options to purchase 125,000 shares and 225,000 shares subject to RSUs; H. Van Sinclair, a non-executive director, received options to purchase 125,000 shares and 225,000 shares subject to RSUs; and John Engelman, a non-executive director, received options to purchase 125,000 shares and 225,000 shares subject to RSUs. All of such options have an exercise price of $3.72 per share (the closing price of our common stock on July 26, 2012) and vest over a three year period, with 1/12 of the options vesting ratably over the three year period commencing on July 26, 2012. The RSUs granted to executive officers vest over a four year period, with 1/8 of the RSUs vesting on January 26, 2013 and 1/16 of the RSUs vesting ratably on a quarterly basis thereafter. The RSUs granted to our non-executive directors vest over a three year period, with 1/6 of the restricted stock units vesting on January 26, 2013 and 1/12 of the restricted stock units vesting ratably on a quarterly basis thereafter.</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The issuer has filed a registration statement (including a prospectus) with the Securities and Exchange Commission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7"/>
          <w:szCs w:val="17"/>
          <w:b w:val="1"/>
          <w:bCs w:val="1"/>
          <w:i w:val="1"/>
          <w:iCs w:val="1"/>
          <w:color w:val="auto"/>
        </w:rPr>
        <w:t>www.sec.gov</w:t>
      </w:r>
      <w:r>
        <w:rPr>
          <w:rFonts w:ascii="Arial" w:cs="Arial" w:eastAsia="Arial" w:hAnsi="Arial"/>
          <w:sz w:val="17"/>
          <w:szCs w:val="17"/>
          <w:b w:val="1"/>
          <w:bCs w:val="1"/>
          <w:color w:val="auto"/>
        </w:rPr>
        <w:t>. Alternatively, the issuer will arrange to send you the prospectus, without charge, if you request it by directing a request to: Vringo, Inc., 780 Third Avenue, 15th Floor, New York, New York 10017, or by phone by calling 1-212-309-7549.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2019-12-09T19:45:17Z</dcterms:created>
  <dcterms:modified xsi:type="dcterms:W3CDTF">2019-12-09T19:45:17Z</dcterms:modified>
</cp:coreProperties>
</file>