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40" w:type="dxa"/>
            <w:vAlign w:val="bottom"/>
            <w:gridSpan w:val="6"/>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AWM Investment Company, Inc.</w:t>
              </w:r>
            </w:hyperlink>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FORM Holdings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40" w:type="dxa"/>
            <w:vAlign w:val="bottom"/>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2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gridSpan w:val="6"/>
            <w:vMerge w:val="continue"/>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restart"/>
          </w:tcPr>
          <w:p>
            <w:pPr>
              <w:ind w:left="440"/>
              <w:spacing w:after="0"/>
              <w:rPr>
                <w:sz w:val="20"/>
                <w:szCs w:val="20"/>
                <w:color w:val="auto"/>
              </w:rPr>
            </w:pPr>
            <w:r>
              <w:rPr>
                <w:rFonts w:ascii="Arial" w:cs="Arial" w:eastAsia="Arial" w:hAnsi="Arial"/>
                <w:sz w:val="14"/>
                <w:szCs w:val="14"/>
                <w:color w:val="auto"/>
              </w:rPr>
              <w:t>Director</w:t>
            </w:r>
          </w:p>
        </w:tc>
        <w:tc>
          <w:tcPr>
            <w:tcW w:w="680" w:type="dxa"/>
            <w:vAlign w:val="bottom"/>
          </w:tcPr>
          <w:p>
            <w:pPr>
              <w:spacing w:after="0"/>
              <w:rPr>
                <w:sz w:val="2"/>
                <w:szCs w:val="2"/>
                <w:color w:val="auto"/>
              </w:rPr>
            </w:pPr>
          </w:p>
        </w:tc>
        <w:tc>
          <w:tcPr>
            <w:tcW w:w="260" w:type="dxa"/>
            <w:vAlign w:val="bottom"/>
            <w:vMerge w:val="restart"/>
          </w:tcPr>
          <w:p>
            <w:pPr>
              <w:ind w:left="20"/>
              <w:spacing w:after="0"/>
              <w:rPr>
                <w:sz w:val="20"/>
                <w:szCs w:val="20"/>
                <w:color w:val="auto"/>
              </w:rPr>
            </w:pPr>
            <w:r>
              <w:rPr>
                <w:rFonts w:ascii="Arial" w:cs="Arial" w:eastAsia="Arial" w:hAnsi="Arial"/>
                <w:sz w:val="18"/>
                <w:szCs w:val="18"/>
                <w:color w:val="0000FF"/>
              </w:rPr>
              <w:t>X</w:t>
            </w: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40" w:type="dxa"/>
            <w:vAlign w:val="bottom"/>
            <w:gridSpan w:val="6"/>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720" w:type="dxa"/>
            <w:vAlign w:val="bottom"/>
            <w:gridSpan w:val="3"/>
            <w:vMerge w:val="restart"/>
          </w:tcPr>
          <w:p>
            <w:pPr>
              <w:ind w:left="440"/>
              <w:spacing w:after="0"/>
              <w:rPr>
                <w:sz w:val="20"/>
                <w:szCs w:val="20"/>
                <w:color w:val="auto"/>
              </w:rPr>
            </w:pPr>
            <w:r>
              <w:rPr>
                <w:rFonts w:ascii="Arial" w:cs="Arial" w:eastAsia="Arial" w:hAnsi="Arial"/>
                <w:sz w:val="14"/>
                <w:szCs w:val="14"/>
                <w:color w:val="auto"/>
              </w:rPr>
              <w:t>Officer (give title</w:t>
            </w:r>
          </w:p>
        </w:tc>
        <w:tc>
          <w:tcPr>
            <w:tcW w:w="260" w:type="dxa"/>
            <w:vAlign w:val="bottom"/>
          </w:tcPr>
          <w:p>
            <w:pPr>
              <w:spacing w:after="0"/>
              <w:rPr>
                <w:sz w:val="7"/>
                <w:szCs w:val="7"/>
                <w:color w:val="auto"/>
              </w:rPr>
            </w:pP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00" w:type="dxa"/>
            <w:vAlign w:val="bottom"/>
            <w:gridSpan w:val="2"/>
          </w:tcPr>
          <w:p>
            <w:pPr>
              <w:spacing w:after="0"/>
              <w:rPr>
                <w:sz w:val="20"/>
                <w:szCs w:val="20"/>
                <w:color w:val="auto"/>
              </w:rPr>
            </w:pPr>
            <w:r>
              <w:rPr>
                <w:rFonts w:ascii="Arial" w:cs="Arial" w:eastAsia="Arial" w:hAnsi="Arial"/>
                <w:sz w:val="14"/>
                <w:szCs w:val="14"/>
                <w:color w:val="auto"/>
              </w:rPr>
              <w:t>(Middle)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Arial" w:cs="Arial" w:eastAsia="Arial" w:hAnsi="Arial"/>
                <w:sz w:val="14"/>
                <w:szCs w:val="14"/>
                <w:color w:val="auto"/>
              </w:rPr>
              <w:t>below)</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ind w:left="1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527 MADISON AVENUE</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80" w:type="dxa"/>
            <w:vAlign w:val="bottom"/>
            <w:gridSpan w:val="5"/>
          </w:tcPr>
          <w:p>
            <w:pPr>
              <w:ind w:left="220"/>
              <w:spacing w:after="0"/>
              <w:rPr>
                <w:sz w:val="20"/>
                <w:szCs w:val="20"/>
                <w:color w:val="auto"/>
              </w:rPr>
            </w:pPr>
            <w:r>
              <w:rPr>
                <w:rFonts w:ascii="Arial" w:cs="Arial" w:eastAsia="Arial" w:hAnsi="Arial"/>
                <w:sz w:val="18"/>
                <w:szCs w:val="18"/>
                <w:color w:val="0000FF"/>
                <w:w w:val="93"/>
              </w:rPr>
              <w:t>12/21/2017</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2600</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2"/>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80" w:type="dxa"/>
            <w:vAlign w:val="bottom"/>
            <w:gridSpan w:val="12"/>
            <w:vMerge w:val="continue"/>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gridSpan w:val="7"/>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460"/>
              <w:spacing w:after="0" w:line="136" w:lineRule="exact"/>
              <w:rPr>
                <w:sz w:val="20"/>
                <w:szCs w:val="20"/>
                <w:color w:val="auto"/>
              </w:rPr>
            </w:pPr>
            <w:r>
              <w:rPr>
                <w:rFonts w:ascii="Arial" w:cs="Arial" w:eastAsia="Arial" w:hAnsi="Arial"/>
                <w:sz w:val="14"/>
                <w:szCs w:val="14"/>
                <w:color w:val="auto"/>
              </w:rPr>
              <w:t>Person</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00" w:type="dxa"/>
            <w:vAlign w:val="bottom"/>
            <w:gridSpan w:val="2"/>
          </w:tcPr>
          <w:p>
            <w:pPr>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1140" w:type="dxa"/>
            <w:vAlign w:val="bottom"/>
            <w:tcBorders>
              <w:bottom w:val="single" w:sz="8" w:color="2C2C2C"/>
            </w:tcBorders>
            <w:gridSpan w:val="4"/>
          </w:tcPr>
          <w:p>
            <w:pPr>
              <w:spacing w:after="0"/>
              <w:rPr>
                <w:sz w:val="11"/>
                <w:szCs w:val="11"/>
                <w:color w:val="auto"/>
              </w:rPr>
            </w:pPr>
          </w:p>
        </w:tc>
        <w:tc>
          <w:tcPr>
            <w:tcW w:w="190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1"/>
          </w:tcPr>
          <w:p>
            <w:pPr>
              <w:jc w:val="center"/>
              <w:ind w:left="4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5"/>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230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26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w w:val="97"/>
              </w:rPr>
              <w:t>Execution Date,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3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26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w:t>
            </w:r>
          </w:p>
        </w:tc>
        <w:tc>
          <w:tcPr>
            <w:tcW w:w="26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Owned Following</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Indirect (I)</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rPr>
              <w:t>(A) or</w:t>
            </w:r>
          </w:p>
        </w:tc>
        <w:tc>
          <w:tcPr>
            <w:tcW w:w="940" w:type="dxa"/>
            <w:vAlign w:val="bottom"/>
            <w:gridSpan w:val="3"/>
          </w:tcPr>
          <w:p>
            <w:pPr>
              <w:ind w:left="120"/>
              <w:spacing w:after="0"/>
              <w:rPr>
                <w:sz w:val="20"/>
                <w:szCs w:val="20"/>
                <w:color w:val="auto"/>
              </w:rPr>
            </w:pPr>
            <w:r>
              <w:rPr>
                <w:rFonts w:ascii="Arial" w:cs="Arial" w:eastAsia="Arial" w:hAnsi="Arial"/>
                <w:sz w:val="12"/>
                <w:szCs w:val="12"/>
                <w:b w:val="1"/>
                <w:bCs w:val="1"/>
                <w:color w:val="auto"/>
              </w:rPr>
              <w:t>Price</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Transaction(s)</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8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w w:val="99"/>
              </w:rPr>
              <w:t>(Instr. 3 and 4)</w:t>
            </w:r>
          </w:p>
        </w:tc>
        <w:tc>
          <w:tcPr>
            <w:tcW w:w="2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12/21/2017</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vMerge w:val="restart"/>
          </w:tcPr>
          <w:p>
            <w:pPr>
              <w:ind w:left="140"/>
              <w:spacing w:after="0"/>
              <w:rPr>
                <w:sz w:val="20"/>
                <w:szCs w:val="20"/>
                <w:color w:val="auto"/>
              </w:rPr>
            </w:pPr>
            <w:r>
              <w:rPr>
                <w:rFonts w:ascii="Arial" w:cs="Arial" w:eastAsia="Arial" w:hAnsi="Arial"/>
                <w:sz w:val="14"/>
                <w:szCs w:val="14"/>
                <w:color w:val="0000FF"/>
              </w:rPr>
              <w:t>S</w:t>
            </w:r>
          </w:p>
        </w:tc>
        <w:tc>
          <w:tcPr>
            <w:tcW w:w="340" w:type="dxa"/>
            <w:vAlign w:val="bottom"/>
          </w:tcPr>
          <w:p>
            <w:pPr>
              <w:spacing w:after="0"/>
              <w:rPr>
                <w:sz w:val="22"/>
                <w:szCs w:val="22"/>
                <w:color w:val="auto"/>
              </w:rPr>
            </w:pPr>
          </w:p>
        </w:tc>
        <w:tc>
          <w:tcPr>
            <w:tcW w:w="960" w:type="dxa"/>
            <w:vAlign w:val="bottom"/>
            <w:gridSpan w:val="3"/>
            <w:vMerge w:val="restart"/>
          </w:tcPr>
          <w:p>
            <w:pPr>
              <w:jc w:val="center"/>
              <w:ind w:right="39"/>
              <w:spacing w:after="0"/>
              <w:rPr>
                <w:sz w:val="20"/>
                <w:szCs w:val="20"/>
                <w:color w:val="auto"/>
              </w:rPr>
            </w:pPr>
            <w:r>
              <w:rPr>
                <w:rFonts w:ascii="Arial" w:cs="Arial" w:eastAsia="Arial" w:hAnsi="Arial"/>
                <w:sz w:val="18"/>
                <w:szCs w:val="18"/>
                <w:color w:val="0000FF"/>
                <w:w w:val="90"/>
              </w:rPr>
              <w:t>50,000</w:t>
            </w:r>
            <w:r>
              <w:rPr>
                <w:rFonts w:ascii="Arial" w:cs="Arial" w:eastAsia="Arial" w:hAnsi="Arial"/>
                <w:sz w:val="22"/>
                <w:szCs w:val="22"/>
                <w:color w:val="008000"/>
                <w:w w:val="90"/>
                <w:vertAlign w:val="superscript"/>
              </w:rPr>
              <w:t>(2)(3)</w:t>
            </w:r>
          </w:p>
        </w:tc>
        <w:tc>
          <w:tcPr>
            <w:tcW w:w="40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860" w:type="dxa"/>
            <w:vAlign w:val="bottom"/>
            <w:vMerge w:val="restart"/>
          </w:tcPr>
          <w:p>
            <w:pPr>
              <w:ind w:left="12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1.5226</w:t>
            </w:r>
            <w:r>
              <w:rPr>
                <w:rFonts w:ascii="Arial" w:cs="Arial" w:eastAsia="Arial" w:hAnsi="Arial"/>
                <w:sz w:val="22"/>
                <w:szCs w:val="22"/>
                <w:color w:val="008000"/>
                <w:w w:val="86"/>
                <w:vertAlign w:val="superscript"/>
              </w:rPr>
              <w:t>(1)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gridSpan w:val="3"/>
            <w:vMerge w:val="restart"/>
          </w:tcPr>
          <w:p>
            <w:pPr>
              <w:ind w:left="80"/>
              <w:spacing w:after="0"/>
              <w:rPr>
                <w:sz w:val="20"/>
                <w:szCs w:val="20"/>
                <w:color w:val="auto"/>
              </w:rPr>
            </w:pPr>
            <w:r>
              <w:rPr>
                <w:rFonts w:ascii="Arial" w:cs="Arial" w:eastAsia="Arial" w:hAnsi="Arial"/>
                <w:sz w:val="18"/>
                <w:szCs w:val="18"/>
                <w:color w:val="0000FF"/>
                <w:w w:val="89"/>
              </w:rPr>
              <w:t>2,903,745</w:t>
            </w:r>
            <w:r>
              <w:rPr>
                <w:rFonts w:ascii="Arial" w:cs="Arial" w:eastAsia="Arial" w:hAnsi="Arial"/>
                <w:sz w:val="22"/>
                <w:szCs w:val="22"/>
                <w:color w:val="008000"/>
                <w:w w:val="89"/>
                <w:vertAlign w:val="superscript"/>
              </w:rPr>
              <w:t>(2)(3)</w:t>
            </w:r>
          </w:p>
        </w:tc>
        <w:tc>
          <w:tcPr>
            <w:tcW w:w="680" w:type="dxa"/>
            <w:vAlign w:val="bottom"/>
            <w:vMerge w:val="restart"/>
          </w:tcPr>
          <w:p>
            <w:pPr>
              <w:ind w:left="320"/>
              <w:spacing w:after="0"/>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(2)(3)</w:t>
            </w:r>
          </w:p>
        </w:tc>
        <w:tc>
          <w:tcPr>
            <w:tcW w:w="26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rPr>
              <w:t>By Limited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8"/>
                <w:szCs w:val="18"/>
                <w:color w:val="0000FF"/>
                <w:w w:val="86"/>
              </w:rPr>
              <w:t>Partnerships</w:t>
            </w:r>
            <w:r>
              <w:rPr>
                <w:rFonts w:ascii="Arial" w:cs="Arial" w:eastAsia="Arial" w:hAnsi="Arial"/>
                <w:sz w:val="22"/>
                <w:szCs w:val="22"/>
                <w:color w:val="008000"/>
                <w:w w:val="86"/>
                <w:vertAlign w:val="superscript"/>
              </w:rPr>
              <w:t>(2)(3)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12/21/2017</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vMerge w:val="restart"/>
          </w:tcPr>
          <w:p>
            <w:pPr>
              <w:ind w:left="140"/>
              <w:spacing w:after="0"/>
              <w:rPr>
                <w:sz w:val="20"/>
                <w:szCs w:val="20"/>
                <w:color w:val="auto"/>
              </w:rPr>
            </w:pPr>
            <w:r>
              <w:rPr>
                <w:rFonts w:ascii="Arial" w:cs="Arial" w:eastAsia="Arial" w:hAnsi="Arial"/>
                <w:sz w:val="14"/>
                <w:szCs w:val="14"/>
                <w:color w:val="0000FF"/>
              </w:rPr>
              <w:t>S</w:t>
            </w:r>
          </w:p>
        </w:tc>
        <w:tc>
          <w:tcPr>
            <w:tcW w:w="340" w:type="dxa"/>
            <w:vAlign w:val="bottom"/>
          </w:tcPr>
          <w:p>
            <w:pPr>
              <w:spacing w:after="0"/>
              <w:rPr>
                <w:sz w:val="22"/>
                <w:szCs w:val="22"/>
                <w:color w:val="auto"/>
              </w:rPr>
            </w:pPr>
          </w:p>
        </w:tc>
        <w:tc>
          <w:tcPr>
            <w:tcW w:w="9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150,000</w:t>
            </w:r>
            <w:r>
              <w:rPr>
                <w:rFonts w:ascii="Arial" w:cs="Arial" w:eastAsia="Arial" w:hAnsi="Arial"/>
                <w:sz w:val="22"/>
                <w:szCs w:val="22"/>
                <w:color w:val="008000"/>
                <w:w w:val="87"/>
                <w:vertAlign w:val="superscript"/>
              </w:rPr>
              <w:t>(2)(3)</w:t>
            </w:r>
          </w:p>
        </w:tc>
        <w:tc>
          <w:tcPr>
            <w:tcW w:w="40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860" w:type="dxa"/>
            <w:vAlign w:val="bottom"/>
            <w:vMerge w:val="restart"/>
          </w:tcPr>
          <w:p>
            <w:pPr>
              <w:ind w:left="12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1.4932</w:t>
            </w:r>
            <w:r>
              <w:rPr>
                <w:rFonts w:ascii="Arial" w:cs="Arial" w:eastAsia="Arial" w:hAnsi="Arial"/>
                <w:sz w:val="22"/>
                <w:szCs w:val="22"/>
                <w:color w:val="008000"/>
                <w:w w:val="86"/>
                <w:vertAlign w:val="superscript"/>
              </w:rPr>
              <w:t>(1)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gridSpan w:val="3"/>
            <w:vMerge w:val="restart"/>
          </w:tcPr>
          <w:p>
            <w:pPr>
              <w:ind w:left="80"/>
              <w:spacing w:after="0"/>
              <w:rPr>
                <w:sz w:val="20"/>
                <w:szCs w:val="20"/>
                <w:color w:val="auto"/>
              </w:rPr>
            </w:pPr>
            <w:r>
              <w:rPr>
                <w:rFonts w:ascii="Arial" w:cs="Arial" w:eastAsia="Arial" w:hAnsi="Arial"/>
                <w:sz w:val="18"/>
                <w:szCs w:val="18"/>
                <w:color w:val="0000FF"/>
                <w:w w:val="89"/>
              </w:rPr>
              <w:t>2,753,745</w:t>
            </w:r>
            <w:r>
              <w:rPr>
                <w:rFonts w:ascii="Arial" w:cs="Arial" w:eastAsia="Arial" w:hAnsi="Arial"/>
                <w:sz w:val="22"/>
                <w:szCs w:val="22"/>
                <w:color w:val="008000"/>
                <w:w w:val="89"/>
                <w:vertAlign w:val="superscript"/>
              </w:rPr>
              <w:t>(2)(3)</w:t>
            </w:r>
          </w:p>
        </w:tc>
        <w:tc>
          <w:tcPr>
            <w:tcW w:w="680" w:type="dxa"/>
            <w:vAlign w:val="bottom"/>
            <w:vMerge w:val="restart"/>
          </w:tcPr>
          <w:p>
            <w:pPr>
              <w:ind w:left="320"/>
              <w:spacing w:after="0"/>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(2)(3)</w:t>
            </w:r>
          </w:p>
        </w:tc>
        <w:tc>
          <w:tcPr>
            <w:tcW w:w="26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rPr>
              <w:t>By Limited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87"/>
              </w:rPr>
              <w:t>Partnerships</w:t>
            </w:r>
            <w:r>
              <w:rPr>
                <w:rFonts w:ascii="Arial" w:cs="Arial" w:eastAsia="Arial" w:hAnsi="Arial"/>
                <w:sz w:val="22"/>
                <w:szCs w:val="22"/>
                <w:color w:val="008000"/>
                <w:w w:val="87"/>
                <w:vertAlign w:val="superscript"/>
              </w:rPr>
              <w:t>(2)(3)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20"/>
          </w:tcPr>
          <w:p>
            <w:pPr>
              <w:jc w:val="center"/>
              <w:ind w:left="7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940" w:type="dxa"/>
            <w:vAlign w:val="bottom"/>
            <w:gridSpan w:val="18"/>
          </w:tcPr>
          <w:p>
            <w:pPr>
              <w:jc w:val="center"/>
              <w:ind w:right="43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3"/>
          </w:tcPr>
          <w:p>
            <w:pPr>
              <w:ind w:left="60"/>
              <w:spacing w:after="0"/>
              <w:rPr>
                <w:sz w:val="20"/>
                <w:szCs w:val="20"/>
                <w:color w:val="auto"/>
              </w:rPr>
            </w:pPr>
            <w:r>
              <w:rPr>
                <w:rFonts w:ascii="Arial" w:cs="Arial" w:eastAsia="Arial" w:hAnsi="Arial"/>
                <w:sz w:val="12"/>
                <w:szCs w:val="12"/>
                <w:b w:val="1"/>
                <w:bCs w:val="1"/>
                <w:color w:val="auto"/>
              </w:rPr>
              <w:t>4.</w:t>
            </w:r>
          </w:p>
        </w:tc>
        <w:tc>
          <w:tcPr>
            <w:tcW w:w="70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700" w:type="dxa"/>
            <w:vAlign w:val="bottom"/>
            <w:gridSpan w:val="5"/>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5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2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30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0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9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gridSpan w:val="2"/>
          </w:tcPr>
          <w:p>
            <w:pPr>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3"/>
          </w:tcPr>
          <w:p>
            <w:pPr>
              <w:ind w:left="140"/>
              <w:spacing w:after="0"/>
              <w:rPr>
                <w:sz w:val="20"/>
                <w:szCs w:val="20"/>
                <w:color w:val="auto"/>
              </w:rPr>
            </w:pPr>
            <w:r>
              <w:rPr>
                <w:rFonts w:ascii="Arial" w:cs="Arial" w:eastAsia="Arial" w:hAnsi="Arial"/>
                <w:sz w:val="12"/>
                <w:szCs w:val="12"/>
                <w:b w:val="1"/>
                <w:bCs w:val="1"/>
                <w:color w:val="auto"/>
              </w:rPr>
              <w:t>Exercisable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is a weighted average price</w:t>
      </w:r>
    </w:p>
    <w:p>
      <w:pPr>
        <w:spacing w:after="0" w:line="41" w:lineRule="exact"/>
        <w:rPr>
          <w:rFonts w:ascii="Arial" w:cs="Arial" w:eastAsia="Arial" w:hAnsi="Arial"/>
          <w:sz w:val="14"/>
          <w:szCs w:val="14"/>
          <w:color w:val="008000"/>
        </w:rPr>
      </w:pPr>
    </w:p>
    <w:p>
      <w:pPr>
        <w:jc w:val="both"/>
        <w:ind w:left="40" w:right="12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AWM Investment Company, Inc., a Delaware corporation (AWM), is the investment adviser to Special Situations Cayman Fund, L.P. (CAYMAN), Special Situations Fund III QP, L.P. (SSFQP) and Special Situations Private Equity Fund, L.P. (SSPE and together with CAYMAN and SSFQP, the Funds). As the investment adviser to the Funds, AWM holds sole voting and investment power over 481,807 Shares of common stock of the Issuer (the Shares) held by CAYMAN, 1,445,421 Shares held by SSFQP and 826,517 Shares held by SSPE</w:t>
      </w:r>
    </w:p>
    <w:p>
      <w:pPr>
        <w:spacing w:after="0" w:line="2" w:lineRule="exact"/>
        <w:rPr>
          <w:rFonts w:ascii="Arial" w:cs="Arial" w:eastAsia="Arial" w:hAnsi="Arial"/>
          <w:sz w:val="12"/>
          <w:szCs w:val="12"/>
          <w:color w:val="008000"/>
        </w:rPr>
      </w:pPr>
    </w:p>
    <w:p>
      <w:pPr>
        <w:ind w:left="40" w:right="1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Austin W. Marxe (Marxe), David M. Greenhouse (Greenhouse) and Adam C. Stettner (Stettner) are the controlling principals of AWM. The reporting person disclaims beneficial ownership of the Shares, except to the extent of its pecuniary interest therein. This report shall not be deemed an admission that the reporting person is the beneficial owner of the securities reported herein for purposes of Section 16 of the Securities Exchange Act of 1934, as amended, or for any other purpose.</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0000FF"/>
                <w:w w:val="88"/>
              </w:rPr>
              <w:t>Adam C. Stettner</w:t>
            </w:r>
          </w:p>
        </w:tc>
        <w:tc>
          <w:tcPr>
            <w:tcW w:w="8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12/26/2017</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5264"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2019-12-04T01:49:07Z</dcterms:created>
  <dcterms:modified xsi:type="dcterms:W3CDTF">2019-12-04T01:49:07Z</dcterms:modified>
</cp:coreProperties>
</file>