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760"/>
        <w:spacing w:after="0"/>
        <w:rPr>
          <w:sz w:val="20"/>
          <w:szCs w:val="20"/>
          <w:color w:val="auto"/>
        </w:rPr>
      </w:pPr>
      <w:r>
        <w:rPr>
          <w:rFonts w:ascii="Arial" w:cs="Arial" w:eastAsia="Arial" w:hAnsi="Arial"/>
          <w:sz w:val="16"/>
          <w:szCs w:val="16"/>
          <w:b w:val="1"/>
          <w:bCs w:val="1"/>
          <w:color w:val="auto"/>
        </w:rPr>
        <w:t>Filed Pursuant to Rule 424(b)(5)</w:t>
      </w:r>
    </w:p>
    <w:p>
      <w:pPr>
        <w:spacing w:after="0" w:line="50" w:lineRule="exact"/>
        <w:rPr>
          <w:sz w:val="24"/>
          <w:szCs w:val="24"/>
          <w:color w:val="auto"/>
        </w:rPr>
      </w:pPr>
    </w:p>
    <w:p>
      <w:pPr>
        <w:ind w:left="8240"/>
        <w:spacing w:after="0"/>
        <w:rPr>
          <w:sz w:val="20"/>
          <w:szCs w:val="20"/>
          <w:color w:val="auto"/>
        </w:rPr>
      </w:pPr>
      <w:r>
        <w:rPr>
          <w:rFonts w:ascii="Arial" w:cs="Arial" w:eastAsia="Arial" w:hAnsi="Arial"/>
          <w:sz w:val="16"/>
          <w:szCs w:val="16"/>
          <w:b w:val="1"/>
          <w:bCs w:val="1"/>
          <w:color w:val="auto"/>
        </w:rPr>
        <w:t>Registration Statement No. 333-232764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July 30, 2019)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4,188,843 Shares of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Pre-Funded Warrants to Purchase 2,096,873 shares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 the shares of Common Stock underlying such Pre-Funded Warrants)</w:t>
      </w:r>
    </w:p>
    <w:p>
      <w:pPr>
        <w:spacing w:after="0" w:line="200" w:lineRule="exact"/>
        <w:rPr>
          <w:sz w:val="24"/>
          <w:szCs w:val="24"/>
          <w:color w:val="auto"/>
        </w:rPr>
      </w:pPr>
    </w:p>
    <w:p>
      <w:pPr>
        <w:spacing w:after="0" w:line="227" w:lineRule="exact"/>
        <w:rPr>
          <w:sz w:val="24"/>
          <w:szCs w:val="24"/>
          <w:color w:val="auto"/>
        </w:rPr>
      </w:pPr>
    </w:p>
    <w:p>
      <w:pPr>
        <w:jc w:val="both"/>
        <w:spacing w:after="0" w:line="293" w:lineRule="auto"/>
        <w:rPr>
          <w:sz w:val="20"/>
          <w:szCs w:val="20"/>
          <w:color w:val="auto"/>
        </w:rPr>
      </w:pPr>
      <w:r>
        <w:rPr>
          <w:rFonts w:ascii="Arial" w:cs="Arial" w:eastAsia="Arial" w:hAnsi="Arial"/>
          <w:sz w:val="16"/>
          <w:szCs w:val="16"/>
          <w:color w:val="auto"/>
        </w:rPr>
        <w:t>We are offering an aggregate of 4,188,843 shares of our common stock, par value $0.01 per share (the “Common Stock”) at a purchase price equal to $0.175 per share. We are also offering to certain purchasers pre-funded warrants to purchase an aggregate of 2,096,873 shares of Common Stock, in lieu of shares of Common Stock. Each pre-funded warrant is exercisable for one share of our Common Stock. The purchase price of each pre-funded warrant is equal to the price at which a share of Common Stock is sold to the public in this offering, minus $0.01, and the exercise price of each pre-funded warrant is $0.01 per share. The pre-funded warrants are immediately exercisable and may be exercised at any time until all of the pre-funded warrants are exercised in full. This offering also relates to the shares of Common Stock issuable upon exercise of the pre-funded warrants sold in this offering.</w:t>
      </w:r>
    </w:p>
    <w:p>
      <w:pPr>
        <w:spacing w:after="0" w:line="16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Capital Market, or Nasdaq, under the symbol “XSPA.” The last reported sale price of our Common Stock on March 18, 2020 was $0.173 per share.</w:t>
      </w:r>
    </w:p>
    <w:p>
      <w:pPr>
        <w:spacing w:after="0" w:line="17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You should read this prospectus supplement and the accompanying prospectus and the documents incorporated by reference in this prospectus supplement carefully before you invest.</w:t>
      </w:r>
    </w:p>
    <w:p>
      <w:pPr>
        <w:spacing w:after="0" w:line="166"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See “Risk Factors” on page S-4 of this prospectus supplement to read about factors you should consider before buying shares of our Common Stock.</w:t>
      </w:r>
    </w:p>
    <w:p>
      <w:pPr>
        <w:spacing w:after="0" w:line="162" w:lineRule="exact"/>
        <w:rPr>
          <w:sz w:val="24"/>
          <w:szCs w:val="24"/>
          <w:color w:val="auto"/>
        </w:rPr>
      </w:pPr>
    </w:p>
    <w:p>
      <w:pPr>
        <w:jc w:val="both"/>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44"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As of March 18, 2020, the aggregate market value of our outstanding Common Stock held by non-affiliates was approximately $13,553,953, based on 18,375,095 shares of outstanding Common Stock, of which 11,486,401 shares were held by non-affiliates, and a per share price of $1.18, which was the last reported sale price of our Common Stock on The Nasdaq Capital Market on February 19, 2020. We have offered and sold $1,100,000.32 worth of our securities pursuant to General Instruction I.B.6. of Form S-3 during the prior 12 calendar month period that ends on and includes the date of this prospectus supplement and the securities offered hereby.</w:t>
      </w:r>
    </w:p>
    <w:p>
      <w:pPr>
        <w:spacing w:after="0" w:line="40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Per Share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Per Pre-Funded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Common Stock</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Warrant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1,100,000.32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Advisory fees(1)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0.014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0.0132</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88,000.00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0.1518</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1,012,000.32</w:t>
            </w:r>
          </w:p>
        </w:tc>
      </w:tr>
    </w:tbl>
    <w:p>
      <w:pPr>
        <w:spacing w:after="0" w:line="202" w:lineRule="exact"/>
        <w:rPr>
          <w:sz w:val="24"/>
          <w:szCs w:val="24"/>
          <w:color w:val="auto"/>
        </w:rPr>
      </w:pPr>
    </w:p>
    <w:p>
      <w:pPr>
        <w:ind w:right="20" w:firstLine="8"/>
        <w:spacing w:after="0" w:line="277" w:lineRule="auto"/>
        <w:tabs>
          <w:tab w:leader="none" w:pos="262"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pay a certain financial advisory consultant a cash payment equal to 8% of the aggregate gross proceeds raised in the offering. See “Plan of Distribution” for more information.</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Delivery of the shares of our Common Stock and pre-funded warrants being offered pursuant to this prospectus supplement and the accompanying prospectus is expected to be made on or about March 19, 2020.</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March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40" w:type="dxa"/>
            <w:vAlign w:val="bottom"/>
            <w:gridSpan w:val="4"/>
          </w:tcPr>
          <w:p>
            <w:pPr>
              <w:jc w:val="center"/>
              <w:ind w:right="3920"/>
              <w:spacing w:after="0"/>
              <w:rPr>
                <w:sz w:val="20"/>
                <w:szCs w:val="20"/>
                <w:color w:val="auto"/>
              </w:rPr>
            </w:pPr>
            <w:r>
              <w:rPr>
                <w:rFonts w:ascii="Arial" w:cs="Arial" w:eastAsia="Arial" w:hAnsi="Arial"/>
                <w:sz w:val="18"/>
                <w:szCs w:val="18"/>
                <w:b w:val="1"/>
                <w:bCs w:val="1"/>
                <w:color w:val="auto"/>
                <w:w w:val="98"/>
              </w:rPr>
              <w:t>TABLE OF CONTENTS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40" w:type="dxa"/>
            <w:vAlign w:val="bottom"/>
            <w:gridSpan w:val="4"/>
          </w:tcPr>
          <w:p>
            <w:pPr>
              <w:jc w:val="center"/>
              <w:ind w:right="3920"/>
              <w:spacing w:after="0"/>
              <w:rPr>
                <w:sz w:val="20"/>
                <w:szCs w:val="20"/>
                <w:color w:val="auto"/>
              </w:rPr>
            </w:pPr>
            <w:r>
              <w:rPr>
                <w:rFonts w:ascii="Arial" w:cs="Arial" w:eastAsia="Arial" w:hAnsi="Arial"/>
                <w:sz w:val="18"/>
                <w:szCs w:val="18"/>
                <w:b w:val="1"/>
                <w:bCs w:val="1"/>
                <w:color w:val="auto"/>
                <w:w w:val="87"/>
              </w:rPr>
              <w:t>Prospectus Supplement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6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69"/>
        </w:trPr>
        <w:tc>
          <w:tcPr>
            <w:tcW w:w="10600" w:type="dxa"/>
            <w:vAlign w:val="bottom"/>
            <w:gridSpan w:val="25"/>
            <w:shd w:val="clear" w:color="auto" w:fill="CCEEFF"/>
          </w:tcPr>
          <w:p>
            <w:pPr>
              <w:spacing w:after="0" w:line="169"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gridSpan w:val="7"/>
            <w:shd w:val="clear" w:color="auto" w:fill="CCEEFF"/>
          </w:tcPr>
          <w:p>
            <w:pPr>
              <w:jc w:val="center"/>
              <w:ind w:right="200"/>
              <w:spacing w:after="0" w:line="169" w:lineRule="exact"/>
              <w:rPr>
                <w:rFonts w:ascii="Arial" w:cs="Arial" w:eastAsia="Arial" w:hAnsi="Arial"/>
                <w:sz w:val="18"/>
                <w:szCs w:val="18"/>
                <w:color w:val="0000EE"/>
              </w:rPr>
            </w:pPr>
            <w:hyperlink w:anchor="page3">
              <w:r>
                <w:rPr>
                  <w:rFonts w:ascii="Arial" w:cs="Arial" w:eastAsia="Arial" w:hAnsi="Arial"/>
                  <w:sz w:val="18"/>
                  <w:szCs w:val="18"/>
                  <w:color w:val="0000EE"/>
                </w:rPr>
                <w:t>s-ii</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SPECIAL NOTE REGARDING FORWARD-LOOKING STATEMENTS</w:t>
              </w:r>
            </w:hyperlink>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8"/>
          </w:tcPr>
          <w:p>
            <w:pPr>
              <w:jc w:val="center"/>
              <w:ind w:right="1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s-iii</w:t>
              </w:r>
            </w:hyperlink>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3300" w:type="dxa"/>
            <w:vAlign w:val="bottom"/>
            <w:gridSpan w:val="16"/>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PROSPECTUS SUPPLEMENT SUMMARY</w:t>
              </w:r>
            </w:hyperlink>
          </w:p>
        </w:tc>
        <w:tc>
          <w:tcPr>
            <w:tcW w:w="7300" w:type="dxa"/>
            <w:vAlign w:val="bottom"/>
            <w:gridSpan w:val="9"/>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gridSpan w:val="7"/>
            <w:shd w:val="clear" w:color="auto" w:fill="CCEEFF"/>
          </w:tcPr>
          <w:p>
            <w:pPr>
              <w:jc w:val="center"/>
              <w:ind w:right="200"/>
              <w:spacing w:after="0" w:line="17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S-1</w:t>
              </w:r>
            </w:hyperlink>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300" w:type="dxa"/>
            <w:vAlign w:val="bottom"/>
            <w:gridSpan w:val="16"/>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THE OFFERING</w:t>
              </w:r>
            </w:hyperlink>
          </w:p>
        </w:tc>
        <w:tc>
          <w:tcPr>
            <w:tcW w:w="7300" w:type="dxa"/>
            <w:vAlign w:val="bottom"/>
            <w:gridSpan w:val="9"/>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7"/>
          </w:tcPr>
          <w:p>
            <w:pPr>
              <w:jc w:val="center"/>
              <w:ind w:right="200"/>
              <w:spacing w:after="0" w:line="176" w:lineRule="exact"/>
              <w:rPr>
                <w:rFonts w:ascii="Arial" w:cs="Arial" w:eastAsia="Arial" w:hAnsi="Arial"/>
                <w:sz w:val="18"/>
                <w:szCs w:val="18"/>
                <w:color w:val="0000EE"/>
                <w:w w:val="85"/>
              </w:rPr>
            </w:pPr>
            <w:hyperlink w:anchor="page8">
              <w:r>
                <w:rPr>
                  <w:rFonts w:ascii="Arial" w:cs="Arial" w:eastAsia="Arial" w:hAnsi="Arial"/>
                  <w:sz w:val="18"/>
                  <w:szCs w:val="18"/>
                  <w:color w:val="0000EE"/>
                  <w:w w:val="85"/>
                </w:rPr>
                <w:t>S-3</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260" w:type="dxa"/>
            <w:vAlign w:val="bottom"/>
            <w:gridSpan w:val="3"/>
            <w:shd w:val="clear" w:color="auto" w:fill="CCEEFF"/>
          </w:tcPr>
          <w:p>
            <w:pPr>
              <w:spacing w:after="0" w:line="17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RISK FACTORS</w:t>
              </w:r>
            </w:hyperlink>
          </w:p>
        </w:tc>
        <w:tc>
          <w:tcPr>
            <w:tcW w:w="9340" w:type="dxa"/>
            <w:vAlign w:val="bottom"/>
            <w:gridSpan w:val="22"/>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gridSpan w:val="7"/>
            <w:shd w:val="clear" w:color="auto" w:fill="CCEEFF"/>
          </w:tcPr>
          <w:p>
            <w:pPr>
              <w:jc w:val="center"/>
              <w:ind w:right="200"/>
              <w:spacing w:after="0" w:line="176" w:lineRule="exact"/>
              <w:rPr>
                <w:rFonts w:ascii="Arial" w:cs="Arial" w:eastAsia="Arial" w:hAnsi="Arial"/>
                <w:sz w:val="18"/>
                <w:szCs w:val="18"/>
                <w:color w:val="0000EE"/>
                <w:w w:val="85"/>
              </w:rPr>
            </w:pPr>
            <w:hyperlink w:anchor="page9">
              <w:r>
                <w:rPr>
                  <w:rFonts w:ascii="Arial" w:cs="Arial" w:eastAsia="Arial" w:hAnsi="Arial"/>
                  <w:sz w:val="18"/>
                  <w:szCs w:val="18"/>
                  <w:color w:val="0000EE"/>
                  <w:w w:val="85"/>
                </w:rPr>
                <w:t>S-4</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5"/>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7"/>
          </w:tcPr>
          <w:p>
            <w:pPr>
              <w:jc w:val="center"/>
              <w:ind w:right="200"/>
              <w:spacing w:after="0" w:line="176" w:lineRule="exact"/>
              <w:rPr>
                <w:rFonts w:ascii="Arial" w:cs="Arial" w:eastAsia="Arial" w:hAnsi="Arial"/>
                <w:sz w:val="18"/>
                <w:szCs w:val="18"/>
                <w:color w:val="0000EE"/>
                <w:w w:val="85"/>
              </w:rPr>
            </w:pPr>
            <w:hyperlink w:anchor="page14">
              <w:r>
                <w:rPr>
                  <w:rFonts w:ascii="Arial" w:cs="Arial" w:eastAsia="Arial" w:hAnsi="Arial"/>
                  <w:sz w:val="18"/>
                  <w:szCs w:val="18"/>
                  <w:color w:val="0000EE"/>
                  <w:w w:val="85"/>
                </w:rPr>
                <w:t>S-9</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DIVIDEND POLICY</w:t>
              </w:r>
            </w:hyperlink>
          </w:p>
        </w:tc>
        <w:tc>
          <w:tcPr>
            <w:tcW w:w="140" w:type="dxa"/>
            <w:vAlign w:val="bottom"/>
            <w:shd w:val="clear" w:color="auto" w:fill="CCEEFF"/>
          </w:tcPr>
          <w:p>
            <w:pPr>
              <w:spacing w:after="0"/>
              <w:rPr>
                <w:sz w:val="15"/>
                <w:szCs w:val="15"/>
                <w:color w:val="auto"/>
              </w:rPr>
            </w:pPr>
          </w:p>
        </w:tc>
        <w:tc>
          <w:tcPr>
            <w:tcW w:w="500" w:type="dxa"/>
            <w:vAlign w:val="bottom"/>
            <w:gridSpan w:val="9"/>
            <w:shd w:val="clear" w:color="auto" w:fill="CCEEFF"/>
          </w:tcPr>
          <w:p>
            <w:pPr>
              <w:jc w:val="center"/>
              <w:ind w:right="160"/>
              <w:spacing w:after="0" w:line="17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S-10</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580" w:type="dxa"/>
            <w:vAlign w:val="bottom"/>
            <w:gridSpan w:val="6"/>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DILUTION</w:t>
              </w:r>
            </w:hyperlink>
          </w:p>
        </w:tc>
        <w:tc>
          <w:tcPr>
            <w:tcW w:w="9020" w:type="dxa"/>
            <w:vAlign w:val="bottom"/>
            <w:gridSpan w:val="19"/>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9"/>
          </w:tcPr>
          <w:p>
            <w:pPr>
              <w:jc w:val="center"/>
              <w:ind w:right="160"/>
              <w:spacing w:after="0" w:line="17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S-11</w:t>
              </w:r>
            </w:hyperlink>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DESCRIPTION OF THE SECURITIES WE ARE OFFERING</w:t>
              </w:r>
            </w:hyperlink>
          </w:p>
        </w:tc>
        <w:tc>
          <w:tcPr>
            <w:tcW w:w="140" w:type="dxa"/>
            <w:vAlign w:val="bottom"/>
            <w:shd w:val="clear" w:color="auto" w:fill="CCEEFF"/>
          </w:tcPr>
          <w:p>
            <w:pPr>
              <w:spacing w:after="0"/>
              <w:rPr>
                <w:sz w:val="15"/>
                <w:szCs w:val="15"/>
                <w:color w:val="auto"/>
              </w:rPr>
            </w:pPr>
          </w:p>
        </w:tc>
        <w:tc>
          <w:tcPr>
            <w:tcW w:w="500" w:type="dxa"/>
            <w:vAlign w:val="bottom"/>
            <w:gridSpan w:val="9"/>
            <w:shd w:val="clear" w:color="auto" w:fill="CCEEFF"/>
          </w:tcPr>
          <w:p>
            <w:pPr>
              <w:jc w:val="center"/>
              <w:ind w:right="160"/>
              <w:spacing w:after="0" w:line="17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S-12</w:t>
              </w:r>
            </w:hyperlink>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560" w:type="dxa"/>
            <w:vAlign w:val="bottom"/>
            <w:gridSpan w:val="21"/>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PLAN OF DISTRIBUTION</w:t>
              </w:r>
            </w:hyperlink>
          </w:p>
        </w:tc>
        <w:tc>
          <w:tcPr>
            <w:tcW w:w="604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9"/>
          </w:tcPr>
          <w:p>
            <w:pPr>
              <w:jc w:val="center"/>
              <w:ind w:right="160"/>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S-14</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LEGAL MATTERS</w:t>
              </w:r>
            </w:hyperlink>
          </w:p>
        </w:tc>
        <w:tc>
          <w:tcPr>
            <w:tcW w:w="140" w:type="dxa"/>
            <w:vAlign w:val="bottom"/>
            <w:shd w:val="clear" w:color="auto" w:fill="CCEEFF"/>
          </w:tcPr>
          <w:p>
            <w:pPr>
              <w:spacing w:after="0"/>
              <w:rPr>
                <w:sz w:val="15"/>
                <w:szCs w:val="15"/>
                <w:color w:val="auto"/>
              </w:rPr>
            </w:pPr>
          </w:p>
        </w:tc>
        <w:tc>
          <w:tcPr>
            <w:tcW w:w="500" w:type="dxa"/>
            <w:vAlign w:val="bottom"/>
            <w:gridSpan w:val="9"/>
            <w:shd w:val="clear" w:color="auto" w:fill="CCEEFF"/>
          </w:tcPr>
          <w:p>
            <w:pPr>
              <w:jc w:val="center"/>
              <w:ind w:right="160"/>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S-14</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60" w:type="dxa"/>
            <w:vAlign w:val="bottom"/>
            <w:gridSpan w:val="5"/>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EXPERTS</w:t>
              </w:r>
            </w:hyperlink>
          </w:p>
        </w:tc>
        <w:tc>
          <w:tcPr>
            <w:tcW w:w="9140" w:type="dxa"/>
            <w:vAlign w:val="bottom"/>
            <w:gridSpan w:val="20"/>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9"/>
          </w:tcPr>
          <w:p>
            <w:pPr>
              <w:jc w:val="center"/>
              <w:ind w:right="160"/>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S-14</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WHERE YOU CAN FIND MORE INFORMATION</w:t>
              </w:r>
            </w:hyperlink>
          </w:p>
        </w:tc>
        <w:tc>
          <w:tcPr>
            <w:tcW w:w="140" w:type="dxa"/>
            <w:vAlign w:val="bottom"/>
            <w:shd w:val="clear" w:color="auto" w:fill="CCEEFF"/>
          </w:tcPr>
          <w:p>
            <w:pPr>
              <w:spacing w:after="0"/>
              <w:rPr>
                <w:sz w:val="15"/>
                <w:szCs w:val="15"/>
                <w:color w:val="auto"/>
              </w:rPr>
            </w:pPr>
          </w:p>
        </w:tc>
        <w:tc>
          <w:tcPr>
            <w:tcW w:w="500" w:type="dxa"/>
            <w:vAlign w:val="bottom"/>
            <w:gridSpan w:val="9"/>
            <w:shd w:val="clear" w:color="auto" w:fill="CCEEFF"/>
          </w:tcPr>
          <w:p>
            <w:pPr>
              <w:jc w:val="center"/>
              <w:ind w:right="160"/>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S-14</w:t>
              </w:r>
            </w:hyperlink>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INCORPORATION OF CERTAIN INFORMATION BY REFERENCE</w:t>
              </w:r>
            </w:hyperlink>
          </w:p>
        </w:tc>
        <w:tc>
          <w:tcPr>
            <w:tcW w:w="140" w:type="dxa"/>
            <w:vAlign w:val="bottom"/>
          </w:tcPr>
          <w:p>
            <w:pPr>
              <w:spacing w:after="0"/>
              <w:rPr>
                <w:sz w:val="15"/>
                <w:szCs w:val="15"/>
                <w:color w:val="auto"/>
              </w:rPr>
            </w:pPr>
          </w:p>
        </w:tc>
        <w:tc>
          <w:tcPr>
            <w:tcW w:w="500" w:type="dxa"/>
            <w:vAlign w:val="bottom"/>
            <w:gridSpan w:val="9"/>
          </w:tcPr>
          <w:p>
            <w:pPr>
              <w:jc w:val="center"/>
              <w:ind w:right="160"/>
              <w:spacing w:after="0" w:line="17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S-15</w:t>
              </w:r>
            </w:hyperlink>
          </w:p>
        </w:tc>
      </w:tr>
      <w:tr>
        <w:trPr>
          <w:trHeight w:val="453"/>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5420" w:type="dxa"/>
            <w:vAlign w:val="bottom"/>
            <w:gridSpan w:val="3"/>
          </w:tcPr>
          <w:p>
            <w:pPr>
              <w:jc w:val="center"/>
              <w:ind w:right="4540"/>
              <w:spacing w:after="0"/>
              <w:rPr>
                <w:sz w:val="20"/>
                <w:szCs w:val="20"/>
                <w:color w:val="auto"/>
              </w:rPr>
            </w:pPr>
            <w:r>
              <w:rPr>
                <w:rFonts w:ascii="Arial" w:cs="Arial" w:eastAsia="Arial" w:hAnsi="Arial"/>
                <w:sz w:val="18"/>
                <w:szCs w:val="18"/>
                <w:b w:val="1"/>
                <w:bCs w:val="1"/>
                <w:color w:val="auto"/>
                <w:w w:val="85"/>
              </w:rPr>
              <w:t>Prospectus</w:t>
            </w:r>
          </w:p>
        </w:tc>
        <w:tc>
          <w:tcPr>
            <w:tcW w:w="1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2240" w:type="dxa"/>
            <w:vAlign w:val="bottom"/>
            <w:gridSpan w:val="11"/>
            <w:shd w:val="clear" w:color="auto" w:fill="CCEEFF"/>
          </w:tcPr>
          <w:p>
            <w:pPr>
              <w:spacing w:after="0" w:line="17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ABOUT THIS PROSPECTUS</w:t>
              </w:r>
            </w:hyperlink>
          </w:p>
        </w:tc>
        <w:tc>
          <w:tcPr>
            <w:tcW w:w="8360" w:type="dxa"/>
            <w:vAlign w:val="bottom"/>
            <w:gridSpan w:val="14"/>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360" w:type="dxa"/>
            <w:vAlign w:val="bottom"/>
            <w:gridSpan w:val="6"/>
            <w:shd w:val="clear" w:color="auto" w:fill="CCEEFF"/>
          </w:tcPr>
          <w:p>
            <w:pPr>
              <w:jc w:val="center"/>
              <w:ind w:right="260"/>
              <w:spacing w:after="0" w:line="176" w:lineRule="exact"/>
              <w:rPr>
                <w:rFonts w:ascii="Arial" w:cs="Arial" w:eastAsia="Arial" w:hAnsi="Arial"/>
                <w:sz w:val="18"/>
                <w:szCs w:val="18"/>
                <w:color w:val="0000EE"/>
                <w:w w:val="76"/>
              </w:rPr>
            </w:pPr>
            <w:hyperlink w:anchor="page25">
              <w:r>
                <w:rPr>
                  <w:rFonts w:ascii="Arial" w:cs="Arial" w:eastAsia="Arial" w:hAnsi="Arial"/>
                  <w:sz w:val="18"/>
                  <w:szCs w:val="18"/>
                  <w:color w:val="0000EE"/>
                  <w:w w:val="76"/>
                </w:rPr>
                <w:t>iv</w:t>
              </w:r>
            </w:hyperlink>
          </w:p>
        </w:tc>
      </w:tr>
      <w:tr>
        <w:trPr>
          <w:trHeight w:val="176"/>
        </w:trPr>
        <w:tc>
          <w:tcPr>
            <w:tcW w:w="224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PROSPECTUS SUMMARY</w:t>
              </w:r>
            </w:hyperlink>
          </w:p>
        </w:tc>
        <w:tc>
          <w:tcPr>
            <w:tcW w:w="8360" w:type="dxa"/>
            <w:vAlign w:val="bottom"/>
            <w:tcBorders>
              <w:top w:val="single" w:sz="8" w:color="CCEEFF"/>
            </w:tcBorders>
            <w:gridSpan w:val="14"/>
          </w:tcPr>
          <w:p>
            <w:pPr>
              <w:spacing w:after="0"/>
              <w:rPr>
                <w:sz w:val="15"/>
                <w:szCs w:val="15"/>
                <w:color w:val="auto"/>
              </w:rPr>
            </w:pPr>
          </w:p>
        </w:tc>
        <w:tc>
          <w:tcPr>
            <w:tcW w:w="28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0000EE"/>
            </w:tcBorders>
            <w:gridSpan w:val="2"/>
          </w:tcPr>
          <w:p>
            <w:pPr>
              <w:jc w:val="center"/>
              <w:ind w:right="40"/>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1</w:t>
              </w:r>
            </w:hyperlink>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1260" w:type="dxa"/>
            <w:vAlign w:val="bottom"/>
            <w:gridSpan w:val="3"/>
            <w:shd w:val="clear" w:color="auto" w:fill="CCEEFF"/>
          </w:tcPr>
          <w:p>
            <w:pPr>
              <w:spacing w:after="0" w:line="17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RISK FACTORS</w:t>
              </w:r>
            </w:hyperlink>
          </w:p>
        </w:tc>
        <w:tc>
          <w:tcPr>
            <w:tcW w:w="9340" w:type="dxa"/>
            <w:vAlign w:val="bottom"/>
            <w:gridSpan w:val="22"/>
            <w:shd w:val="clear" w:color="auto" w:fill="CCEEFF"/>
          </w:tcPr>
          <w:p>
            <w:pPr>
              <w:spacing w:after="0"/>
              <w:rPr>
                <w:sz w:val="15"/>
                <w:szCs w:val="15"/>
                <w:color w:val="auto"/>
              </w:rPr>
            </w:pPr>
          </w:p>
        </w:tc>
        <w:tc>
          <w:tcPr>
            <w:tcW w:w="400" w:type="dxa"/>
            <w:vAlign w:val="bottom"/>
            <w:tcBorders>
              <w:right w:val="single" w:sz="8" w:color="CCEEFF"/>
            </w:tcBorders>
            <w:gridSpan w:val="6"/>
            <w:shd w:val="clear" w:color="auto" w:fill="CCEEFF"/>
          </w:tcPr>
          <w:p>
            <w:pPr>
              <w:jc w:val="center"/>
              <w:ind w:left="150"/>
              <w:spacing w:after="0" w:line="17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SPECIAL NOTE REGARDING FORWARD-LOOKING STATEMENTS</w:t>
              </w:r>
            </w:hyperlink>
          </w:p>
        </w:tc>
        <w:tc>
          <w:tcPr>
            <w:tcW w:w="400" w:type="dxa"/>
            <w:vAlign w:val="bottom"/>
            <w:gridSpan w:val="6"/>
          </w:tcPr>
          <w:p>
            <w:pPr>
              <w:jc w:val="center"/>
              <w:ind w:left="150"/>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3</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RATIO OF EARNINGS TO FIXED CHARGES</w:t>
              </w:r>
            </w:hyperlink>
          </w:p>
        </w:tc>
        <w:tc>
          <w:tcPr>
            <w:tcW w:w="400" w:type="dxa"/>
            <w:vAlign w:val="bottom"/>
            <w:tcBorders>
              <w:right w:val="single" w:sz="8" w:color="CCEEFF"/>
            </w:tcBorders>
            <w:gridSpan w:val="6"/>
            <w:shd w:val="clear" w:color="auto" w:fill="CCEEFF"/>
          </w:tcPr>
          <w:p>
            <w:pPr>
              <w:jc w:val="center"/>
              <w:ind w:left="150"/>
              <w:spacing w:after="0" w:line="17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5</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500" w:type="dxa"/>
            <w:vAlign w:val="bottom"/>
            <w:gridSpan w:val="18"/>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7100" w:type="dxa"/>
            <w:vAlign w:val="bottom"/>
            <w:gridSpan w:val="7"/>
          </w:tcPr>
          <w:p>
            <w:pPr>
              <w:spacing w:after="0"/>
              <w:rPr>
                <w:sz w:val="15"/>
                <w:szCs w:val="15"/>
                <w:color w:val="auto"/>
              </w:rPr>
            </w:pPr>
          </w:p>
        </w:tc>
        <w:tc>
          <w:tcPr>
            <w:tcW w:w="400" w:type="dxa"/>
            <w:vAlign w:val="bottom"/>
            <w:gridSpan w:val="6"/>
          </w:tcPr>
          <w:p>
            <w:pPr>
              <w:jc w:val="center"/>
              <w:ind w:left="150"/>
              <w:spacing w:after="0" w:line="17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6</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2060" w:type="dxa"/>
            <w:vAlign w:val="bottom"/>
            <w:gridSpan w:val="8"/>
            <w:shd w:val="clear" w:color="auto" w:fill="CCEEFF"/>
          </w:tcPr>
          <w:p>
            <w:pPr>
              <w:spacing w:after="0" w:line="176" w:lineRule="exact"/>
              <w:rPr>
                <w:rFonts w:ascii="Arial" w:cs="Arial" w:eastAsia="Arial" w:hAnsi="Arial"/>
                <w:sz w:val="18"/>
                <w:szCs w:val="18"/>
                <w:color w:val="0000EE"/>
                <w:w w:val="97"/>
              </w:rPr>
            </w:pPr>
            <w:hyperlink w:anchor="page32">
              <w:r>
                <w:rPr>
                  <w:rFonts w:ascii="Arial" w:cs="Arial" w:eastAsia="Arial" w:hAnsi="Arial"/>
                  <w:sz w:val="18"/>
                  <w:szCs w:val="18"/>
                  <w:color w:val="0000EE"/>
                  <w:w w:val="97"/>
                </w:rPr>
                <w:t>PLAN OF DISTRIBUTION</w:t>
              </w:r>
            </w:hyperlink>
          </w:p>
        </w:tc>
        <w:tc>
          <w:tcPr>
            <w:tcW w:w="8540" w:type="dxa"/>
            <w:vAlign w:val="bottom"/>
            <w:gridSpan w:val="17"/>
            <w:shd w:val="clear" w:color="auto" w:fill="CCEEFF"/>
          </w:tcPr>
          <w:p>
            <w:pPr>
              <w:spacing w:after="0"/>
              <w:rPr>
                <w:sz w:val="15"/>
                <w:szCs w:val="15"/>
                <w:color w:val="auto"/>
              </w:rPr>
            </w:pPr>
          </w:p>
        </w:tc>
        <w:tc>
          <w:tcPr>
            <w:tcW w:w="400" w:type="dxa"/>
            <w:vAlign w:val="bottom"/>
            <w:tcBorders>
              <w:right w:val="single" w:sz="8" w:color="CCEEFF"/>
            </w:tcBorders>
            <w:gridSpan w:val="6"/>
            <w:shd w:val="clear" w:color="auto" w:fill="CCEEFF"/>
          </w:tcPr>
          <w:p>
            <w:pPr>
              <w:jc w:val="center"/>
              <w:ind w:left="150"/>
              <w:spacing w:after="0" w:line="17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7</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5"/>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COMMON STOCK</w:t>
              </w:r>
            </w:hyperlink>
          </w:p>
        </w:tc>
        <w:tc>
          <w:tcPr>
            <w:tcW w:w="400" w:type="dxa"/>
            <w:vAlign w:val="bottom"/>
            <w:gridSpan w:val="6"/>
          </w:tcPr>
          <w:p>
            <w:pPr>
              <w:jc w:val="center"/>
              <w:ind w:left="150"/>
              <w:spacing w:after="0" w:line="17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9</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PREFERRED STOCK</w:t>
              </w:r>
            </w:hyperlink>
          </w:p>
        </w:tc>
        <w:tc>
          <w:tcPr>
            <w:tcW w:w="400" w:type="dxa"/>
            <w:vAlign w:val="bottom"/>
            <w:tcBorders>
              <w:right w:val="single" w:sz="8" w:color="CCEEFF"/>
            </w:tcBorders>
            <w:gridSpan w:val="6"/>
            <w:shd w:val="clear" w:color="auto" w:fill="CCEEFF"/>
          </w:tcPr>
          <w:p>
            <w:pPr>
              <w:jc w:val="center"/>
              <w:ind w:left="130"/>
              <w:spacing w:after="0" w:line="17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10</w:t>
              </w:r>
            </w:hyperlink>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75"/>
        </w:trPr>
        <w:tc>
          <w:tcPr>
            <w:tcW w:w="3140" w:type="dxa"/>
            <w:vAlign w:val="bottom"/>
            <w:tcBorders>
              <w:top w:val="single" w:sz="8" w:color="0000EE"/>
            </w:tcBorders>
            <w:gridSpan w:val="15"/>
          </w:tcPr>
          <w:p>
            <w:pPr>
              <w:spacing w:after="0" w:line="176"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DESCRIPTION OF DEBT SECURITIES</w:t>
              </w:r>
            </w:hyperlink>
          </w:p>
        </w:tc>
        <w:tc>
          <w:tcPr>
            <w:tcW w:w="7460" w:type="dxa"/>
            <w:vAlign w:val="bottom"/>
            <w:tcBorders>
              <w:top w:val="single" w:sz="8" w:color="CCEEFF"/>
            </w:tcBorders>
            <w:gridSpan w:val="10"/>
          </w:tcPr>
          <w:p>
            <w:pPr>
              <w:spacing w:after="0"/>
              <w:rPr>
                <w:sz w:val="15"/>
                <w:szCs w:val="15"/>
                <w:color w:val="auto"/>
              </w:rPr>
            </w:pPr>
          </w:p>
        </w:tc>
        <w:tc>
          <w:tcPr>
            <w:tcW w:w="28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37">
              <w:r>
                <w:rPr>
                  <w:rFonts w:ascii="Arial" w:cs="Arial" w:eastAsia="Arial" w:hAnsi="Arial"/>
                  <w:sz w:val="15"/>
                  <w:szCs w:val="15"/>
                  <w:color w:val="0000EE"/>
                  <w:w w:val="71"/>
                </w:rPr>
                <w:t>12</w:t>
              </w:r>
            </w:hyperlink>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WARRANTS</w:t>
              </w:r>
            </w:hyperlink>
          </w:p>
        </w:tc>
        <w:tc>
          <w:tcPr>
            <w:tcW w:w="400" w:type="dxa"/>
            <w:vAlign w:val="bottom"/>
            <w:tcBorders>
              <w:right w:val="single" w:sz="8" w:color="CCEEFF"/>
            </w:tcBorders>
            <w:gridSpan w:val="6"/>
            <w:shd w:val="clear" w:color="auto" w:fill="CCEEFF"/>
          </w:tcPr>
          <w:p>
            <w:pPr>
              <w:jc w:val="center"/>
              <w:ind w:left="130"/>
              <w:spacing w:after="0" w:line="17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18</w:t>
              </w:r>
            </w:hyperlink>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75"/>
        </w:trPr>
        <w:tc>
          <w:tcPr>
            <w:tcW w:w="248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RIGHTS</w:t>
              </w:r>
            </w:hyperlink>
          </w:p>
        </w:tc>
        <w:tc>
          <w:tcPr>
            <w:tcW w:w="8120" w:type="dxa"/>
            <w:vAlign w:val="bottom"/>
            <w:tcBorders>
              <w:top w:val="single" w:sz="8" w:color="CCEEFF"/>
            </w:tcBorders>
            <w:gridSpan w:val="13"/>
          </w:tcPr>
          <w:p>
            <w:pPr>
              <w:spacing w:after="0"/>
              <w:rPr>
                <w:sz w:val="15"/>
                <w:szCs w:val="15"/>
                <w:color w:val="auto"/>
              </w:rPr>
            </w:pPr>
          </w:p>
        </w:tc>
        <w:tc>
          <w:tcPr>
            <w:tcW w:w="28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44">
              <w:r>
                <w:rPr>
                  <w:rFonts w:ascii="Arial" w:cs="Arial" w:eastAsia="Arial" w:hAnsi="Arial"/>
                  <w:sz w:val="15"/>
                  <w:szCs w:val="15"/>
                  <w:color w:val="0000EE"/>
                  <w:w w:val="71"/>
                </w:rPr>
                <w:t>19</w:t>
              </w:r>
            </w:hyperlink>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UNITS</w:t>
              </w:r>
            </w:hyperlink>
          </w:p>
        </w:tc>
        <w:tc>
          <w:tcPr>
            <w:tcW w:w="400" w:type="dxa"/>
            <w:vAlign w:val="bottom"/>
            <w:tcBorders>
              <w:right w:val="single" w:sz="8" w:color="CCEEFF"/>
            </w:tcBorders>
            <w:gridSpan w:val="6"/>
            <w:shd w:val="clear" w:color="auto" w:fill="CCEEFF"/>
          </w:tcPr>
          <w:p>
            <w:pPr>
              <w:jc w:val="center"/>
              <w:ind w:left="130"/>
              <w:spacing w:after="0" w:line="17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21</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CERTAIN PROVISIONS OF DELAWARE LAW AND OF THE COMPANY’S CERTIFICATE OF INCORPORATION AND BYLAWS</w:t>
              </w:r>
            </w:hyperlink>
          </w:p>
        </w:tc>
        <w:tc>
          <w:tcPr>
            <w:tcW w:w="400" w:type="dxa"/>
            <w:vAlign w:val="bottom"/>
            <w:gridSpan w:val="6"/>
          </w:tcPr>
          <w:p>
            <w:pPr>
              <w:jc w:val="center"/>
              <w:ind w:left="130"/>
              <w:spacing w:after="0" w:line="17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22</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LEGAL MATTERS</w:t>
              </w:r>
            </w:hyperlink>
          </w:p>
        </w:tc>
        <w:tc>
          <w:tcPr>
            <w:tcW w:w="400" w:type="dxa"/>
            <w:vAlign w:val="bottom"/>
            <w:tcBorders>
              <w:right w:val="single" w:sz="8" w:color="CCEEFF"/>
            </w:tcBorders>
            <w:gridSpan w:val="6"/>
            <w:shd w:val="clear" w:color="auto" w:fill="CCEEFF"/>
          </w:tcPr>
          <w:p>
            <w:pPr>
              <w:jc w:val="center"/>
              <w:ind w:left="130"/>
              <w:spacing w:after="0" w:line="17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24</w:t>
              </w:r>
            </w:hyperlink>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75"/>
        </w:trPr>
        <w:tc>
          <w:tcPr>
            <w:tcW w:w="146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EXPERTS</w:t>
              </w:r>
            </w:hyperlink>
          </w:p>
        </w:tc>
        <w:tc>
          <w:tcPr>
            <w:tcW w:w="9140" w:type="dxa"/>
            <w:vAlign w:val="bottom"/>
            <w:tcBorders>
              <w:top w:val="single" w:sz="8" w:color="CCEEFF"/>
            </w:tcBorders>
            <w:gridSpan w:val="20"/>
          </w:tcPr>
          <w:p>
            <w:pPr>
              <w:spacing w:after="0"/>
              <w:rPr>
                <w:sz w:val="15"/>
                <w:szCs w:val="15"/>
                <w:color w:val="auto"/>
              </w:rPr>
            </w:pPr>
          </w:p>
        </w:tc>
        <w:tc>
          <w:tcPr>
            <w:tcW w:w="28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49">
              <w:r>
                <w:rPr>
                  <w:rFonts w:ascii="Arial" w:cs="Arial" w:eastAsia="Arial" w:hAnsi="Arial"/>
                  <w:sz w:val="15"/>
                  <w:szCs w:val="15"/>
                  <w:color w:val="0000EE"/>
                  <w:w w:val="71"/>
                </w:rPr>
                <w:t>24</w:t>
              </w:r>
            </w:hyperlink>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WHERE YOU CAN FIND MORE INFORMATION</w:t>
              </w:r>
            </w:hyperlink>
          </w:p>
        </w:tc>
        <w:tc>
          <w:tcPr>
            <w:tcW w:w="400" w:type="dxa"/>
            <w:vAlign w:val="bottom"/>
            <w:tcBorders>
              <w:right w:val="single" w:sz="8" w:color="CCEEFF"/>
            </w:tcBorders>
            <w:gridSpan w:val="6"/>
            <w:shd w:val="clear" w:color="auto" w:fill="CCEEFF"/>
          </w:tcPr>
          <w:p>
            <w:pPr>
              <w:jc w:val="center"/>
              <w:ind w:left="130"/>
              <w:spacing w:after="0" w:line="17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24</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5"/>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INCORPORATION OF DOCUMENTS BY REFERENCE</w:t>
              </w:r>
            </w:hyperlink>
          </w:p>
        </w:tc>
        <w:tc>
          <w:tcPr>
            <w:tcW w:w="400" w:type="dxa"/>
            <w:vAlign w:val="bottom"/>
            <w:gridSpan w:val="6"/>
          </w:tcPr>
          <w:p>
            <w:pPr>
              <w:jc w:val="center"/>
              <w:ind w:left="130"/>
              <w:spacing w:after="0" w:line="17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24</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document consists of two parts. The first part is this prospectus supplement, which describes the specific terms of the offering and other matters relating to us. The second part is the accompanying prospectus, which provides more general information about the securities we may offer from time to time, some of which may not apply to this offering of Common Stock and pre-funded warrants (and the shares of Common Stock underlying such pre-funded warrants). This prospectus supplement and the accompanying prospectus are part of a registration statement that we filed with the Securities and Exchange Commission (the “SEC”) using the SEC’s shelf registration rules. You should read both this prospectus supplement and the accompanying prospectus, together with the documents incorporated by reference and the additional information described under the heading “Where You Can Find More Information” in this prospectus supplement and the accompanying prospectus before making an investment decision.</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on the other hand, the information contained in this prospectus supplement shall control. If any statement in this prospectus supplement conflicts with any statement in a document that has been incorporated herein by reference, then you should consider only the statement in the more recent document. You should assume that the information contained in this prospectus supplement, the accompanying prospectus and the documents incorporated by reference is accurate only as of their respective dates.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not authorized any person to provide you with any information or to make any representation other than as contained in this prospectus supplement or in the accompanying prospectus and the information incorporated by reference herein and therein. We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distribution of this prospectus supplement and the accompanying prospectus and the offering of the Common Stock and pre-funded warrants (and the shares of Common Stock underlying such pre-funded warrants) in certain jurisdictions may be restricted by law. We are not making an offer of the Common Stock and pre-funded warrants (and the shares of Common Stock underlying such pre-funded warrants)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prospectus supplement and the base prospectus and the documents incorporated by reference in this prospectus include forward-looking statements within the meaning of Section 27A of the Securities Act and Section 21E of the Securities Exchange Act of 1934, as amended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Annual Report on Form 10-K for the fiscal year ended December 31, 2018, entitled “Business,” “Risk Factors,” and “Management’s Discussion and Analysis of Financial Condition and Results of Operations,” as well as other sections in this prospectus and the documents or reports incorporated by reference in this prospectus, discuss some of the factors that could contribute to these differences. These forward-looking statements include, among other things, statements about: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decision by our Board of Directors to pursue a restructuring in the event that our process to identify and evaluate potential business alternatives is not successful;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adverse effects of public health epidemics, including the recent coronavirus outbreak, on our business, results of operations and financial condition;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performance by our Airport Concession Disadvantaged Business Enterprise partners on obligations set forth in our joint venture agreements;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recently passed federal tax reform bill;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loss of, or an adverse change with regard to, one or more of our significant suppliers, distributors, vendors or other business relationships;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changes in such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supplement and the base prospectus and in the documents incorporated by reference herein, particularly in the “Risk Factors” section, that we believe could cause actual results or events to differ materially from the forward-looking statements that we make. For a summary of such factors, please refer to the section entitled “Risk Factors” in this prospectus supplement and the base prospectus, as updated and supplemented by the discussion of risks and uncertainties under “Risk Factors” contained in any supplements to this prospectus supplement and the base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light of these assumptions, risks and uncertainties, the results and events discussed in the forward-looking statements contained in this prospectus supplement and the base prospectus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5790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790565"/>
                    </a:xfrm>
                    <a:prstGeom prst="rect">
                      <a:avLst/>
                    </a:prstGeom>
                    <a:noFill/>
                  </pic:spPr>
                </pic:pic>
              </a:graphicData>
            </a:graphic>
          </wp:anchor>
        </w:drawing>
        <w:t>PROSPECTUS SUPPLEMENT 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is only a summary. We urge you to read the entire prospectus, including the more detailed consolidated financial statements, notes to the consolidated financial statements and other information included herein or incorporated by reference from our other filings with the U.S. Securities and Exchange Commission, or SEC. Investing in our securities involves risks. Therefore, please carefully consider the information provided under the heading “Risk Factors” starting on page S-4.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transition to a pure-play health and wellness services company, we currently have one operating segment that is also our sole reporting unit, XpresSpa, a leading airport retailer of spa services. XpresSpa is a well-recognized airport spa brand with 51 locations, consisting of 46 domestic and 5 international locations as of September 30, 2019. XpresSpa offers travelers premium spa services, including massage, nail and skin care, as well as spa and travel products. During 2018 and 2017, XpresSpa generated $49,294,000 and $48,373,000 of revenue, respectively. In 2018, approximately 83% of XpresSpa’s total revenue was generated by services, primarily massage and nailcare, and 17% was generated by retail products, primarily travel accessories.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October 2017, we completed the sale of FLI Charge, Inc. (“FLI Charge”) and in March 2018, we completed the sale of Group Mobile Int’l LLC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2018, and FLI Charge and Group Mobile as of December 31, 2017, are presented in the consolidated balance sheets as assets held for disposal and liabilities held for disposal,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Update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cash, cash equivalents and marketable securities of approximately $2,184,000.</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estimated cash, cash equivalents, and marketable securities as of December 31, 2019 are preliminary and may change, are based on information available to management as of the date of this prospectus supplement, and are subject to completion by management of the financial statements as of and for the year ended December 31, 2019. There can be no assurance that our cash, cash equivalents, and marketable securities as of December 31, 2019 will not differ from these estimates, including as a result of quarter-end closing and any such changes could be material.</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foregoing preliminary financial data has been prepared by, and is the responsibility of, our management. This data could change as a result of further review. Complete annual results will be included in our Annual Report on Form 10-K for the year ended December 31, 2019.</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00" w:top="918"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5678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678805"/>
                    </a:xfrm>
                    <a:prstGeom prst="rect">
                      <a:avLst/>
                    </a:prstGeom>
                    <a:noFill/>
                  </pic:spPr>
                </pic:pic>
              </a:graphicData>
            </a:graphic>
          </wp:anchor>
        </w:drawing>
        <w:t>Effects of Coronavirus on Business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Similar to many businesses in the travel sector, our business has been materially adversely impacted by the recent coronavirus outbreak and associated restrictions on travel that have been implemented. The extent to which the coronavirus continues to impact our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the coronavirus has spread, we have seen a material decline in demand across all our locations and this has resulted in a materially adverse impact on our cash flows from operations and has caused an immediate liquidity crisis. Accordingly, we are seeking sources of capital to help fund our business operations during the coronavirus crisis. If we are unable to obtain additional funding in the immediate term, we may be required to curtail or terminate some or all of our business operations and cause our Board of Directors to decide to pursue a restructuring, which may include a reorganization or bankruptcy under Federal bankruptcy laws, or a dissolution, liquidation and/or winding up of the Company. Accordingly, holders of our common stock may lose their entire investment in the event of a reorganization, bankruptcy, liquidation, dissolution or winding up of the Company.</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currently exploring sources of capital, including additional indebtedness. We plan to have discussions with our existing lender, B3D, LLC, and additional lenders regarding potential funding options. If additional indebtedness becomes available from sources other than B3D, LLC, the consent of B3D, LLC as our secured lender will be required and, based on past experience, we expect to be required to pay a consent fee to B3D, LLC as consideration for their consent.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Exchange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March 19, 2020, we entered into separate Warrant Exchange Agreements (the “Exchange Agreements”) with the holders of certain existing warrants (the “Exchanged Warrants”) to purchase shares of our Common Stock. The Exchanged Warrants were originally issued (i) pursuant to a securities purchase agreement, dated as of May 15, 2018, and in connection with a related consent and (ii) </w:t>
      </w:r>
      <w:r>
        <w:rPr>
          <w:rFonts w:ascii="Arial" w:cs="Arial" w:eastAsia="Arial" w:hAnsi="Arial"/>
          <w:sz w:val="16"/>
          <w:szCs w:val="16"/>
          <w:color w:val="auto"/>
          <w:highlight w:val="white"/>
        </w:rPr>
        <w:t>in connection with that certain Agreement and Plan of</w:t>
      </w:r>
      <w:r>
        <w:rPr>
          <w:rFonts w:ascii="Arial" w:cs="Arial" w:eastAsia="Arial" w:hAnsi="Arial"/>
          <w:sz w:val="16"/>
          <w:szCs w:val="16"/>
          <w:color w:val="auto"/>
        </w:rPr>
        <w:t xml:space="preserve"> </w:t>
      </w:r>
      <w:r>
        <w:rPr>
          <w:rFonts w:ascii="Arial" w:cs="Arial" w:eastAsia="Arial" w:hAnsi="Arial"/>
          <w:sz w:val="16"/>
          <w:szCs w:val="16"/>
          <w:color w:val="auto"/>
          <w:highlight w:val="white"/>
        </w:rPr>
        <w:t xml:space="preserve">Merger by and among the Company (formerly known as FORM Holdings Corp.), FHXMS, LLC, XpresSpa Holdings, LLC and Mistral XH Representative, LLC, as representative of the unitholders, dated October 25, 2016, as subsequently amended. </w:t>
      </w:r>
      <w:r>
        <w:rPr>
          <w:rFonts w:ascii="Arial" w:cs="Arial" w:eastAsia="Arial" w:hAnsi="Arial"/>
          <w:sz w:val="16"/>
          <w:szCs w:val="16"/>
          <w:color w:val="auto"/>
        </w:rPr>
        <w:t>The Company has begun discussion with</w:t>
      </w:r>
      <w:r>
        <w:rPr>
          <w:rFonts w:ascii="Arial" w:cs="Arial" w:eastAsia="Arial" w:hAnsi="Arial"/>
          <w:sz w:val="16"/>
          <w:szCs w:val="16"/>
          <w:color w:val="auto"/>
          <w:highlight w:val="white"/>
        </w:rPr>
        <w:t xml:space="preserve"> </w:t>
      </w:r>
      <w:r>
        <w:rPr>
          <w:rFonts w:ascii="Arial" w:cs="Arial" w:eastAsia="Arial" w:hAnsi="Arial"/>
          <w:sz w:val="16"/>
          <w:szCs w:val="16"/>
          <w:color w:val="auto"/>
        </w:rPr>
        <w:t xml:space="preserve">Calm.com, Inc. (“Calm”), regarding the potential exchange of warrants held by Calm that were issued pursuant to a securities purchase agreement, dated as of July 8, 2019, by and between the Company and Calm. Pursuant to the Exchange Agreements, on the closing date and subject to (i) the </w:t>
      </w:r>
      <w:r>
        <w:rPr>
          <w:rFonts w:ascii="Arial" w:cs="Arial" w:eastAsia="Arial" w:hAnsi="Arial"/>
          <w:sz w:val="16"/>
          <w:szCs w:val="16"/>
          <w:color w:val="auto"/>
          <w:highlight w:val="white"/>
        </w:rPr>
        <w:t>receipt of</w:t>
      </w:r>
      <w:r>
        <w:rPr>
          <w:rFonts w:ascii="Arial" w:cs="Arial" w:eastAsia="Arial" w:hAnsi="Arial"/>
          <w:sz w:val="16"/>
          <w:szCs w:val="16"/>
          <w:color w:val="auto"/>
        </w:rPr>
        <w:t xml:space="preserve"> </w:t>
      </w:r>
      <w:r>
        <w:rPr>
          <w:rFonts w:ascii="Arial" w:cs="Arial" w:eastAsia="Arial" w:hAnsi="Arial"/>
          <w:sz w:val="16"/>
          <w:szCs w:val="16"/>
          <w:color w:val="auto"/>
          <w:highlight w:val="white"/>
        </w:rPr>
        <w:t>approval of our stockholders as required by the applicable rules and regulations of the Nasdaq Stock Market and (ii) the receipt of approval of our stockholders to increase our authorized shares (collectively, the “Shareholder Approval”)</w:t>
      </w:r>
      <w:r>
        <w:rPr>
          <w:rFonts w:ascii="Arial" w:cs="Arial" w:eastAsia="Arial" w:hAnsi="Arial"/>
          <w:sz w:val="16"/>
          <w:szCs w:val="16"/>
          <w:color w:val="auto"/>
        </w:rPr>
        <w:t>, the holders of Exchanged Warrants would exchange (the</w:t>
      </w:r>
      <w:r>
        <w:rPr>
          <w:rFonts w:ascii="Arial" w:cs="Arial" w:eastAsia="Arial" w:hAnsi="Arial"/>
          <w:sz w:val="16"/>
          <w:szCs w:val="16"/>
          <w:color w:val="auto"/>
          <w:highlight w:val="white"/>
        </w:rPr>
        <w:t xml:space="preserve"> </w:t>
      </w:r>
      <w:r>
        <w:rPr>
          <w:rFonts w:ascii="Arial" w:cs="Arial" w:eastAsia="Arial" w:hAnsi="Arial"/>
          <w:sz w:val="16"/>
          <w:szCs w:val="16"/>
          <w:color w:val="auto"/>
        </w:rPr>
        <w:t>“Exchange”) each Exchanged Warrant for a number of shares of Common Stock equal to the product of (i) the number of shares of Common Stock underlying such Exchanged Warrants and (ii) 1.5 (collectively, the “New Shares”). The closing of the Exchange is expected to take place on the first business day on which the conditions to the closing are satisfied or waived, subject to satisfaction of customary closing conditions.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10001.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xml:space="preserve">. We also operate the website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 incorporation by reference of the information contained on the website.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00" w:top="922" w:right="3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750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750685"/>
                    </a:xfrm>
                    <a:prstGeom prst="rect">
                      <a:avLst/>
                    </a:prstGeom>
                    <a:noFill/>
                  </pic:spPr>
                </pic:pic>
              </a:graphicData>
            </a:graphic>
          </wp:anchor>
        </w:drawing>
        <w:t>THE OFFERING</w:t>
      </w:r>
    </w:p>
    <w:p>
      <w:pPr>
        <w:sectPr>
          <w:pgSz w:w="11900" w:h="16838" w:orient="portrait"/>
          <w:cols w:equalWidth="0" w:num="1">
            <w:col w:w="11080"/>
          </w:cols>
          <w:pgMar w:left="400" w:top="918" w:right="4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offered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4,188,843 shares.</w:t>
      </w:r>
    </w:p>
    <w:p>
      <w:pPr>
        <w:spacing w:after="0" w:line="211" w:lineRule="exact"/>
        <w:rPr>
          <w:sz w:val="20"/>
          <w:szCs w:val="20"/>
          <w:color w:val="auto"/>
        </w:rPr>
      </w:pPr>
    </w:p>
    <w:p>
      <w:pPr>
        <w:sectPr>
          <w:pgSz w:w="11900" w:h="16838" w:orient="portrait"/>
          <w:cols w:equalWidth="0" w:num="2">
            <w:col w:w="1680" w:space="540"/>
            <w:col w:w="8860"/>
          </w:cols>
          <w:pgMar w:left="400" w:top="918" w:right="4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Pre-funded warrants offered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also offering pre-funded warrants to purchase 2,096,873 shares of Common Stock to certain purchasers whose purchase of shares of Common Stock in this offering would otherwise result in the purchaser, together with its affiliates and certain related parties, beneficially owning more than 4.99% (or, at the election of the purchaser, 9.99%) of our outstanding Common Stock immediately following the consummation of this offering, in lieu of shares of Common Stock that would otherwise result in each such purchaser’s beneficial ownership exceeding 4.99% (or, at the election of the purchaser, 9.99%) of our outstanding Common Stock. Each pre-funded warrant is exercisable for one share of our Common Stock. The purchase price of each pre-funded warrant is equal to the price at which the share of Common Stock is being sold to the public in this offering, minus $0.01, and the exercise price of each pre-funded warrant is $0.01 per share. The pre-funded warrants are exercisable immediately and may be exercised at any time until all of the pre-funded warrants are exercised in full. This offering also relates to the shares of Common Stock issuable upon exercise of the pre-funded warrants sold in this offering.</w:t>
      </w:r>
    </w:p>
    <w:p>
      <w:pPr>
        <w:spacing w:after="0" w:line="182" w:lineRule="exact"/>
        <w:rPr>
          <w:sz w:val="20"/>
          <w:szCs w:val="20"/>
          <w:color w:val="auto"/>
        </w:rPr>
      </w:pPr>
    </w:p>
    <w:p>
      <w:pPr>
        <w:sectPr>
          <w:pgSz w:w="11900" w:h="16838" w:orient="portrait"/>
          <w:cols w:equalWidth="0" w:num="2">
            <w:col w:w="2020" w:space="200"/>
            <w:col w:w="8860"/>
          </w:cols>
          <w:pgMar w:left="400" w:top="918" w:right="419" w:bottom="1440" w:gutter="0" w:footer="0" w:header="0"/>
          <w:type w:val="continuous"/>
        </w:sectPr>
      </w:pPr>
    </w:p>
    <w:p>
      <w:pPr>
        <w:spacing w:after="0" w:line="342" w:lineRule="auto"/>
        <w:rPr>
          <w:sz w:val="20"/>
          <w:szCs w:val="20"/>
          <w:color w:val="auto"/>
        </w:rPr>
      </w:pPr>
      <w:r>
        <w:rPr>
          <w:rFonts w:ascii="Arial" w:cs="Arial" w:eastAsia="Arial" w:hAnsi="Arial"/>
          <w:sz w:val="16"/>
          <w:szCs w:val="16"/>
          <w:color w:val="auto"/>
        </w:rPr>
        <w:t>Common stock to be outstanding after the offering</w:t>
      </w:r>
    </w:p>
    <w:p>
      <w:pPr>
        <w:spacing w:after="0" w:line="20" w:lineRule="exact"/>
        <w:rPr>
          <w:sz w:val="20"/>
          <w:szCs w:val="20"/>
          <w:color w:val="auto"/>
        </w:rPr>
      </w:pPr>
      <w:r>
        <w:rPr>
          <w:sz w:val="20"/>
          <w:szCs w:val="20"/>
          <w:color w:val="auto"/>
        </w:rPr>
        <w:br w:type="column"/>
      </w:r>
    </w:p>
    <w:p>
      <w:pPr>
        <w:ind w:right="500"/>
        <w:spacing w:after="0" w:line="342" w:lineRule="auto"/>
        <w:rPr>
          <w:sz w:val="20"/>
          <w:szCs w:val="20"/>
          <w:color w:val="auto"/>
        </w:rPr>
      </w:pPr>
      <w:r>
        <w:rPr>
          <w:rFonts w:ascii="Arial" w:cs="Arial" w:eastAsia="Arial" w:hAnsi="Arial"/>
          <w:sz w:val="16"/>
          <w:szCs w:val="16"/>
          <w:color w:val="auto"/>
        </w:rPr>
        <w:t>22,563,938 shares (assuming no exercise of the pre-funded warrants). Assuming all of the pre-funded warrants were immediately exercised, there would be 24,660,811 shares of our Common Stock outstanding after this offering.</w:t>
      </w:r>
    </w:p>
    <w:p>
      <w:pPr>
        <w:spacing w:after="0" w:line="124" w:lineRule="exact"/>
        <w:rPr>
          <w:sz w:val="20"/>
          <w:szCs w:val="20"/>
          <w:color w:val="auto"/>
        </w:rPr>
      </w:pPr>
    </w:p>
    <w:p>
      <w:pPr>
        <w:sectPr>
          <w:pgSz w:w="11900" w:h="16838" w:orient="portrait"/>
          <w:cols w:equalWidth="0" w:num="2">
            <w:col w:w="2100" w:space="120"/>
            <w:col w:w="8860"/>
          </w:cols>
          <w:pgMar w:left="400" w:top="918" w:right="41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We expect to receive net proceeds of approximately $902,000 from this offering, excluding any proceeds that may be received upon the exercise of the pre-funded warrants, after deducting the estimated offering expenses payable by us, including the financial advisory consultant fees. We intend to use the net proceeds from this offering for general corporate purposes. See “Use of Proceeds.”</w:t>
      </w:r>
    </w:p>
    <w:p>
      <w:pPr>
        <w:spacing w:after="0" w:line="187" w:lineRule="exact"/>
        <w:rPr>
          <w:sz w:val="20"/>
          <w:szCs w:val="20"/>
          <w:color w:val="auto"/>
        </w:rPr>
      </w:pPr>
    </w:p>
    <w:p>
      <w:pPr>
        <w:sectPr>
          <w:pgSz w:w="11900" w:h="16838" w:orient="portrait"/>
          <w:cols w:equalWidth="0" w:num="2">
            <w:col w:w="1500" w:space="720"/>
            <w:col w:w="8860"/>
          </w:cols>
          <w:pgMar w:left="400" w:top="918" w:right="41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Nasdaq Capital Market symbol</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Our Common Stock is listed on Nasdaq under the symbol “XSPA”. We do not intend to list the pre-funded warrants on any securities exchange or nationally recognized trading system.</w:t>
      </w:r>
    </w:p>
    <w:p>
      <w:pPr>
        <w:spacing w:after="0" w:line="170" w:lineRule="exact"/>
        <w:rPr>
          <w:sz w:val="20"/>
          <w:szCs w:val="20"/>
          <w:color w:val="auto"/>
        </w:rPr>
      </w:pPr>
    </w:p>
    <w:p>
      <w:pPr>
        <w:sectPr>
          <w:pgSz w:w="11900" w:h="16838" w:orient="portrait"/>
          <w:cols w:equalWidth="0" w:num="2">
            <w:col w:w="1660" w:space="560"/>
            <w:col w:w="8860"/>
          </w:cols>
          <w:pgMar w:left="400" w:top="918" w:right="41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Investing in our securities involves a high degree of risk. See “Risk Factors” on page S-4 of this prospectus supplement to read about factors you should consider carefully before buying shares of our Common Stock.</w:t>
      </w:r>
    </w:p>
    <w:p>
      <w:pPr>
        <w:spacing w:after="0" w:line="170" w:lineRule="exact"/>
        <w:rPr>
          <w:sz w:val="20"/>
          <w:szCs w:val="20"/>
          <w:color w:val="auto"/>
        </w:rPr>
      </w:pPr>
    </w:p>
    <w:p>
      <w:pPr>
        <w:sectPr>
          <w:pgSz w:w="11900" w:h="16838" w:orient="portrait"/>
          <w:cols w:equalWidth="0" w:num="2">
            <w:col w:w="1500" w:space="720"/>
            <w:col w:w="8860"/>
          </w:cols>
          <w:pgMar w:left="400" w:top="918" w:right="41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Common Stock that will be outstanding after this offering is based on 18,375,095 shares of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18, 2020, and also excludes:</w:t>
      </w:r>
    </w:p>
    <w:p>
      <w:pPr>
        <w:spacing w:after="0" w:line="211" w:lineRule="exact"/>
        <w:rPr>
          <w:sz w:val="20"/>
          <w:szCs w:val="20"/>
          <w:color w:val="auto"/>
        </w:rPr>
      </w:pPr>
    </w:p>
    <w:p>
      <w:pPr>
        <w:ind w:left="640" w:hanging="325"/>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4,695,381 shares of Common Stock issuable as of the date hereof upon the conversion of preferred stock outstanding as of March 18, 2020;</w:t>
      </w:r>
    </w:p>
    <w:p>
      <w:pPr>
        <w:spacing w:after="0" w:line="248" w:lineRule="exact"/>
        <w:rPr>
          <w:rFonts w:ascii="Arial" w:cs="Arial" w:eastAsia="Arial" w:hAnsi="Arial"/>
          <w:sz w:val="16"/>
          <w:szCs w:val="16"/>
          <w:color w:val="auto"/>
        </w:rPr>
      </w:pPr>
    </w:p>
    <w:p>
      <w:pPr>
        <w:ind w:left="640" w:hanging="325"/>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49,528,573 shares of Common Stock issuable as of the date hereof upon the conversion of indebtedness outstanding as of March 18, 2020;</w:t>
      </w:r>
    </w:p>
    <w:p>
      <w:pPr>
        <w:spacing w:after="0" w:line="248" w:lineRule="exact"/>
        <w:rPr>
          <w:rFonts w:ascii="Arial" w:cs="Arial" w:eastAsia="Arial" w:hAnsi="Arial"/>
          <w:sz w:val="16"/>
          <w:szCs w:val="16"/>
          <w:color w:val="auto"/>
        </w:rPr>
      </w:pPr>
    </w:p>
    <w:p>
      <w:pPr>
        <w:ind w:left="640" w:hanging="32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38,385,721 shares of Common Stock issuable as of the date hereof upon the exercise of common stock warrants outstanding as of March 18, 2020 at a weighted average exercise price of $0.175 per share;</w:t>
      </w:r>
    </w:p>
    <w:p>
      <w:pPr>
        <w:spacing w:after="0" w:line="170" w:lineRule="exact"/>
        <w:rPr>
          <w:rFonts w:ascii="Arial" w:cs="Arial" w:eastAsia="Arial" w:hAnsi="Arial"/>
          <w:sz w:val="18"/>
          <w:szCs w:val="18"/>
          <w:color w:val="auto"/>
        </w:rPr>
      </w:pPr>
    </w:p>
    <w:p>
      <w:pPr>
        <w:ind w:left="640" w:hanging="32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162,250 shares of Common Stock issuable as of the date hereof upon the exercise of stock options outstanding as of March 18, 2020 at a weighted average exercise price of $16.40 per share; and</w:t>
      </w:r>
    </w:p>
    <w:p>
      <w:pPr>
        <w:spacing w:after="0" w:line="170" w:lineRule="exact"/>
        <w:rPr>
          <w:rFonts w:ascii="Arial" w:cs="Arial" w:eastAsia="Arial" w:hAnsi="Arial"/>
          <w:sz w:val="18"/>
          <w:szCs w:val="18"/>
          <w:color w:val="auto"/>
        </w:rPr>
      </w:pPr>
    </w:p>
    <w:p>
      <w:pPr>
        <w:ind w:left="640" w:hanging="32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2,249,069 shares of Common Stock available for future issuance under the 2012 Employee, Director and Consultant Equity Incentive Plan, as amended, as of March 18,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this prospectus supplement assumes no exercise of the pre-funded warrants.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400" w:top="918" w:right="41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Investing in our securities involves a high degree of risk. You should carefully consider the risks and uncertainties described below and discussed under the section entitled “Risk Factors” contained in our Annual Report on Form 10-K for the year ended December 31, 2018, which is incorporated by reference in this prospectus supplement, together with all of the other information contained in, or incorporated by reference, in this prospectus supplement and the accompanying prospectus, before purchasing any of our securities. These risks and uncertainties are not the only ones facing us. Additional risks and uncertainties that we are unaware of, or that we currently deem immaterial, also may become important factors that affect us. If any of these risks actually occur, our business, financial condition, results of operations and future prospects could be materially and adversely affected. In that case, the trading price of our Common Stock could decline, and you may lose some or all of your investment.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will need additional financing to fund our operations in the future. If we are unable to obtain additional financing on acceptable terms, we will need to curtail or cease our business plans and operations.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do not have sufficient capital to fund our operations in the long term. As a result, we will need to raise additional capital and/or complete a strategic combination. Additional funds may be raised through the issuance of equity securities and/or debt financing, there being no assurance that any type of financing on terms acceptable to us will be available or otherwise occur. Debt financing must be repaid regardless of whether we generate revenues or cash flows from operations and may be secured by substantially all of our assets. Any equity financing or debt financing that requires the issuance of warrants or other equity securities to the lender would cause the percentage ownership by our current stockholders to be diluted, which dilution may be substantial. Also, any additional equity securities issued may have rights, preferences or privileges senior to those of existing stockholders. If such financing is not available when required or is not available on acceptable terms, we may be required to reduce or eliminate certain business activities, and it may ultimately require us to suspend or cease operations, which could cause investors to lose the entire amount of their investment.</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our process to identify and evaluate potential business alternatives is not successful, our Board of Directors may decide to pursue a restructuring, which may include a reorganization or bankruptcy under Federal bankruptcy laws, or a dissolution, liquidation and/or winding up of the Company.</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can be no assurance that the process to identify and evaluate potential business alternatives will result in a successful alternative for our business. If no transactions with respect to potential business alternatives are identified and completed, our Board of Directors may decide to pursue a restructuring, which may include a reorganization or bankruptcy under Federal bankruptcy laws, or a dissolution, liquidation and/or winding up of the Company. If our Board of Directors were to approve and recommend, and our stockholders were to approve, a dissolution and liquidation of our company, we would be required under Delaware corporate law to pay our outstanding obligations, as well as to make reasonable provisions for contingent and unknown obligations, prior to making any distributions in liquidation to our stockholders. Our commitments and contingent liabilities may include (i) obligations under our employment agreements with certain members of management that provide for severance and other payments following a termination of employment occurring for various reasons, including a change in control of our Company, (ii) various claims and legal actions arising in the ordinary course of business and (iii) non-cancelable lease obligations.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of Directors, in consultation with its advisors, would need to evaluate these matters and make a determination about a reasonable amount to reserve. Accordingly, holders of our Common Stock may lose their entire investment in the event of a reorganization, bankruptcy, liquidation, dissolution or winding up of the Company.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spacing w:after="0" w:line="282" w:lineRule="auto"/>
        <w:rPr>
          <w:sz w:val="20"/>
          <w:szCs w:val="20"/>
          <w:color w:val="auto"/>
        </w:rPr>
      </w:pPr>
      <w:r>
        <w:rPr>
          <w:rFonts w:ascii="Arial" w:cs="Arial" w:eastAsia="Arial" w:hAnsi="Arial"/>
          <w:sz w:val="18"/>
          <w:szCs w:val="18"/>
          <w:b w:val="1"/>
          <w:bCs w:val="1"/>
          <w:color w:val="auto"/>
        </w:rPr>
        <w:t>Our business, results of operations and financial condition has been and may continue to be materially adversely impacted by public health epidemics, including the recent coronavirus outbreak.</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results of operations and financial condition has been and may continue to be materially adversely impacted if a public health epidemic, including the recent coronavirus outbreak, interferes with our ability, or the ability of our employees, workers, contractors, suppliers and other business partners to perform our and their respective responsibilities and obligations relative to the conduct of our business. A public health epidemic, including the coronavirus, poses the risk of disruptions from the temporary closure of third-party suppliers and manufacturers, restrictions on the shipment of our products, restrictions on our employees' and other service providers' ability to travel, the decreased willingness or ability of our customers to travel or to utilize our services and shutdowns that may be requested or mandated by governmental authorities. The extent to which the coronavirus continues to impact our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 AND THIS OFFERING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You will experience immediate and substantial dilution in the net tangible book value per share of the Common Stock you purchase.</w:t>
      </w: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the price per share of our Common Stock being offered is substantially higher than the net tangible book value per share of our Common Stock, you will suffer immediate and substantial dilution in the net tangible book value of the Common Stock you purchase in this offering. As of September 30, 2019, our net tangible book value was approximately $(2,821,000), or $(0.967) per share. Based on a weighted average offering price of $0.172 per share of Common Stock and Pre-Funded Warrant, and our net tangible book value as of September 30, 2019, if you purchase securities in this offering, you will suffer immediate and substantial dilution of $0.38 per share with respect to the net tangible book value of our Common Stock and, assuming all of the pre-funded warrants to purchase 2,096,873 shares of our Common Stock were immediately exercised for cash at an exercise price of $0.01 per share, you would suffer immediate and substantial dilution of $0.378 per share.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no public market for the pre-funded warrants being offered in this offering.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is no established public trading market for the pre-funded warrants being offered in this offering, and we do not expect a market to develop. In addition, we do not intend to apply to list the pre-funded warrants on any securities exchange or nationally recognized trading system, including Nasdaq. Without an active market, the liquidity of the pre-funded warrants will be limited.</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Holders of pre-funded warrants purchased in this offering will have no rights as common stockholders until such holders exercise such pre-funded warrants and acquire our Common Stock.</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Until holders of pre-funded warrants acquire shares of our Common Stock upon exercise of such pre-funded warrants, holders of pre-funded warrants will have no rights with respect to the shares of our Common Stock underlying such pre-funded warrants. Upon exercise of the pre-funded warrants, the holders will be entitled to exercise the rights of a common stockholder only as to matters for which the record date occurs after the exercise date.</w:t>
      </w:r>
    </w:p>
    <w:p>
      <w:pPr>
        <w:spacing w:after="0" w:line="16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We have a significant number of outstanding warrants, some of which contain full-ratchet anti-dilution protection, which may cause significant dilution to our stockholders, have a material adverse impact on the market price of our Common Stock and make it more difficult for us to raise funds through future equity offerings.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18, 2020, we had 18,375,095 shares of Common Stock outstanding. In addition, as of that date we had outstanding warrants to acquire up to 38,385,721 shares of Common Stock. The issuance of shares of Common Stock upon the exercise of warrants would dilute the percentage ownership interest of all stockholders, might dilute the book value per share of our Common Stock and would increase the number of our publicly traded shares, which could depress the market price of our Common Stock.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spacing w:after="0" w:line="301" w:lineRule="auto"/>
        <w:rPr>
          <w:sz w:val="20"/>
          <w:szCs w:val="20"/>
          <w:color w:val="auto"/>
        </w:rPr>
      </w:pPr>
      <w:r>
        <w:rPr>
          <w:rFonts w:ascii="Arial" w:cs="Arial" w:eastAsia="Arial" w:hAnsi="Arial"/>
          <w:sz w:val="16"/>
          <w:szCs w:val="16"/>
          <w:color w:val="auto"/>
        </w:rPr>
        <w:t>Historically, certain of our outstanding warrants contain full-ratchet anti-dilution provisions which, subject to limited exceptions, would reduce the exercise price of the warrants (and increase the number of shares issuable) in the event that we in the future issue Common Stock, or securities convertible into or exercisable to purchase Common Stock at a price per share lower than the exercise price then in effect, to such lower price. The following is an overview of our outstanding instruments that contain such full-ratchet anti-dilution provisions that would be triggered in connection with this offering:</w:t>
      </w:r>
    </w:p>
    <w:p>
      <w:pPr>
        <w:spacing w:after="0" w:line="157" w:lineRule="exact"/>
        <w:rPr>
          <w:sz w:val="20"/>
          <w:szCs w:val="20"/>
          <w:color w:val="auto"/>
        </w:rPr>
      </w:pPr>
    </w:p>
    <w:p>
      <w:pPr>
        <w:jc w:val="both"/>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May 15, 2018, we entered into a securities purchase agreement with certain purchasers, pursuant to which we agreed to issue Class A Warrants to purchase shares of Common Stock, at an exercise price that was subsequently reduced to $0.56 per share (the “Class A Warrants”). The Class A Warrants contain anti-dilution price protection. At an offering price equal to $0.175 per share, the anti-dilution price protection in the Class A Warrants held by purchasers will be triggered in connection with this offering and will result in those Class A Warrants becoming convertible into 26,242,862 shares of Common Stock.</w:t>
      </w:r>
    </w:p>
    <w:p>
      <w:pPr>
        <w:spacing w:after="0" w:line="187"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July 8, 2019, we entered into a securities purchase agreement with Calm.com, Inc., pursuant to which we agreed to sell (i) an aggregate principal amount of $2,500,000 in 5.00% unsecured convertible Notes due 2022 (the “Calm Note”), which are convertible into shares of Series E Convertible Preferred Stock, which shares of Series E Convertible Preferred Stock are convertible into Common Stock and (ii) warrants to purchase 937,500 shares of the Common Stock at an exercise price that was subsequently reduced to $0.56 per share (the “Calm Warrants”). The Calm Note and Calm Warrants each contain anti-dilution price protection. At an offering price equal to $0.175 per share, the anti-dilution price protection in the Calm Note and Calm Warrants will be triggered in connection with this offering and will result in the Calm Note becoming convertible into shares of Series E Convertible Preferred Stock that are convertible into 14,285,715 shares of Common Stock, and the Calm Warrants becoming convertible into 10,714,286 shares of Common Stock.</w:t>
      </w:r>
    </w:p>
    <w:p>
      <w:pPr>
        <w:spacing w:after="0" w:line="178"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July 8, 2019, we entered into an amendment to certain outstanding warrants issued in December 2016 (the “December 2016 Warrants”), in order to, among other things, reduce the exercise price of such warrants, which exercise price was subsequently reduced to $0.56 per share. The December 2016 Warrants contain anti-dilution price protection. At an offering price equal to $0.175 per share, the anti-dilution price protection in the December 2016 Warrants will be triggered in connection with this offering and will result in the December 2016 Warrants becoming convertible into 1,428,573 shares of Common Stock.</w:t>
      </w:r>
    </w:p>
    <w:p>
      <w:pPr>
        <w:spacing w:after="0" w:line="187"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March 6, 2020, we entered into a sixth amendment to our existing credit agreement with B3D, LLC (“B3D”) in order to, among other provisions, amend and restate our existing convertible promissory note (the “B3D Note”) in order to increase the principal amount owed to B3D to $7.9 million. B3D may convert up to $7.0 million in principal and the interest accrued thereon into shares of Common Stock at its option at a conversion price that was subsequently reduced to $0.56 per share. The B3D Note contains anti-dilution price protection. At an offering price equal to $0.175 per share, the anti-dilution price protection in the B3D Note will be triggered in connection with this offering and will result in the B3D Note becoming convertible into 35,142,858 shares of Common Stock.</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the dilutive effects described above, the perceived risk of dilution as a result of the significant number of outstanding warrants may cause our common stockholders to be more inclined to sell their shares, which would contribute to a downward movement in the price of our Common Stock. Moreover, the perceived risk of dilution and the resulting downward pressure on our Common Stock price could encourage investors to engage in short sales of our Common Stock, which could further contribute to price declines in our Common Stock. The fact that our stockholders and warrant holders can sell substantial amounts of our Common Stock in the public market, whether or not sales have occurred or are occurring, as well as the existence of full-ratchet anti-dilution provisions in our warrants, could make it more difficult for us to raise additional funds through the sale of equity or equity-related securities in the future at a time and price that we deem reasonable or appropriate, or at all.</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sell shares of our Common Stock in future financings, stockholders may experience immediate dilution and, as a result, our stock price may decline.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financings or similar arrangements in the future, including the issuance of debt securities, preferred stock or Common Stock. If we issue Common Stock or securities convertible or exercisable into Common Stock, our common stockholders would experience additional dilution and, as a result, our stock price may decline.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both"/>
        <w:ind w:right="20"/>
        <w:spacing w:after="0" w:line="282" w:lineRule="auto"/>
        <w:rPr>
          <w:sz w:val="20"/>
          <w:szCs w:val="20"/>
          <w:color w:val="auto"/>
        </w:rPr>
      </w:pPr>
      <w:r>
        <w:rPr>
          <w:rFonts w:ascii="Arial" w:cs="Arial" w:eastAsia="Arial" w:hAnsi="Arial"/>
          <w:sz w:val="18"/>
          <w:szCs w:val="18"/>
          <w:b w:val="1"/>
          <w:bCs w:val="1"/>
          <w:color w:val="auto"/>
        </w:rPr>
        <w:t>We will have broad discretion in how we use the net proceeds of this offering. We may not use these proceeds effectively, which could affect our results of operations and cause our stock price to decline.</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will have considerable discretion in the application of the net proceeds of this offering, including for any of the purposes described in the section entitled “Use of Proceeds.” We intend to use the net proceeds from this offering for general corporate purposes.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trading market for our Common Stock may not be sustained.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our Common Stock is listed on the Nasdaq, the market for our Common Stock has demonstrated varying levels of trading activity. Furthermore, the current level of trading may not be sustained in the future. The lack of an active market for our Common Stock may impair investors’ ability to sell their shares at the time they wish to sell them or at a price that they consider reasonable, may reduce the fair market value of their shares and may impair our ability to raise capital to continue to fund operations by selling shares and may impair our ability to acquire additional intellectual property assets by using our shares as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subject to substantial volatility, and stockholders may lose all or a substantial part of their investment.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Common Stock currently trades on Nasdaq. There is limited public float, and trading volume historically has been low and sporadic. As a result, the market price for our Common Stock may not necessarily be a reliable indicator of our fair market value. The price at which our Common Stock trades may fluctuate as a result of a number of factors, including the number of shares available for sale in the market, quarterly variations in our operating results, actual or anticipated announcements of new releases by us or competitors, the gain or loss of significant customers, changes in the estimates of our operating performance, market conditions in our industry and the economy as a whole.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failure to meet the continued listing requirements of The Nasdaq Capital Market could result in a delisting of our Common Stock.</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continued listing standards of Nasdaq provide, among other things, that a company may be delisted if the bid price of its stock drops below $1.00 for a period of 30 consecutive business days or if stockholders’ equity is less than $2.5 million. On January 2, 2020, we received a deficiency letter from The Nasdaq Stock Market which provided us a grace period of 180 calendar days, or until June 30, 2020, to regain compliance with the minimum bid price requirement. If we fail to regain compliance on or prior to June 30, 2020, we may be eligible for an additional 180 day compliance period. Additionally, if we fail to comply with any other continued listing standards of Nasdaq, our Common Stock will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If we seek to implement a reverse stock split in order to remain listed on The Nasdaq Capital Market, the announcement and/or implementation of a reverse stock split could significantly negatively affect the price of our Common Stock.</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While we have exercised diligent efforts to maintain the listing of our Common Stock on Nasdaq, there can be no assurance that we will be able to continue to meet the continuing listing requirements of The Nasdaq Capital Market. If we are unable to meet the continuing listing requirements, Nasdaq may take steps to delist our Common Stock. Such a delisting would likely have a negative effect on the price of our Common Stock and would impair your ability to sell or purchase our Common Stock when you wish to do so. Further, if we were to be delisted from The Nasdaq Capital Market, our Common Stock would cease to be recognized as covered securities and we would be subject to regulation in each state in which we offer our securities.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Common Stock becomes subject to the penny stock rules, it may be more difficult to sell our Common Stock.</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The OTC Bulletin Board does not meet such requirements and if the price of our Common Stock is less than $5.00 and our Common Stock is no longer listed on a national securities exchange such as Nasdaq, our stock may be deemed a penny stock. The penny stock rules require a broker-dealer, at least two business days prior to a transaction in a penny stock not otherwise exempt from those rules, to deliver to the customer a standardized risk disclosure document containing specified information and to obtain from the customer a signed and date acknowledgment of receipt of that document. In addition, the penny stock rules require that prior to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6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Because we do not anticipate paying any cash dividends on our Common Stock in the foreseeable future, capital appreciation, if any, will be your sole source of gain.</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never paid or declared any cash dividends on our Common Stock. We currently intend to retain earnings, if any, to finance the growth and development of our business and we do not anticipate paying any cash dividends in the foreseeable future. As a result, only appreciation of the price of our Common Stock will provide a return to our stockholders.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receive net proceeds of approximately $902,000 from this offering, after deducting estimated offering expenses payable by us, including the financial advisory consultant fees, and excluding the proceeds, if any, from the exercise of the pre-funded warrants issued in this offering. We intend to use the net proceeds from this offering for general corporate purposes.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declared or paid any cash dividends on our Common Stock and do not expect to pay any cash dividends for the foreseeable future. We intend to use future earnings, if any, in the operation and expansion of our business. Any future determination relating to our dividend policy will be made at the discretion of our board of directors, based on our financial condition, results of operations, contractual restrictions, capital requirements, business properties, restrictions imposed by applicable law and other factors our board of directors may deem relevant.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2019, our net tangible book value was approximately $(2,821,000), or $(0.967) per share of our Common Stock. Net tangible book value per share represents the amount of our total tangible assets less our total liabilities, divided by the total number of shares of our Common Stock outstanding as of September 30, 2019.</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 forma net tangible book value as of September 30, 2019 was $(2,821,000) million, or $(0.154) per share of our Common Stock. Pro forma net tangible book value per share represents total tangible assets less total liabilities, divided by the number of shares of our Common Stock outstanding as of September 30, 2019, after giving effect to the issuance of an aggregate of 15,456,926 shares of common stock upon conversion of existing preferred stock or indebtedness subsequent to September 30, 2019.</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After giving effect to the sale of 4,188,843 shares of our Common Stock and pre-funded warrants to purchase up to 2,096,873 shares of Common Stock in this offering at an offering price of $0.175 per share of Common Stock and $0.165 per pre-funded warrant, and after deducting estimated offering expenses payable by us, and excluding the proceeds, if any, from the exercise of the pre-funded warrants issued in this offering, our net tangible book value as of September 30, 2019 would have been approximately $(1,919,000) million, or $(0.208) per share of Common Stock. This represents an immediate increase in net tangible book value of $(0.759) per share to our existing stockholders and immediate dilution in net tangible book value of $0.38 per share to investors participating in this offering. The following table illustrates this dilution per share of Common Stock to investors participating in this offering: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Public offering price per share</w:t>
            </w: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0.172</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Net tangible book value per share as of September 30, 2019</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70"/>
              <w:spacing w:after="0"/>
              <w:rPr>
                <w:sz w:val="20"/>
                <w:szCs w:val="20"/>
                <w:color w:val="auto"/>
              </w:rPr>
            </w:pPr>
            <w:r>
              <w:rPr>
                <w:rFonts w:ascii="Arial" w:cs="Arial" w:eastAsia="Arial" w:hAnsi="Arial"/>
                <w:sz w:val="18"/>
                <w:szCs w:val="18"/>
                <w:color w:val="auto"/>
              </w:rPr>
              <w:t>(0.967)</w:t>
            </w:r>
          </w:p>
        </w:tc>
        <w:tc>
          <w:tcPr>
            <w:tcW w:w="880" w:type="dxa"/>
            <w:vAlign w:val="bottom"/>
          </w:tcPr>
          <w:p>
            <w:pPr>
              <w:spacing w:after="0"/>
              <w:rPr>
                <w:sz w:val="18"/>
                <w:szCs w:val="18"/>
                <w:color w:val="auto"/>
              </w:rPr>
            </w:pPr>
          </w:p>
        </w:tc>
      </w:tr>
      <w:tr>
        <w:trPr>
          <w:trHeight w:val="23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pro forma adjustments</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0.889</w:t>
            </w:r>
          </w:p>
        </w:tc>
        <w:tc>
          <w:tcPr>
            <w:tcW w:w="880" w:type="dxa"/>
            <w:vAlign w:val="bottom"/>
            <w:shd w:val="clear" w:color="auto" w:fill="CCEEFF"/>
          </w:tcPr>
          <w:p>
            <w:pPr>
              <w:spacing w:after="0"/>
              <w:rPr>
                <w:sz w:val="19"/>
                <w:szCs w:val="19"/>
                <w:color w:val="auto"/>
              </w:rPr>
            </w:pPr>
          </w:p>
        </w:tc>
      </w:tr>
      <w:tr>
        <w:trPr>
          <w:trHeight w:val="209"/>
        </w:trPr>
        <w:tc>
          <w:tcPr>
            <w:tcW w:w="7240" w:type="dxa"/>
            <w:vAlign w:val="bottom"/>
          </w:tcPr>
          <w:p>
            <w:pPr>
              <w:spacing w:after="0"/>
              <w:rPr>
                <w:sz w:val="20"/>
                <w:szCs w:val="20"/>
                <w:color w:val="auto"/>
              </w:rPr>
            </w:pPr>
            <w:r>
              <w:rPr>
                <w:rFonts w:ascii="Arial" w:cs="Arial" w:eastAsia="Arial" w:hAnsi="Arial"/>
                <w:sz w:val="18"/>
                <w:szCs w:val="18"/>
                <w:color w:val="auto"/>
              </w:rPr>
              <w:t>Pro forma net tangible book value per share as of September 30, 2019</w:t>
            </w:r>
          </w:p>
        </w:tc>
        <w:tc>
          <w:tcPr>
            <w:tcW w:w="13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(0.078)</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this offering</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0.759</w:t>
            </w:r>
          </w:p>
        </w:tc>
        <w:tc>
          <w:tcPr>
            <w:tcW w:w="880" w:type="dxa"/>
            <w:vAlign w:val="bottom"/>
            <w:shd w:val="clear" w:color="auto" w:fill="CCEEFF"/>
          </w:tcPr>
          <w:p>
            <w:pPr>
              <w:spacing w:after="0"/>
              <w:rPr>
                <w:sz w:val="18"/>
                <w:szCs w:val="18"/>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Adjusted net tangible book value per share after giving effect to the offering</w:t>
            </w: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(0.208)</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illustration does not reflect the potential dilution from (i) the exercise of pre-funded warrants to purchase up to 2,096,873 shares of Common Stock and (ii) the exercise of outstanding options or warrants to purchase shares of our Common Stock.</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Assuming all of the pre-funded warrants to purchase up to 2,096,873 shares of Common Stock were immediately exercised for cash at an exercise price of $0.01 per share, our as adjusted net tangible book value as of September 30, 2019 would be $(1,898,000) million, or $(0.206) per share of Common Stock. This amount represents an immediate increase in as adjusted net tangible book value of $(0.001) per share to our existing stockholders and an immediate dilution of $0.378 per share to investors participating in this offering.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DESCRIPTION OF THE SECURITIES WE ARE OFFERING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offering shares of our Common Stock and pre-funded warrants. The following description of our Common Stock and pre-funded warrants summarizes the material terms and provisions thereof, including the material terms of the Common Stock and pre-funded warrants we are offering under this prospectus supplement and the accompanying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“Description of Common Stock” on page 9 of the accompanying prospectus for a description of the material terms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summary of certain terms and provisions of pre-funded warrants that are being offered hereby is not complete and is subject to, and qualified in its entirety by, the provisions of the pre-funded warrant, the form of which is filed as an exhibit to our Current Report on Form 8-K filed with the SEC on March 19, 2020. Prospective investors should carefully review the terms and provisions of the form of pre-funded warrant for a complete description of the terms and conditions of the pre-funded warrants.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Duration and Exercise Price. </w:t>
      </w:r>
      <w:r>
        <w:rPr>
          <w:rFonts w:ascii="Arial" w:cs="Arial" w:eastAsia="Arial" w:hAnsi="Arial"/>
          <w:sz w:val="18"/>
          <w:szCs w:val="18"/>
          <w:color w:val="auto"/>
        </w:rPr>
        <w:t>Each pre-funded warrant offered hereby has an initial exercise price per share equal to $0.01. The pre-funded warrants are</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Exercisability. </w:t>
      </w:r>
      <w:r>
        <w:rPr>
          <w:rFonts w:ascii="Arial" w:cs="Arial" w:eastAsia="Arial" w:hAnsi="Arial"/>
          <w:sz w:val="17"/>
          <w:szCs w:val="17"/>
          <w:color w:val="auto"/>
        </w:rPr>
        <w:t>The pre-funded warrants are exercisable, at the option of each holder, in whole or in part, by delivering to us a duly executed exercise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accompanied by payment in full for the number of shares of our Common Stock purchased upon such exercise (except in the case of a cashless exercise as discussed below). Purchasers of the pre-funded warrants in this offering may elect to deliver their exercise notice following the pricing of the offering and prior to the issuance of the pre-funded warrants at closing to have their pre-funded warrants exercised immediately upon issuance and receive shares of Common Stock underlying the pre-funded warrants upon closing of this offering. A holder (together with its affiliates) may not exercise any portion of the pre-funded warrant to the extent that the holder would own more than 4.99% of the outstanding Common Stock immediately after exercise, except that upon at least 61 days’ prior notice from the holder to us, the holder may increase the amount of ownership of outstanding Common Stock after exercising the holder’s pre-funded warrants up to 9.99% of the number of shares of our Common Stock outstanding immediately after giving effect to the exercise, as such percentage ownership is determined in accordance with the terms of the pre-funded warrants. Purchasers of pre-funded warrants in this offering may also elect prior to the issuance of the pre-funded warrants to have the initial exercise limitation set at 9.99% of our outstanding Common Stock. No fractional shares of Common Stock will be issued in connection with the exercise of a pre-funded warrant. In lieu of fractional shares, we will round down to the next whole share.</w:t>
      </w:r>
    </w:p>
    <w:p>
      <w:pPr>
        <w:spacing w:after="0" w:line="1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Cashless Exercise. </w:t>
      </w:r>
      <w:r>
        <w:rPr>
          <w:rFonts w:ascii="Arial" w:cs="Arial" w:eastAsia="Arial" w:hAnsi="Arial"/>
          <w:sz w:val="16"/>
          <w:szCs w:val="16"/>
          <w:color w:val="auto"/>
        </w:rPr>
        <w:t>If, at the time a holder exercises its pre-funded warrants, a registration statement registering the issuance of the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underlying the pre-funded warrants under the Securities Act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pre-funded warrants.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Subject to applicable laws, a pre-funded warrant may be transferred at the option of the holder upon surrender of the pre-funded warrant to</w:t>
      </w:r>
      <w:r>
        <w:rPr>
          <w:rFonts w:ascii="Arial" w:cs="Arial" w:eastAsia="Arial" w:hAnsi="Arial"/>
          <w:sz w:val="18"/>
          <w:szCs w:val="18"/>
          <w:i w:val="1"/>
          <w:iCs w:val="1"/>
          <w:color w:val="auto"/>
        </w:rPr>
        <w:t xml:space="preserve"> </w:t>
      </w:r>
      <w:r>
        <w:rPr>
          <w:rFonts w:ascii="Arial" w:cs="Arial" w:eastAsia="Arial" w:hAnsi="Arial"/>
          <w:sz w:val="18"/>
          <w:szCs w:val="18"/>
          <w:color w:val="auto"/>
        </w:rPr>
        <w:t>us together with the appropriate instruments of transfer.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There is no trading market available for the pre-funded warrants on any securities exchange or nationally recognized trading system. We</w:t>
      </w:r>
      <w:r>
        <w:rPr>
          <w:rFonts w:ascii="Arial" w:cs="Arial" w:eastAsia="Arial" w:hAnsi="Arial"/>
          <w:sz w:val="18"/>
          <w:szCs w:val="18"/>
          <w:i w:val="1"/>
          <w:iCs w:val="1"/>
          <w:color w:val="auto"/>
        </w:rPr>
        <w:t xml:space="preserve"> </w:t>
      </w:r>
      <w:r>
        <w:rPr>
          <w:rFonts w:ascii="Arial" w:cs="Arial" w:eastAsia="Arial" w:hAnsi="Arial"/>
          <w:sz w:val="18"/>
          <w:szCs w:val="18"/>
          <w:color w:val="auto"/>
        </w:rPr>
        <w:t>do not intend to list the pre-funded warrants on any securities exchange or nationally recognized trading system.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i w:val="1"/>
          <w:iCs w:val="1"/>
          <w:color w:val="auto"/>
        </w:rPr>
        <w:t>Right as a Stockholder</w:t>
      </w:r>
      <w:r>
        <w:rPr>
          <w:rFonts w:ascii="Arial" w:cs="Arial" w:eastAsia="Arial" w:hAnsi="Arial"/>
          <w:sz w:val="18"/>
          <w:szCs w:val="18"/>
          <w:color w:val="auto"/>
        </w:rPr>
        <w:t>. Except as otherwise provided in the pre-funded warrants or by virtue of such holder’s ownership of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 holders of the pre-funded warrants do not have the rights or privileges of holders of our Common Stock, including any voting rights, until they exercise their pre-funded warrants.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Fundamental Transaction. </w:t>
      </w:r>
      <w:r>
        <w:rPr>
          <w:rFonts w:ascii="Arial" w:cs="Arial" w:eastAsia="Arial" w:hAnsi="Arial"/>
          <w:sz w:val="17"/>
          <w:szCs w:val="17"/>
          <w:color w:val="auto"/>
        </w:rPr>
        <w:t>In the event of a fundamental transaction, as described in the pre-funded warrants and generally including any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engaged Palladium Capital Advisors LLC as a financial advisory consultant in connection with this offering. Palladium Capital Advisors LLC has no commitment to buy any of the securities. We will enter into a securities purchase agreement directly with investors in connection with this offering and we may not sell the entire amount of shares of our Common Stock and pre-funded warrants offered pursuant to this prospectus supplement. We will make offers only to a limited number of qualified institutional buyers and accredited investors.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agreed to indemnify the financial advisory consultant against specified liabilities relating to or arising out of the consultant’s activities as financial advisory consultant.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pay the financial advisory consultant a cash fee equal to 8% of the aggregate gross proceeds from the offering. The following table shows the per share and total cash fees we will pay to the financial advisory consultant in connection with the sale of the shares of our Common Stock and Pre-Funded Warrants offered pursuant to this prospectus supplement and the accompanying prospectus, assuming the purchase of all of the shares and Pre-Funded Warrants offered hereby.</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Per Share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Per Pre-Funded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Common Stock</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Warrant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1,100,000.32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Advisory fees(1)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0.014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0.0132</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88,000.00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0.1518</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1,012,000.32</w:t>
            </w: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estimate that the total expenses of the offering payable by us, excluding the financial advisory consultant fees, will be approximately $110,000, which includes certain legal fees and expenses that we have agreed to reimburse the financial advisory consultant in connection with this offering.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legal matters relating to the issuance of the securities offered by this prospectus supplement will be passed upon for us by Mintz, Levin, Cohn, Ferris, Glovsky and Popeo, P.C.,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Our consolidated financial statements appearing in our Annual Report on </w:t>
      </w:r>
      <w:hyperlink r:id="rId29">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2018 have been audited by CohnReznick LLP, an independent registered public accounting firm, as stated in their report, which is incorporated herein by reference. Such consolidated financial statements have been so incorporated in reliance upon the report of such firm (which report expresses an unqualified opinion and includes an explanatory paragraph regarding the Company’s going concern uncertainty) given upon their authority as experts in auditing and accounting.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We file annual, quarterly and other periodic reports, proxy statements and other information with the SEC. You can read our SEC filings over the Internet at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You may also read and copy any document we file with the SEC at its public reference facilities at 100 F Street NE,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Internet address is www.xpresspa.com. There we make available free of charge, on or through the investor relations section of our website, annual reports on Form 10-K, quarterly reports on Form 10-Q, current reports on Form 8-K and amendments to those reports filed pursuant to Section 13(a) or 15(d) of the Securities Exchange Act of 1934, as amended (the “Exchange Act”), as soon as reasonably practicable after we electronically file such material with the SEC. The information found on our website is not part of this prospectus supplement or the accompanying prospectus.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“incorporating by reference” specific documents that we file with the SEC, which means that we can disclose important information to you by referring you to those documents that are considered part of this prospectus supplement and the accompanying prospectus. Information that we file subsequently with the SEC will automatically update and supersede this information. We incorporate by reference the documents listed below, and any documents that we file with the SEC under Section 13(a), 13(c), 14 or 15(d) of the Exchange Act, after the date of this prospectus supplement until the termination of the offering of all of the securities registered pursuant to the registration statement of which the accompanying prospectus is a part (excluding any portions of such documents that have been “furnished” but not “filed” for purposes of the Exchange Act):</w:t>
      </w:r>
    </w:p>
    <w:p>
      <w:pPr>
        <w:spacing w:after="0" w:line="178"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0000EE"/>
        </w:rPr>
      </w:pPr>
      <w:hyperlink r:id="rId31">
        <w:r>
          <w:rPr>
            <w:rFonts w:ascii="Arial" w:cs="Arial" w:eastAsia="Arial" w:hAnsi="Arial"/>
            <w:sz w:val="18"/>
            <w:szCs w:val="18"/>
            <w:color w:val="auto"/>
          </w:rPr>
          <w:t xml:space="preserve">our Annual Report on </w:t>
        </w:r>
        <w:r>
          <w:rPr>
            <w:rFonts w:ascii="Arial" w:cs="Arial" w:eastAsia="Arial" w:hAnsi="Arial"/>
            <w:sz w:val="18"/>
            <w:szCs w:val="18"/>
            <w:u w:val="single" w:color="auto"/>
            <w:color w:val="0000EE"/>
          </w:rPr>
          <w:t>Form 10-K</w:t>
        </w:r>
        <w:r>
          <w:rPr>
            <w:rFonts w:ascii="Arial" w:cs="Arial" w:eastAsia="Arial" w:hAnsi="Arial"/>
            <w:sz w:val="18"/>
            <w:szCs w:val="18"/>
            <w:color w:val="auto"/>
          </w:rPr>
          <w:t xml:space="preserve"> for the year ended December 31, 2018, filed with the SEC on April 1, 2019 and </w:t>
        </w:r>
        <w:r>
          <w:rPr>
            <w:rFonts w:ascii="Arial" w:cs="Arial" w:eastAsia="Arial" w:hAnsi="Arial"/>
            <w:sz w:val="18"/>
            <w:szCs w:val="18"/>
            <w:u w:val="single" w:color="auto"/>
            <w:color w:val="0000EE"/>
          </w:rPr>
          <w:t>Amendment No. 1 to our</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Annual Report on Form 10-K</w:t>
        </w:r>
        <w:r>
          <w:rPr>
            <w:rFonts w:ascii="Arial" w:cs="Arial" w:eastAsia="Arial" w:hAnsi="Arial"/>
            <w:sz w:val="18"/>
            <w:szCs w:val="18"/>
            <w:color w:val="0000EE"/>
          </w:rPr>
          <w:t xml:space="preserve"> </w:t>
        </w:r>
        <w:r>
          <w:rPr>
            <w:rFonts w:ascii="Arial" w:cs="Arial" w:eastAsia="Arial" w:hAnsi="Arial"/>
            <w:sz w:val="18"/>
            <w:szCs w:val="18"/>
            <w:color w:val="000000"/>
          </w:rPr>
          <w:t>for the year ended December 31, 2018 filed with the SEC on April 30, 2019;</w:t>
        </w:r>
      </w:hyperlink>
    </w:p>
    <w:p>
      <w:pPr>
        <w:spacing w:after="0" w:line="170" w:lineRule="exact"/>
        <w:rPr>
          <w:rFonts w:ascii="Arial" w:cs="Arial" w:eastAsia="Arial" w:hAnsi="Arial"/>
          <w:sz w:val="18"/>
          <w:szCs w:val="18"/>
          <w:color w:val="0000EE"/>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32">
        <w:r>
          <w:rPr>
            <w:rFonts w:ascii="Arial" w:cs="Arial" w:eastAsia="Arial" w:hAnsi="Arial"/>
            <w:sz w:val="18"/>
            <w:szCs w:val="18"/>
            <w:u w:val="single" w:color="auto"/>
            <w:color w:val="0000EE"/>
          </w:rPr>
          <w:t>March 31, 2019</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June 30,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4">
        <w:r>
          <w:rPr>
            <w:rFonts w:ascii="Arial" w:cs="Arial" w:eastAsia="Arial" w:hAnsi="Arial"/>
            <w:sz w:val="18"/>
            <w:szCs w:val="18"/>
            <w:u w:val="single" w:color="auto"/>
            <w:color w:val="0000EE"/>
          </w:rPr>
          <w:t>September 30, 2019</w:t>
        </w:r>
      </w:hyperlink>
      <w:r>
        <w:rPr>
          <w:rFonts w:ascii="Arial" w:cs="Arial" w:eastAsia="Arial" w:hAnsi="Arial"/>
          <w:sz w:val="18"/>
          <w:szCs w:val="18"/>
          <w:color w:val="auto"/>
        </w:rPr>
        <w:t>, filed on May 15, 2019, August 14, 2019 and November 14, 2019, respectively;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definitive </w:t>
      </w:r>
      <w:hyperlink r:id="rId35">
        <w:r>
          <w:rPr>
            <w:rFonts w:ascii="Arial" w:cs="Arial" w:eastAsia="Arial" w:hAnsi="Arial"/>
            <w:sz w:val="18"/>
            <w:szCs w:val="18"/>
            <w:u w:val="single" w:color="auto"/>
            <w:color w:val="0000EE"/>
          </w:rPr>
          <w:t>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relating to our 2019 annual meeting of stockholders filed on August 12, 2019;</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36">
        <w:r>
          <w:rPr>
            <w:rFonts w:ascii="Arial" w:cs="Arial" w:eastAsia="Arial" w:hAnsi="Arial"/>
            <w:sz w:val="18"/>
            <w:szCs w:val="18"/>
            <w:u w:val="single" w:color="auto"/>
            <w:color w:val="0000EE"/>
          </w:rPr>
          <w:t>February 13, 2019</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February 22, 2019</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EE"/>
          </w:rPr>
          <w:t>March 15, 2019</w:t>
        </w:r>
      </w:hyperlink>
      <w:r>
        <w:rPr>
          <w:rFonts w:ascii="Arial" w:cs="Arial" w:eastAsia="Arial" w:hAnsi="Arial"/>
          <w:sz w:val="18"/>
          <w:szCs w:val="18"/>
          <w:color w:val="auto"/>
        </w:rPr>
        <w:t xml:space="preserve">, </w:t>
      </w:r>
      <w:hyperlink r:id="rId39">
        <w:r>
          <w:rPr>
            <w:rFonts w:ascii="Arial" w:cs="Arial" w:eastAsia="Arial" w:hAnsi="Arial"/>
            <w:sz w:val="18"/>
            <w:szCs w:val="18"/>
            <w:u w:val="single" w:color="auto"/>
            <w:color w:val="0000EE"/>
          </w:rPr>
          <w:t>March 22, 2019</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EE"/>
          </w:rPr>
          <w:t>April 30, 2019</w:t>
        </w:r>
      </w:hyperlink>
      <w:r>
        <w:rPr>
          <w:rFonts w:ascii="Arial" w:cs="Arial" w:eastAsia="Arial" w:hAnsi="Arial"/>
          <w:sz w:val="18"/>
          <w:szCs w:val="18"/>
          <w:color w:val="auto"/>
        </w:rPr>
        <w:t xml:space="preserve">, </w:t>
      </w:r>
      <w:hyperlink r:id="rId41">
        <w:r>
          <w:rPr>
            <w:rFonts w:ascii="Arial" w:cs="Arial" w:eastAsia="Arial" w:hAnsi="Arial"/>
            <w:sz w:val="18"/>
            <w:szCs w:val="18"/>
            <w:u w:val="single" w:color="auto"/>
            <w:color w:val="0000EE"/>
          </w:rPr>
          <w:t>May 17,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17,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27,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July 8,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August 26,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September 6,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October 3,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January 3,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January 14,</w:t>
        </w:r>
      </w:hyperlink>
      <w:r>
        <w:rPr>
          <w:rFonts w:ascii="Arial" w:cs="Arial" w:eastAsia="Arial" w:hAnsi="Arial"/>
          <w:sz w:val="18"/>
          <w:szCs w:val="18"/>
          <w:color w:val="0000EE"/>
        </w:rPr>
        <w:t xml:space="preserve"> </w:t>
      </w:r>
      <w:hyperlink r:id="rId41">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2">
        <w:r>
          <w:rPr>
            <w:rFonts w:ascii="Arial" w:cs="Arial" w:eastAsia="Arial" w:hAnsi="Arial"/>
            <w:sz w:val="18"/>
            <w:szCs w:val="18"/>
            <w:u w:val="single" w:color="auto"/>
            <w:color w:val="0000EE"/>
          </w:rPr>
          <w:t>February 3, 2020</w:t>
        </w:r>
      </w:hyperlink>
      <w:hyperlink r:id="rId4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3">
        <w:r>
          <w:rPr>
            <w:rFonts w:ascii="Arial" w:cs="Arial" w:eastAsia="Arial" w:hAnsi="Arial"/>
            <w:sz w:val="18"/>
            <w:szCs w:val="18"/>
            <w:u w:val="single" w:color="auto"/>
            <w:color w:val="0000EE"/>
          </w:rPr>
          <w:t xml:space="preserve">March 6, 2020 </w:t>
        </w:r>
      </w:hyperlink>
      <w:hyperlink r:id="rId41">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44">
        <w:r>
          <w:rPr>
            <w:rFonts w:ascii="Arial" w:cs="Arial" w:eastAsia="Arial" w:hAnsi="Arial"/>
            <w:sz w:val="18"/>
            <w:szCs w:val="18"/>
            <w:u w:val="single" w:color="auto"/>
            <w:color w:val="0000EE"/>
          </w:rPr>
          <w:t xml:space="preserve">March 19, 2020 </w:t>
        </w:r>
      </w:hyperlink>
      <w:hyperlink r:id="rId41">
        <w:r>
          <w:rPr>
            <w:rFonts w:ascii="Arial" w:cs="Arial" w:eastAsia="Arial" w:hAnsi="Arial"/>
            <w:sz w:val="18"/>
            <w:szCs w:val="18"/>
            <w:color w:val="000000"/>
          </w:rPr>
          <w:t>(except for the information furnished under Items 2.02 or 7.01 and the exhibits</w:t>
        </w:r>
      </w:hyperlink>
      <w:r>
        <w:rPr>
          <w:rFonts w:ascii="Arial" w:cs="Arial" w:eastAsia="Arial" w:hAnsi="Arial"/>
          <w:sz w:val="18"/>
          <w:szCs w:val="18"/>
          <w:color w:val="0000EE"/>
        </w:rPr>
        <w:t xml:space="preserve"> </w:t>
      </w:r>
      <w:r>
        <w:rPr>
          <w:rFonts w:ascii="Arial" w:cs="Arial" w:eastAsia="Arial" w:hAnsi="Arial"/>
          <w:sz w:val="18"/>
          <w:szCs w:val="18"/>
          <w:color w:val="000000"/>
        </w:rPr>
        <w:t>furnished thereto); and</w:t>
      </w:r>
    </w:p>
    <w:p>
      <w:pPr>
        <w:spacing w:after="0" w:line="186" w:lineRule="exact"/>
        <w:rPr>
          <w:rFonts w:ascii="Arial" w:cs="Arial" w:eastAsia="Arial" w:hAnsi="Arial"/>
          <w:sz w:val="18"/>
          <w:szCs w:val="18"/>
          <w:color w:val="0000EE"/>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Form </w:t>
      </w:r>
      <w:hyperlink r:id="rId45">
        <w:r>
          <w:rPr>
            <w:rFonts w:ascii="Arial" w:cs="Arial" w:eastAsia="Arial" w:hAnsi="Arial"/>
            <w:sz w:val="18"/>
            <w:szCs w:val="18"/>
            <w:u w:val="single" w:color="auto"/>
            <w:color w:val="0000EE"/>
          </w:rPr>
          <w:t>8-A</w:t>
        </w:r>
      </w:hyperlink>
      <w:r>
        <w:rPr>
          <w:rFonts w:ascii="Arial" w:cs="Arial" w:eastAsia="Arial" w:hAnsi="Arial"/>
          <w:sz w:val="18"/>
          <w:szCs w:val="18"/>
          <w:color w:val="auto"/>
        </w:rPr>
        <w:t>, filed with the SEC on April 29, 2013, including any further amendments thereto or reports filed for the purposes of updating this description.</w:t>
      </w:r>
    </w:p>
    <w:p>
      <w:pPr>
        <w:spacing w:after="0" w:line="170"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6"/>
          <w:szCs w:val="16"/>
          <w:color w:val="auto"/>
        </w:rPr>
        <w:t>You may request, orally or in writing, a copy of these documents, which will be provided to you at no cost, by contacting XpresSpa Group, Inc., 254 West</w:t>
      </w:r>
    </w:p>
    <w:p>
      <w:pPr>
        <w:spacing w:after="0" w:line="6"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6"/>
          <w:szCs w:val="16"/>
          <w:color w:val="auto"/>
        </w:rPr>
        <w:t>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10001 Attention: Investor Relations. The Investor Relations Department can be reached via telephone at (212) 838-</w:t>
      </w:r>
    </w:p>
    <w:p>
      <w:pPr>
        <w:spacing w:after="0"/>
        <w:rPr>
          <w:sz w:val="20"/>
          <w:szCs w:val="20"/>
          <w:color w:val="auto"/>
        </w:rPr>
      </w:pPr>
      <w:r>
        <w:rPr>
          <w:rFonts w:ascii="Arial" w:cs="Arial" w:eastAsia="Arial" w:hAnsi="Arial"/>
          <w:sz w:val="18"/>
          <w:szCs w:val="18"/>
          <w:color w:val="auto"/>
        </w:rPr>
        <w:t>3777.</w:t>
      </w:r>
    </w:p>
    <w:p>
      <w:pPr>
        <w:spacing w:after="0" w:line="209" w:lineRule="exact"/>
        <w:rPr>
          <w:rFonts w:ascii="Arial" w:cs="Arial" w:eastAsia="Arial" w:hAnsi="Arial"/>
          <w:sz w:val="18"/>
          <w:szCs w:val="18"/>
          <w:color w:val="0000EE"/>
        </w:rPr>
      </w:pPr>
    </w:p>
    <w:p>
      <w:pPr>
        <w:jc w:val="both"/>
        <w:spacing w:after="0" w:line="257"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of this prospectus supplement and the accompanying prospectus to the extent that a statement contained herein or therein, in any other subsequently filed document that also is or is deemed to be incorporated by reference herein and in any accompanying prospectus supplement, modifies or supersedes such statement. Any statement so modified or superseded shall not be deemed, except as so modified and superseded, to constitute a part of this prospectus supplement.</w:t>
      </w:r>
    </w:p>
    <w:p>
      <w:pPr>
        <w:spacing w:after="0" w:line="188" w:lineRule="exact"/>
        <w:rPr>
          <w:rFonts w:ascii="Arial" w:cs="Arial" w:eastAsia="Arial" w:hAnsi="Arial"/>
          <w:sz w:val="18"/>
          <w:szCs w:val="18"/>
          <w:color w:val="0000EE"/>
        </w:rPr>
      </w:pPr>
    </w:p>
    <w:p>
      <w:pPr>
        <w:ind w:right="20"/>
        <w:spacing w:after="0" w:line="279" w:lineRule="auto"/>
        <w:rPr>
          <w:sz w:val="20"/>
          <w:szCs w:val="20"/>
          <w:color w:val="auto"/>
        </w:rPr>
      </w:pPr>
      <w:r>
        <w:rPr>
          <w:rFonts w:ascii="Arial" w:cs="Arial" w:eastAsia="Arial" w:hAnsi="Arial"/>
          <w:sz w:val="17"/>
          <w:szCs w:val="17"/>
          <w:color w:val="auto"/>
        </w:rPr>
        <w:t>Any statement made in this prospectus supplement and the accompanying prospectus concerning the contents of any contract, agreement or other document is only a summary of the actual contract, agreement or other document. If we have filed or incorporated by reference any contract, agreement or other document as an exhibit to the registration statement, you should read the exhibit for a more complete understanding of the document or matter involved. Each statement regarding a contract, agreement or other document is qualified by reference to the actual document.</w:t>
      </w:r>
    </w:p>
    <w:p>
      <w:pPr>
        <w:spacing w:after="0" w:line="171"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43"/>
          <w:szCs w:val="43"/>
          <w:b w:val="1"/>
          <w:bCs w:val="1"/>
          <w:color w:val="auto"/>
        </w:rPr>
        <w:t>XPRESSPA GROUP, INC.</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4,188,843 Shares of 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Pre-Funded Warrants to Purchase 2,096,873 shares of Common Stock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(and the shares of Common Stock underlying such Pre-Funded Warrants)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19, 2020</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63"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t>Filed Pursuant to Rule 424(b)(2)</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Registration No. 333-232764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$50,000,000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or rights.</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6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common stock is quoted on The Nasdaq Capital Market, or Nasdaq, under the symbol “XSPA.” On July 12, 2019, the last reported sale price of our common stock was $1.50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July 26, 2019, the aggregate market value of our common stock held by non-affiliates pursuant to General Instruction I.B.6. of Form S-3 was approximately $13.1 million, which was calculated based on 2,916,919 outstanding shares of our common stock, of which 2,781,162 shares are held by non-affiliates, and a price of $4.71 per share, the closing sale price of our common stock reported on The Nasdaq Capital Market on June 30, 2019. As a result, we are currently eligible to offer and sell up to an aggregate of approximately $4.3 million of our securities pursuant to General Instruction I.B.6 of Form S-3. During the prior twelve calendar month period that ends on the date of this prospectus, we did not offer securities pursuant to General Instruction I.B.6 on Form S-3. Pursuant to General Instruction I.B.6 of Form S-3, in no event will we sell shares pursuant to this prospectus with a value of more than one-third of the aggregate market value of our common stock held by non-affiliates in any 12-month period, so long as the aggregate market value of our common stock held by non-affiliates is less than $75 million.</w:t>
      </w:r>
    </w:p>
    <w:p>
      <w:pPr>
        <w:spacing w:after="0" w:line="174" w:lineRule="exact"/>
        <w:rPr>
          <w:sz w:val="20"/>
          <w:szCs w:val="20"/>
          <w:color w:val="auto"/>
        </w:rPr>
      </w:pPr>
    </w:p>
    <w:p>
      <w:pPr>
        <w:jc w:val="both"/>
        <w:ind w:right="180"/>
        <w:spacing w:after="0" w:line="343" w:lineRule="auto"/>
        <w:rPr>
          <w:sz w:val="20"/>
          <w:szCs w:val="20"/>
          <w:color w:val="auto"/>
        </w:rPr>
      </w:pPr>
      <w:r>
        <w:rPr>
          <w:rFonts w:ascii="Arial" w:cs="Arial" w:eastAsia="Arial" w:hAnsi="Arial"/>
          <w:sz w:val="15"/>
          <w:szCs w:val="15"/>
          <w:b w:val="1"/>
          <w:bCs w:val="1"/>
          <w:color w:val="auto"/>
        </w:rPr>
        <w:t>Investing in our securities involves risks. Before deciding whether to invest in our securities, you should consider carefully the risks that we have described on page 2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2" w:name="page23"/>
    <w:bookmarkEnd w:id="22"/>
    <w:p>
      <w:pPr>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date of this prospectus is July 30, 2019.</w:t>
      </w: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904" w:right="5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760" w:type="dxa"/>
            <w:vAlign w:val="bottom"/>
            <w:gridSpan w:val="3"/>
          </w:tcPr>
          <w:p>
            <w:pPr>
              <w:ind w:left="40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6"/>
        </w:trPr>
        <w:tc>
          <w:tcPr>
            <w:tcW w:w="2240" w:type="dxa"/>
            <w:vAlign w:val="bottom"/>
            <w:gridSpan w:val="9"/>
            <w:shd w:val="clear" w:color="auto" w:fill="CCEEFF"/>
          </w:tcPr>
          <w:p>
            <w:pPr>
              <w:spacing w:after="0" w:line="17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ABOUT THIS PROSPECTUS</w:t>
              </w:r>
            </w:hyperlink>
          </w:p>
        </w:tc>
        <w:tc>
          <w:tcPr>
            <w:tcW w:w="8780" w:type="dxa"/>
            <w:vAlign w:val="bottom"/>
            <w:tcBorders>
              <w:right w:val="single" w:sz="8" w:color="CCEEFF"/>
            </w:tcBorders>
            <w:gridSpan w:val="10"/>
            <w:shd w:val="clear" w:color="auto" w:fill="CCEEFF"/>
          </w:tcPr>
          <w:p>
            <w:pPr>
              <w:spacing w:after="0"/>
              <w:rPr>
                <w:sz w:val="17"/>
                <w:szCs w:val="17"/>
                <w:color w:val="auto"/>
              </w:rPr>
            </w:pPr>
          </w:p>
        </w:tc>
        <w:tc>
          <w:tcPr>
            <w:tcW w:w="220" w:type="dxa"/>
            <w:vAlign w:val="bottom"/>
            <w:gridSpan w:val="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iv</w:t>
              </w:r>
            </w:hyperlink>
          </w:p>
        </w:tc>
      </w:tr>
      <w:tr>
        <w:trPr>
          <w:trHeight w:val="175"/>
        </w:trPr>
        <w:tc>
          <w:tcPr>
            <w:tcW w:w="224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PROSPECTUS SUMMARY</w:t>
              </w:r>
            </w:hyperlink>
          </w:p>
        </w:tc>
        <w:tc>
          <w:tcPr>
            <w:tcW w:w="8780" w:type="dxa"/>
            <w:vAlign w:val="bottom"/>
            <w:tcBorders>
              <w:top w:val="single" w:sz="8" w:color="CCEEFF"/>
            </w:tcBorders>
            <w:gridSpan w:val="10"/>
          </w:tcPr>
          <w:p>
            <w:pPr>
              <w:spacing w:after="0"/>
              <w:rPr>
                <w:sz w:val="15"/>
                <w:szCs w:val="15"/>
                <w:color w:val="auto"/>
              </w:rPr>
            </w:pPr>
          </w:p>
        </w:tc>
        <w:tc>
          <w:tcPr>
            <w:tcW w:w="100" w:type="dxa"/>
            <w:vAlign w:val="bottom"/>
            <w:tcBorders>
              <w:top w:val="single" w:sz="8" w:color="0000EE"/>
            </w:tcBorders>
          </w:tcPr>
          <w:p>
            <w:pPr>
              <w:jc w:val="right"/>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1</w:t>
              </w:r>
            </w:hyperlink>
          </w:p>
        </w:tc>
        <w:tc>
          <w:tcPr>
            <w:tcW w:w="12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RISK FACTORS</w:t>
              </w:r>
            </w:hyperlink>
          </w:p>
        </w:tc>
        <w:tc>
          <w:tcPr>
            <w:tcW w:w="9760" w:type="dxa"/>
            <w:vAlign w:val="bottom"/>
            <w:tcBorders>
              <w:bottom w:val="single" w:sz="8" w:color="CCEEFF"/>
              <w:right w:val="single" w:sz="8" w:color="CCEEFF"/>
            </w:tcBorders>
            <w:gridSpan w:val="17"/>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w:t>
              </w:r>
            </w:hyperlink>
          </w:p>
        </w:tc>
        <w:tc>
          <w:tcPr>
            <w:tcW w:w="120" w:type="dxa"/>
            <w:vAlign w:val="bottom"/>
            <w:tcBorders>
              <w:bottom w:val="single" w:sz="8" w:color="CCEEFF"/>
            </w:tcBorders>
            <w:shd w:val="clear" w:color="auto" w:fill="CCEEFF"/>
          </w:tcPr>
          <w:p>
            <w:pPr>
              <w:spacing w:after="0"/>
              <w:rPr>
                <w:sz w:val="17"/>
                <w:szCs w:val="17"/>
                <w:color w:val="auto"/>
              </w:rPr>
            </w:pPr>
          </w:p>
        </w:tc>
      </w:tr>
      <w:tr>
        <w:trPr>
          <w:trHeight w:val="176"/>
        </w:trPr>
        <w:tc>
          <w:tcPr>
            <w:tcW w:w="11020" w:type="dxa"/>
            <w:vAlign w:val="bottom"/>
            <w:gridSpan w:val="19"/>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SPECIAL NOTE REGARDING FORWARD-LOOKING STATEMENTS</w:t>
              </w:r>
            </w:hyperlink>
          </w:p>
        </w:tc>
        <w:tc>
          <w:tcPr>
            <w:tcW w:w="220" w:type="dxa"/>
            <w:vAlign w:val="bottom"/>
            <w:gridSpan w:val="2"/>
          </w:tcPr>
          <w:p>
            <w:pPr>
              <w:jc w:val="right"/>
              <w:ind w:right="120"/>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3</w:t>
              </w:r>
            </w:hyperlink>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0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RATIO OF EARNINGS TO FIXED CHARGES</w:t>
              </w:r>
            </w:hyperlink>
          </w:p>
        </w:tc>
        <w:tc>
          <w:tcPr>
            <w:tcW w:w="220" w:type="dxa"/>
            <w:vAlign w:val="bottom"/>
            <w:gridSpan w:val="2"/>
            <w:shd w:val="clear" w:color="auto" w:fill="CCEEFF"/>
          </w:tcPr>
          <w:p>
            <w:pPr>
              <w:jc w:val="right"/>
              <w:ind w:right="120"/>
              <w:spacing w:after="0" w:line="17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5</w:t>
              </w:r>
            </w:hyperlink>
          </w:p>
        </w:tc>
      </w:tr>
      <w:tr>
        <w:trPr>
          <w:trHeight w:val="175"/>
        </w:trPr>
        <w:tc>
          <w:tcPr>
            <w:tcW w:w="350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7520" w:type="dxa"/>
            <w:vAlign w:val="bottom"/>
            <w:tcBorders>
              <w:top w:val="single" w:sz="8" w:color="CCEEFF"/>
            </w:tcBorders>
            <w:gridSpan w:val="5"/>
          </w:tcPr>
          <w:p>
            <w:pPr>
              <w:spacing w:after="0"/>
              <w:rPr>
                <w:sz w:val="15"/>
                <w:szCs w:val="15"/>
                <w:color w:val="auto"/>
              </w:rPr>
            </w:pPr>
          </w:p>
        </w:tc>
        <w:tc>
          <w:tcPr>
            <w:tcW w:w="100" w:type="dxa"/>
            <w:vAlign w:val="bottom"/>
            <w:tcBorders>
              <w:top w:val="single" w:sz="8" w:color="0000EE"/>
            </w:tcBorders>
          </w:tcPr>
          <w:p>
            <w:pPr>
              <w:jc w:val="right"/>
              <w:spacing w:after="0" w:line="17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6</w:t>
              </w:r>
            </w:hyperlink>
          </w:p>
        </w:tc>
        <w:tc>
          <w:tcPr>
            <w:tcW w:w="12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7"/>
              </w:rPr>
            </w:pPr>
            <w:hyperlink w:anchor="page32">
              <w:r>
                <w:rPr>
                  <w:rFonts w:ascii="Arial" w:cs="Arial" w:eastAsia="Arial" w:hAnsi="Arial"/>
                  <w:sz w:val="18"/>
                  <w:szCs w:val="18"/>
                  <w:color w:val="0000EE"/>
                  <w:w w:val="97"/>
                </w:rPr>
                <w:t>PLAN OF DISTRIBUTION</w:t>
              </w:r>
            </w:hyperlink>
          </w:p>
        </w:tc>
        <w:tc>
          <w:tcPr>
            <w:tcW w:w="8960" w:type="dxa"/>
            <w:vAlign w:val="bottom"/>
            <w:tcBorders>
              <w:bottom w:val="single" w:sz="8" w:color="CCEEFF"/>
              <w:right w:val="single" w:sz="8" w:color="CCEEFF"/>
            </w:tcBorders>
            <w:gridSpan w:val="13"/>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7</w:t>
              </w:r>
            </w:hyperlink>
          </w:p>
        </w:tc>
        <w:tc>
          <w:tcPr>
            <w:tcW w:w="120" w:type="dxa"/>
            <w:vAlign w:val="bottom"/>
            <w:tcBorders>
              <w:bottom w:val="single" w:sz="8" w:color="CCEEFF"/>
            </w:tcBorders>
            <w:shd w:val="clear" w:color="auto" w:fill="CCEEFF"/>
          </w:tcPr>
          <w:p>
            <w:pPr>
              <w:spacing w:after="0"/>
              <w:rPr>
                <w:sz w:val="17"/>
                <w:szCs w:val="17"/>
                <w:color w:val="auto"/>
              </w:rPr>
            </w:pPr>
          </w:p>
        </w:tc>
      </w:tr>
      <w:tr>
        <w:trPr>
          <w:trHeight w:val="176"/>
        </w:trPr>
        <w:tc>
          <w:tcPr>
            <w:tcW w:w="11020" w:type="dxa"/>
            <w:vAlign w:val="bottom"/>
            <w:gridSpan w:val="19"/>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COMMON STOCK</w:t>
              </w:r>
            </w:hyperlink>
          </w:p>
        </w:tc>
        <w:tc>
          <w:tcPr>
            <w:tcW w:w="220" w:type="dxa"/>
            <w:vAlign w:val="bottom"/>
            <w:gridSpan w:val="2"/>
          </w:tcPr>
          <w:p>
            <w:pPr>
              <w:jc w:val="right"/>
              <w:ind w:right="120"/>
              <w:spacing w:after="0" w:line="17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9</w:t>
              </w:r>
            </w:hyperlink>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0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PREFERRED STOCK</w:t>
              </w:r>
            </w:hyperlink>
          </w:p>
        </w:tc>
        <w:tc>
          <w:tcPr>
            <w:tcW w:w="220" w:type="dxa"/>
            <w:vAlign w:val="bottom"/>
            <w:gridSpan w:val="2"/>
            <w:shd w:val="clear" w:color="auto" w:fill="CCEEFF"/>
          </w:tcPr>
          <w:p>
            <w:pPr>
              <w:jc w:val="right"/>
              <w:ind w:right="120"/>
              <w:spacing w:after="0"/>
              <w:rPr>
                <w:rFonts w:ascii="Arial" w:cs="Arial" w:eastAsia="Arial" w:hAnsi="Arial"/>
                <w:sz w:val="10"/>
                <w:szCs w:val="10"/>
                <w:color w:val="0000EE"/>
                <w:w w:val="71"/>
              </w:rPr>
            </w:pPr>
            <w:hyperlink w:anchor="page35">
              <w:r>
                <w:rPr>
                  <w:rFonts w:ascii="Arial" w:cs="Arial" w:eastAsia="Arial" w:hAnsi="Arial"/>
                  <w:sz w:val="10"/>
                  <w:szCs w:val="10"/>
                  <w:color w:val="0000EE"/>
                  <w:w w:val="71"/>
                </w:rPr>
                <w:t>10</w:t>
              </w:r>
            </w:hyperlink>
          </w:p>
        </w:tc>
      </w:tr>
      <w:tr>
        <w:trPr>
          <w:trHeight w:val="176"/>
        </w:trPr>
        <w:tc>
          <w:tcPr>
            <w:tcW w:w="3140" w:type="dxa"/>
            <w:vAlign w:val="bottom"/>
            <w:tcBorders>
              <w:top w:val="single" w:sz="8" w:color="0000EE"/>
            </w:tcBorders>
            <w:gridSpan w:val="13"/>
          </w:tcPr>
          <w:p>
            <w:pPr>
              <w:spacing w:after="0" w:line="176"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DESCRIPTION OF DEBT SECURITIES</w:t>
              </w:r>
            </w:hyperlink>
          </w:p>
        </w:tc>
        <w:tc>
          <w:tcPr>
            <w:tcW w:w="7880" w:type="dxa"/>
            <w:vAlign w:val="bottom"/>
            <w:tcBorders>
              <w:top w:val="single" w:sz="8" w:color="CCEEFF"/>
            </w:tcBorders>
            <w:gridSpan w:val="6"/>
          </w:tcPr>
          <w:p>
            <w:pPr>
              <w:spacing w:after="0"/>
              <w:rPr>
                <w:sz w:val="15"/>
                <w:szCs w:val="15"/>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37">
              <w:r>
                <w:rPr>
                  <w:rFonts w:ascii="Arial" w:cs="Arial" w:eastAsia="Arial" w:hAnsi="Arial"/>
                  <w:sz w:val="10"/>
                  <w:szCs w:val="10"/>
                  <w:color w:val="0000EE"/>
                  <w:w w:val="71"/>
                </w:rPr>
                <w:t>12</w:t>
              </w:r>
            </w:hyperlink>
          </w:p>
        </w:tc>
        <w:tc>
          <w:tcPr>
            <w:tcW w:w="120" w:type="dxa"/>
            <w:vAlign w:val="bottom"/>
            <w:tcBorders>
              <w:top w:val="single" w:sz="8" w:color="CCEEFF"/>
            </w:tcBorders>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0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WARRANTS</w:t>
              </w:r>
            </w:hyperlink>
          </w:p>
        </w:tc>
        <w:tc>
          <w:tcPr>
            <w:tcW w:w="220" w:type="dxa"/>
            <w:vAlign w:val="bottom"/>
            <w:gridSpan w:val="2"/>
            <w:shd w:val="clear" w:color="auto" w:fill="CCEEFF"/>
          </w:tcPr>
          <w:p>
            <w:pPr>
              <w:jc w:val="right"/>
              <w:ind w:right="120"/>
              <w:spacing w:after="0"/>
              <w:rPr>
                <w:rFonts w:ascii="Arial" w:cs="Arial" w:eastAsia="Arial" w:hAnsi="Arial"/>
                <w:sz w:val="10"/>
                <w:szCs w:val="10"/>
                <w:color w:val="0000EE"/>
                <w:w w:val="71"/>
              </w:rPr>
            </w:pPr>
            <w:hyperlink w:anchor="page43">
              <w:r>
                <w:rPr>
                  <w:rFonts w:ascii="Arial" w:cs="Arial" w:eastAsia="Arial" w:hAnsi="Arial"/>
                  <w:sz w:val="10"/>
                  <w:szCs w:val="10"/>
                  <w:color w:val="0000EE"/>
                  <w:w w:val="71"/>
                </w:rPr>
                <w:t>18</w:t>
              </w:r>
            </w:hyperlink>
          </w:p>
        </w:tc>
      </w:tr>
      <w:tr>
        <w:trPr>
          <w:trHeight w:val="175"/>
        </w:trPr>
        <w:tc>
          <w:tcPr>
            <w:tcW w:w="248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RIGHTS</w:t>
              </w:r>
            </w:hyperlink>
          </w:p>
        </w:tc>
        <w:tc>
          <w:tcPr>
            <w:tcW w:w="8540" w:type="dxa"/>
            <w:vAlign w:val="bottom"/>
            <w:tcBorders>
              <w:top w:val="single" w:sz="8" w:color="CCEEFF"/>
            </w:tcBorders>
            <w:gridSpan w:val="9"/>
          </w:tcPr>
          <w:p>
            <w:pPr>
              <w:spacing w:after="0"/>
              <w:rPr>
                <w:sz w:val="15"/>
                <w:szCs w:val="15"/>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44">
              <w:r>
                <w:rPr>
                  <w:rFonts w:ascii="Arial" w:cs="Arial" w:eastAsia="Arial" w:hAnsi="Arial"/>
                  <w:sz w:val="10"/>
                  <w:szCs w:val="10"/>
                  <w:color w:val="0000EE"/>
                  <w:w w:val="71"/>
                </w:rPr>
                <w:t>19</w:t>
              </w:r>
            </w:hyperlink>
          </w:p>
        </w:tc>
        <w:tc>
          <w:tcPr>
            <w:tcW w:w="12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10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UNITS</w:t>
              </w:r>
            </w:hyperlink>
          </w:p>
        </w:tc>
        <w:tc>
          <w:tcPr>
            <w:tcW w:w="220" w:type="dxa"/>
            <w:vAlign w:val="bottom"/>
            <w:gridSpan w:val="2"/>
            <w:shd w:val="clear" w:color="auto" w:fill="CCEEFF"/>
          </w:tcPr>
          <w:p>
            <w:pPr>
              <w:jc w:val="right"/>
              <w:ind w:right="120"/>
              <w:spacing w:after="0"/>
              <w:rPr>
                <w:rFonts w:ascii="Arial" w:cs="Arial" w:eastAsia="Arial" w:hAnsi="Arial"/>
                <w:sz w:val="10"/>
                <w:szCs w:val="10"/>
                <w:color w:val="0000EE"/>
                <w:w w:val="71"/>
              </w:rPr>
            </w:pPr>
            <w:hyperlink w:anchor="page46">
              <w:r>
                <w:rPr>
                  <w:rFonts w:ascii="Arial" w:cs="Arial" w:eastAsia="Arial" w:hAnsi="Arial"/>
                  <w:sz w:val="10"/>
                  <w:szCs w:val="10"/>
                  <w:color w:val="0000EE"/>
                  <w:w w:val="71"/>
                </w:rPr>
                <w:t>21</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20" w:type="dxa"/>
            <w:vAlign w:val="bottom"/>
            <w:gridSpan w:val="19"/>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CERTAIN PROVISIONS OF DELAWARE LAW AND OF THE COMPANY’S CERTIFICATE OF INCORPORATION AND BYLAWS</w:t>
              </w:r>
            </w:hyperlink>
          </w:p>
        </w:tc>
        <w:tc>
          <w:tcPr>
            <w:tcW w:w="220" w:type="dxa"/>
            <w:vAlign w:val="bottom"/>
            <w:gridSpan w:val="2"/>
          </w:tcPr>
          <w:p>
            <w:pPr>
              <w:jc w:val="right"/>
              <w:ind w:right="120"/>
              <w:spacing w:after="0"/>
              <w:rPr>
                <w:rFonts w:ascii="Arial" w:cs="Arial" w:eastAsia="Arial" w:hAnsi="Arial"/>
                <w:sz w:val="10"/>
                <w:szCs w:val="10"/>
                <w:color w:val="0000EE"/>
                <w:w w:val="71"/>
              </w:rPr>
            </w:pPr>
            <w:hyperlink w:anchor="page47">
              <w:r>
                <w:rPr>
                  <w:rFonts w:ascii="Arial" w:cs="Arial" w:eastAsia="Arial" w:hAnsi="Arial"/>
                  <w:sz w:val="10"/>
                  <w:szCs w:val="10"/>
                  <w:color w:val="0000EE"/>
                  <w:w w:val="71"/>
                </w:rPr>
                <w:t>22</w:t>
              </w:r>
            </w:hyperlink>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2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0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LEGAL MATTERS</w:t>
              </w:r>
            </w:hyperlink>
          </w:p>
        </w:tc>
        <w:tc>
          <w:tcPr>
            <w:tcW w:w="220" w:type="dxa"/>
            <w:vAlign w:val="bottom"/>
            <w:gridSpan w:val="2"/>
            <w:shd w:val="clear" w:color="auto" w:fill="CCEEFF"/>
          </w:tcPr>
          <w:p>
            <w:pPr>
              <w:jc w:val="right"/>
              <w:ind w:right="120"/>
              <w:spacing w:after="0"/>
              <w:rPr>
                <w:rFonts w:ascii="Arial" w:cs="Arial" w:eastAsia="Arial" w:hAnsi="Arial"/>
                <w:sz w:val="10"/>
                <w:szCs w:val="10"/>
                <w:color w:val="0000EE"/>
                <w:w w:val="71"/>
              </w:rPr>
            </w:pPr>
            <w:hyperlink w:anchor="page49">
              <w:r>
                <w:rPr>
                  <w:rFonts w:ascii="Arial" w:cs="Arial" w:eastAsia="Arial" w:hAnsi="Arial"/>
                  <w:sz w:val="10"/>
                  <w:szCs w:val="10"/>
                  <w:color w:val="0000EE"/>
                  <w:w w:val="71"/>
                </w:rPr>
                <w:t>24</w:t>
              </w:r>
            </w:hyperlink>
          </w:p>
        </w:tc>
      </w:tr>
      <w:tr>
        <w:trPr>
          <w:trHeight w:val="176"/>
        </w:trPr>
        <w:tc>
          <w:tcPr>
            <w:tcW w:w="146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EXPERTS</w:t>
              </w:r>
            </w:hyperlink>
          </w:p>
        </w:tc>
        <w:tc>
          <w:tcPr>
            <w:tcW w:w="9560" w:type="dxa"/>
            <w:vAlign w:val="bottom"/>
            <w:tcBorders>
              <w:top w:val="single" w:sz="8" w:color="CCEEFF"/>
            </w:tcBorders>
            <w:gridSpan w:val="16"/>
          </w:tcPr>
          <w:p>
            <w:pPr>
              <w:spacing w:after="0"/>
              <w:rPr>
                <w:sz w:val="15"/>
                <w:szCs w:val="15"/>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49">
              <w:r>
                <w:rPr>
                  <w:rFonts w:ascii="Arial" w:cs="Arial" w:eastAsia="Arial" w:hAnsi="Arial"/>
                  <w:sz w:val="10"/>
                  <w:szCs w:val="10"/>
                  <w:color w:val="0000EE"/>
                  <w:w w:val="71"/>
                </w:rPr>
                <w:t>24</w:t>
              </w:r>
            </w:hyperlink>
          </w:p>
        </w:tc>
        <w:tc>
          <w:tcPr>
            <w:tcW w:w="12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10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WHERE YOU CAN FIND MORE INFORMATION</w:t>
              </w:r>
            </w:hyperlink>
          </w:p>
        </w:tc>
        <w:tc>
          <w:tcPr>
            <w:tcW w:w="220" w:type="dxa"/>
            <w:vAlign w:val="bottom"/>
            <w:gridSpan w:val="2"/>
            <w:shd w:val="clear" w:color="auto" w:fill="CCEEFF"/>
          </w:tcPr>
          <w:p>
            <w:pPr>
              <w:jc w:val="right"/>
              <w:ind w:right="120"/>
              <w:spacing w:after="0"/>
              <w:rPr>
                <w:rFonts w:ascii="Arial" w:cs="Arial" w:eastAsia="Arial" w:hAnsi="Arial"/>
                <w:sz w:val="10"/>
                <w:szCs w:val="10"/>
                <w:color w:val="0000EE"/>
                <w:w w:val="71"/>
              </w:rPr>
            </w:pPr>
            <w:hyperlink w:anchor="page49">
              <w:r>
                <w:rPr>
                  <w:rFonts w:ascii="Arial" w:cs="Arial" w:eastAsia="Arial" w:hAnsi="Arial"/>
                  <w:sz w:val="10"/>
                  <w:szCs w:val="10"/>
                  <w:color w:val="0000EE"/>
                  <w:w w:val="71"/>
                </w:rPr>
                <w:t>24</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020" w:type="dxa"/>
            <w:vAlign w:val="bottom"/>
            <w:gridSpan w:val="19"/>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INCORPORATION OF DOCUMENTS BY REFERENCE</w:t>
              </w:r>
            </w:hyperlink>
          </w:p>
        </w:tc>
        <w:tc>
          <w:tcPr>
            <w:tcW w:w="220" w:type="dxa"/>
            <w:vAlign w:val="bottom"/>
            <w:gridSpan w:val="2"/>
          </w:tcPr>
          <w:p>
            <w:pPr>
              <w:jc w:val="right"/>
              <w:ind w:right="120"/>
              <w:spacing w:after="0"/>
              <w:rPr>
                <w:rFonts w:ascii="Arial" w:cs="Arial" w:eastAsia="Arial" w:hAnsi="Arial"/>
                <w:sz w:val="10"/>
                <w:szCs w:val="10"/>
                <w:color w:val="0000EE"/>
                <w:w w:val="71"/>
              </w:rPr>
            </w:pPr>
            <w:hyperlink w:anchor="page49">
              <w:r>
                <w:rPr>
                  <w:rFonts w:ascii="Arial" w:cs="Arial" w:eastAsia="Arial" w:hAnsi="Arial"/>
                  <w:sz w:val="10"/>
                  <w:szCs w:val="10"/>
                  <w:color w:val="0000EE"/>
                  <w:w w:val="71"/>
                </w:rPr>
                <w:t>24</w:t>
              </w:r>
            </w:hyperlink>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shelf registration process, we may offer shares of our common stock and preferred stock, various series of debt securities and/or warrants, rights to purchase any of such securities, either individually or in units, in one or more offerings, with a total value of up to $50,000,000.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66"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context otherwise requires, references to “we,” “our,” “us,” or the “Company” in this prospectus mean XpresSpa Group, Inc., together with its subsidiaries.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815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7136130" cy="5815965"/>
                    </a:xfrm>
                    <a:prstGeom prst="rect">
                      <a:avLst/>
                    </a:prstGeom>
                    <a:noFill/>
                  </pic:spPr>
                </pic:pic>
              </a:graphicData>
            </a:graphic>
          </wp:anchor>
        </w:drawing>
        <w:t>PROSPECTUS SUMMARY</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the transition to a pure-play health and wellness services company, we currently have one operating segment that is also our sole reporting unit, XpresSpa, a leading airport retailer of spa services. XpresSpa is a well-recognized airport spa brand with 56 locations, consisting of 51 domestic and 5 international locations as of December 31, 2018. XpresSpa offers travelers premium spa services, including massage, nail and skin care, as well as spa and travel products. During 2018 and 2017, XpresSpa generated $49,294,000 and $48,373,000 of revenue, respectively. In 2018, approximately 83% of XpresSpa’s total revenue was generated by services, primarily massage and nailcare, and 17% was generated by retail products, primarily travel accessories.</w:t>
      </w:r>
    </w:p>
    <w:p>
      <w:pPr>
        <w:spacing w:after="0" w:line="19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own certain patent portfolios, which we look to monetize through sales and licensing agreements. During the year ended December 31, 2018, we determined that our intellectual property operating segment will no longer be an area of focus for us and, as such, will no longer be reflected as a separate operating segment, as it is not expected to generate any material revenues or operating costs.</w:t>
      </w:r>
    </w:p>
    <w:p>
      <w:pPr>
        <w:spacing w:after="0" w:line="16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In October 2017, we completed the sale of FLI Charge, Inc. (“FLI Charge”) and in March 2018, we completed the sale of Group Mobile Int’l LLC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2018, and FLI Charge and Group Mobile as of December 31, 2017, are presented in the consolidated balance sheets as assets held for disposal and liabilities held for disposal,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780 Third Avenue,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10017.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We also operate the website</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by reference of the information contained on the website.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40" w:top="1134" w:right="4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w:t>
      </w:r>
      <w:hyperlink r:id="rId29">
        <w:r>
          <w:rPr>
            <w:rFonts w:ascii="Arial" w:cs="Arial" w:eastAsia="Arial" w:hAnsi="Arial"/>
            <w:sz w:val="17"/>
            <w:szCs w:val="17"/>
            <w:u w:val="single" w:color="auto"/>
            <w:color w:val="0000EE"/>
          </w:rPr>
          <w:t>most recent annual report on Form 10-K</w:t>
        </w:r>
      </w:hyperlink>
      <w:r>
        <w:rPr>
          <w:rFonts w:ascii="Arial" w:cs="Arial" w:eastAsia="Arial" w:hAnsi="Arial"/>
          <w:sz w:val="17"/>
          <w:szCs w:val="17"/>
          <w:color w:val="auto"/>
        </w:rPr>
        <w:t xml:space="preserve">, as revised or supplemented by our subsequent </w:t>
      </w:r>
      <w:hyperlink r:id="rId32">
        <w:r>
          <w:rPr>
            <w:rFonts w:ascii="Arial" w:cs="Arial" w:eastAsia="Arial" w:hAnsi="Arial"/>
            <w:sz w:val="17"/>
            <w:szCs w:val="17"/>
            <w:u w:val="single" w:color="auto"/>
            <w:color w:val="0000EE"/>
          </w:rPr>
          <w:t>quarterly reports on 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or our </w:t>
      </w:r>
      <w:hyperlink r:id="rId54">
        <w:r>
          <w:rPr>
            <w:rFonts w:ascii="Arial" w:cs="Arial" w:eastAsia="Arial" w:hAnsi="Arial"/>
            <w:sz w:val="17"/>
            <w:szCs w:val="17"/>
            <w:u w:val="single" w:color="auto"/>
            <w:color w:val="0000EE"/>
          </w:rPr>
          <w:t>current reports on Form 8-K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200" w:lineRule="exact"/>
        <w:rPr>
          <w:rFonts w:ascii="Arial" w:cs="Arial" w:eastAsia="Arial" w:hAnsi="Arial"/>
          <w:sz w:val="17"/>
          <w:szCs w:val="17"/>
          <w:color w:val="auto"/>
        </w:rPr>
      </w:pPr>
    </w:p>
    <w:p>
      <w:pPr>
        <w:spacing w:after="0" w:line="201"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7" w:name="page28"/>
    <w:bookmarkEnd w:id="27"/>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This prospectus and the documents incorporated by reference in this prospectus include forward-looking statements within the meaning of Section 27A of the Securities Act and Section 21E of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w:t>
      </w:r>
      <w:hyperlink r:id="rId29">
        <w:r>
          <w:rPr>
            <w:rFonts w:ascii="Arial" w:cs="Arial" w:eastAsia="Arial" w:hAnsi="Arial"/>
            <w:sz w:val="17"/>
            <w:szCs w:val="17"/>
            <w:u w:val="single" w:color="auto"/>
            <w:color w:val="0000EE"/>
          </w:rPr>
          <w:t>Annual Report on Form 10-K for the fiscal year ended December 31, 2018</w:t>
        </w:r>
      </w:hyperlink>
      <w:r>
        <w:rPr>
          <w:rFonts w:ascii="Arial" w:cs="Arial" w:eastAsia="Arial" w:hAnsi="Arial"/>
          <w:sz w:val="17"/>
          <w:szCs w:val="17"/>
          <w:color w:val="auto"/>
        </w:rPr>
        <w:t>, entitled “Business,” “Risk Factors,” and “Management’s Discussion and Analysis of Financial Condition and Results of Operations,” as well as other sections in this prospectus and the documents or reports incorporated by reference in this prospectus, discuss some of the factors that could contribute to these differences. These forward-looking statements include, among other things, statements about: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performance by our Airport Concession Disadvantaged Business Enterprise partners on obligations set forth in our joint venture agreements;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recently passed federal tax reform bill;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8" w:name="page29"/>
    <w:bookmarkEnd w:id="28"/>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loss of, or an adverse change with regard to, one or more of our significant suppliers, distributors, vendors or other business relationships;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changes in such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25" w:lineRule="exact"/>
        <w:rPr>
          <w:sz w:val="20"/>
          <w:szCs w:val="20"/>
          <w:color w:val="auto"/>
        </w:rPr>
      </w:pPr>
    </w:p>
    <w:p>
      <w:pPr>
        <w:ind w:right="60"/>
        <w:spacing w:after="0" w:line="269" w:lineRule="auto"/>
        <w:rPr>
          <w:rFonts w:ascii="Arial" w:cs="Arial" w:eastAsia="Arial" w:hAnsi="Arial"/>
          <w:sz w:val="17"/>
          <w:szCs w:val="17"/>
          <w:color w:val="0000EE"/>
        </w:rPr>
      </w:pPr>
      <w:r>
        <w:rPr>
          <w:rFonts w:ascii="Arial" w:cs="Arial" w:eastAsia="Arial" w:hAnsi="Arial"/>
          <w:sz w:val="17"/>
          <w:szCs w:val="17"/>
          <w:color w:val="auto"/>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or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w:t>
      </w:r>
      <w:hyperlink r:id="rId29">
        <w:r>
          <w:rPr>
            <w:rFonts w:ascii="Arial" w:cs="Arial" w:eastAsia="Arial" w:hAnsi="Arial"/>
            <w:sz w:val="17"/>
            <w:szCs w:val="17"/>
            <w:color w:val="auto"/>
          </w:rPr>
          <w:t xml:space="preserve">by the discussion of risks and uncertainties under “Risk Factors” contained in any supplements to this prospectus and in our </w:t>
        </w:r>
        <w:r>
          <w:rPr>
            <w:rFonts w:ascii="Arial" w:cs="Arial" w:eastAsia="Arial" w:hAnsi="Arial"/>
            <w:sz w:val="17"/>
            <w:szCs w:val="17"/>
            <w:u w:val="single" w:color="auto"/>
            <w:color w:val="0000EE"/>
          </w:rPr>
          <w:t>most recent annual report on</w:t>
        </w:r>
      </w:hyperlink>
      <w:r>
        <w:rPr>
          <w:rFonts w:ascii="Arial" w:cs="Arial" w:eastAsia="Arial" w:hAnsi="Arial"/>
          <w:sz w:val="17"/>
          <w:szCs w:val="17"/>
          <w:color w:val="auto"/>
        </w:rPr>
        <w:t xml:space="preserve"> </w:t>
      </w:r>
      <w:hyperlink r:id="rId29">
        <w:r>
          <w:rPr>
            <w:rFonts w:ascii="Arial" w:cs="Arial" w:eastAsia="Arial" w:hAnsi="Arial"/>
            <w:sz w:val="17"/>
            <w:szCs w:val="17"/>
            <w:u w:val="single" w:color="auto"/>
            <w:color w:val="0000EE"/>
          </w:rPr>
          <w:t>Form 10-K</w:t>
        </w:r>
        <w:r>
          <w:rPr>
            <w:rFonts w:ascii="Arial" w:cs="Arial" w:eastAsia="Arial" w:hAnsi="Arial"/>
            <w:sz w:val="17"/>
            <w:szCs w:val="17"/>
            <w:color w:val="000000"/>
          </w:rPr>
          <w:t>, as revised or supplemented by our subsequent</w:t>
        </w:r>
        <w:r>
          <w:rPr>
            <w:rFonts w:ascii="Arial" w:cs="Arial" w:eastAsia="Arial" w:hAnsi="Arial"/>
            <w:sz w:val="17"/>
            <w:szCs w:val="17"/>
            <w:color w:val="0000EE"/>
          </w:rPr>
          <w:t xml:space="preserve"> </w:t>
        </w:r>
      </w:hyperlink>
      <w:hyperlink r:id="rId32">
        <w:r>
          <w:rPr>
            <w:rFonts w:ascii="Arial" w:cs="Arial" w:eastAsia="Arial" w:hAnsi="Arial"/>
            <w:sz w:val="17"/>
            <w:szCs w:val="17"/>
            <w:u w:val="single" w:color="auto"/>
            <w:color w:val="0000EE"/>
          </w:rPr>
          <w:t xml:space="preserve">quarterly reports on Form 10-Q </w:t>
        </w:r>
      </w:hyperlink>
      <w:hyperlink r:id="rId29">
        <w:r>
          <w:rPr>
            <w:rFonts w:ascii="Arial" w:cs="Arial" w:eastAsia="Arial" w:hAnsi="Arial"/>
            <w:sz w:val="17"/>
            <w:szCs w:val="17"/>
            <w:color w:val="000000"/>
          </w:rPr>
          <w:t>or our</w:t>
        </w:r>
        <w:r>
          <w:rPr>
            <w:rFonts w:ascii="Arial" w:cs="Arial" w:eastAsia="Arial" w:hAnsi="Arial"/>
            <w:sz w:val="17"/>
            <w:szCs w:val="17"/>
            <w:color w:val="0000EE"/>
          </w:rPr>
          <w:t xml:space="preserve"> </w:t>
        </w:r>
      </w:hyperlink>
      <w:hyperlink r:id="rId54">
        <w:r>
          <w:rPr>
            <w:rFonts w:ascii="Arial" w:cs="Arial" w:eastAsia="Arial" w:hAnsi="Arial"/>
            <w:sz w:val="17"/>
            <w:szCs w:val="17"/>
            <w:u w:val="single" w:color="auto"/>
            <w:color w:val="0000EE"/>
          </w:rPr>
          <w:t>current reports on Form 8-K</w:t>
        </w:r>
      </w:hyperlink>
      <w:hyperlink r:id="rId29">
        <w:r>
          <w:rPr>
            <w:rFonts w:ascii="Arial" w:cs="Arial" w:eastAsia="Arial" w:hAnsi="Arial"/>
            <w:sz w:val="17"/>
            <w:szCs w:val="17"/>
            <w:color w:val="000000"/>
          </w:rPr>
          <w:t>, as well as any amendments</w:t>
        </w:r>
      </w:hyperlink>
      <w:r>
        <w:rPr>
          <w:rFonts w:ascii="Arial" w:cs="Arial" w:eastAsia="Arial" w:hAnsi="Arial"/>
          <w:sz w:val="17"/>
          <w:szCs w:val="17"/>
          <w:color w:val="0000EE"/>
        </w:rPr>
        <w:t xml:space="preserve"> </w:t>
      </w:r>
      <w:r>
        <w:rPr>
          <w:rFonts w:ascii="Arial" w:cs="Arial" w:eastAsia="Arial" w:hAnsi="Arial"/>
          <w:sz w:val="17"/>
          <w:szCs w:val="17"/>
          <w:color w:val="000000"/>
        </w:rPr>
        <w:t>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5" w:lineRule="exact"/>
        <w:rPr>
          <w:rFonts w:ascii="Arial" w:cs="Arial" w:eastAsia="Arial" w:hAnsi="Arial"/>
          <w:sz w:val="17"/>
          <w:szCs w:val="17"/>
          <w:color w:val="0000EE"/>
        </w:rPr>
      </w:pPr>
    </w:p>
    <w:p>
      <w:pPr>
        <w:ind w:right="180"/>
        <w:spacing w:after="0" w:line="273" w:lineRule="auto"/>
        <w:rPr>
          <w:sz w:val="20"/>
          <w:szCs w:val="20"/>
          <w:color w:val="auto"/>
        </w:rPr>
      </w:pPr>
      <w:r>
        <w:rPr>
          <w:rFonts w:ascii="Arial" w:cs="Arial" w:eastAsia="Arial" w:hAnsi="Arial"/>
          <w:sz w:val="17"/>
          <w:szCs w:val="17"/>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94" w:lineRule="exact"/>
        <w:rPr>
          <w:rFonts w:ascii="Arial" w:cs="Arial" w:eastAsia="Arial" w:hAnsi="Arial"/>
          <w:sz w:val="17"/>
          <w:szCs w:val="17"/>
          <w:color w:val="0000EE"/>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9" w:name="page30"/>
    <w:bookmarkEnd w:id="29"/>
    <w:p>
      <w:pPr>
        <w:jc w:val="center"/>
        <w:ind w:right="-25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time debt securities are offered pursuant to this prospectus, we will provide a table setting forth our ratio of earnings to fixed charges on a historical basis in the applicable prospectus supplement, if required.</w:t>
      </w:r>
    </w:p>
    <w:p>
      <w:pPr>
        <w:spacing w:after="0" w:line="3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Unless otherwise indicated in the applicable prospectus supplement, we intend to use any net proceeds from the sale of securities under this prospectus for our operations and for other general corporate purposes, including, but not limited to, general working capital.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6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may directly solicit offers to purchase the securities being offered by this prospectus. 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2" w:name="page33"/>
    <w:bookmarkEnd w:id="32"/>
    <w:p>
      <w:pPr>
        <w:ind w:right="60"/>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95" w:lineRule="exact"/>
        <w:rPr>
          <w:sz w:val="20"/>
          <w:szCs w:val="20"/>
          <w:color w:val="auto"/>
        </w:rPr>
      </w:pPr>
    </w:p>
    <w:p>
      <w:pPr>
        <w:ind w:left="660" w:right="4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70"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8"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6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dealers and agents may engage in other transactions with us, or perform other services for us, in the ordinary course of their business.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authorized to issue 150,000,000 shares of common stock, par value $0.01 per share. As of July 12, 2019, we had 2,916,477 shares of common stock outstanding and approximately 49 stockholders of record.</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summary of certain provisions of our common stock does not purport to be complete. You should refer to the section of this prospectus entitled “Certain Provisions of Delaware Law and of the Company’s Certificate of Incorporation and Bylaws” and our amended and restated certificate of incorporation, as amended, and our amended and restated bylaws, both of which are included as exhibits to the registration statement of which this prospectus is a part. The summary below is also qualified by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then outstanding series of preferred stock. All shares of common stock outstanding as of the date of this prospectus and, upon issuance and sale, all shares of common stock that we may offer pursuant to this prospectus, will be fully paid and nonassessable.</w:t>
      </w:r>
    </w:p>
    <w:p>
      <w:pPr>
        <w:spacing w:after="0" w:line="16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our net assets available for distribution to stockholders after the payment of all debts and other liabilities and subject to any preferential rights of any then outstanding series of preferred stock. Holders of common stock have no preemptive, subscription, redemption or conversion rights. There are no redemption or sinking fund provisions applicable to the common stock. The voting, dividend and liquidation rights of holders of common stock are subject to and may be adversely affected by the rights of the holders of shares of our existing series of preferred stock or any series of preferred stock that we may designate and issue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with offices at 6201 15th Avenue, Brooklyn, New York 11219.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for quotation on The Nasdaq Capital Market under the symbol “XSPA.”</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description of preferred stock and the description of the terms of any particular series of preferred stock that we choose to issue hereunder are not complete. These descriptions are qualified in their entirety by reference to our amended and restated certificate of incorporation and the certificate of designation relating to any series of preferred stock issued by us. The powers, preferences, rights and restrictions of the preferred stock of each series will be fixed by the certificate of designation relating to that series.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certificate of incorporation, as amended, authorizes us to issue 5,000,000 shares of preferred stock. As of July 12, 2019, we had:</w:t>
      </w:r>
    </w:p>
    <w:p>
      <w:pPr>
        <w:spacing w:after="0" w:line="24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designated and issued 6,968 shares of our preferred stock as “Series A Convertible Preferred Stock” with no shares outstanding;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designated and issued 300,000 shares of our preferred stock as “Series C Junior Preferred Stock” with no shares outstanding;</w:t>
      </w:r>
    </w:p>
    <w:p>
      <w:pPr>
        <w:spacing w:after="0" w:line="225"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designated 500,000 shares of our preferred stock as “Series D Convertible Preferred Stock,” issued 23,760 shares of Series D Convertible Preferred Stock with 21,027 shares outstanding;</w:t>
      </w:r>
    </w:p>
    <w:p>
      <w:pPr>
        <w:spacing w:after="0" w:line="170"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designated 2,397,060 shares of our preferred stock as “Series E Convertible Preferred Stock,” issued 48,387 shares of Series E Convertible Preferred Stock with 48,387 shares outstanding;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designated and issued 9,000 shares of our preferred stock as “Series F Convertible Preferred Stock” with 9,000 shares outstanding.</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board of directors has the authority, without further action by the stockholders, to issue up to an additional 1,786,972 shares of preferred stock in one or more series and to fix the rights, preferences, privileges and restrictions granted to or imposed upon the preferred stock. Any or all of these rights may be greater than the rights of our common stock.</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without stockholder approval, can issue preferred stock with voting, conversion or other rights that could negatively affect the voting power and other rights of the holders of our common stock. Preferred stock could thus be issued quickly with terms calculated to delay or prevent a change in control of the Company or make it more difficult to remove our management. Additionally, the issuance of preferred stock may have the effect of decreasing the market price of our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Our board of directors may specify the following characteristics of any preferred stock:</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maximum number of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designation of the shares;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annual dividend rate, if any, whether the dividend rate is fixed or variable, the date or dates on which dividends will accrue, the dividend payment dates, and whether dividends will be cumulative;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and the terms and conditions for redemption, if any, including redemption at our option or at the option of the holders, including the time period for redemption, and any accumulated dividends or premiums;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liquidation preference, if any, and any accumulated dividends upon the liquidation, dissolution or winding up of our affairs;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sinking fund or similar provision, and, if so, the terms and provisions relating to the purpose and operation of the fund;</w:t>
      </w:r>
    </w:p>
    <w:p>
      <w:pPr>
        <w:spacing w:after="0" w:line="225"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voting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or all other preferences and relative, participating, optional or other special rights, privileges or qualifications, limitations or restrictions;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preferred stock issued will be fully paid and nonassessable upon issuance.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preferred stock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9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 w:name="page38"/>
    <w:bookmarkEnd w:id="37"/>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8" w:name="page39"/>
    <w:bookmarkEnd w:id="38"/>
    <w:p>
      <w:pPr>
        <w:ind w:right="60"/>
        <w:spacing w:after="0" w:line="30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5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6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9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ind w:left="660" w:right="28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will periodically file statements with the applicable debenture trustee regarding our compliance with specified covenants in the applicable indenture.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debenture trustee and we may change the applicable indenture without the consent of any holders with respect to specific matters, including:</w:t>
      </w:r>
    </w:p>
    <w:p>
      <w:pPr>
        <w:spacing w:after="0" w:line="237" w:lineRule="exact"/>
        <w:rPr>
          <w:sz w:val="20"/>
          <w:szCs w:val="20"/>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580" w:right="520" w:hanging="248"/>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5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holders of a majority in principal amount of the outstanding debt securities of any series may rescind an acceleration and its consequences, including any related payment default that resulted from the acceleration.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right="80"/>
        <w:spacing w:after="0" w:line="277" w:lineRule="auto"/>
        <w:rPr>
          <w:sz w:val="20"/>
          <w:szCs w:val="20"/>
          <w:color w:val="auto"/>
        </w:rPr>
      </w:pPr>
      <w:r>
        <w:rPr>
          <w:rFonts w:ascii="Arial" w:cs="Arial" w:eastAsia="Arial" w:hAnsi="Arial"/>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660" w:right="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3"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1" w:name="page42"/>
    <w:bookmarkEnd w:id="41"/>
    <w:p>
      <w:pPr>
        <w:ind w:right="20"/>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jc w:val="both"/>
        <w:ind w:left="660" w:right="34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if any,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We will provide in a prospectus supplement the following terms of the rights being issued:</w:t>
      </w:r>
    </w:p>
    <w:p>
      <w:pPr>
        <w:spacing w:after="0" w:line="17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the unit agent, if any,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380"/>
        <w:spacing w:after="0"/>
        <w:rPr>
          <w:sz w:val="20"/>
          <w:szCs w:val="20"/>
          <w:color w:val="auto"/>
        </w:rPr>
      </w:pPr>
      <w:r>
        <w:rPr>
          <w:rFonts w:ascii="Arial" w:cs="Arial" w:eastAsia="Arial" w:hAnsi="Arial"/>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Documents</w:t>
      </w:r>
    </w:p>
    <w:p>
      <w:pPr>
        <w:spacing w:after="0" w:line="225"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Our amended and restated certificate of incorporation provides that amendments by our stockholders of our amended and restated bylaws require the approval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voting power of all outstanding stock. These provisions could discourage a potential acquirer from making a tender offer or otherwise attempting to obtain control of the Company and could delay changes in management.</w:t>
      </w:r>
    </w:p>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Our amended and restated bylaws provide that a special meeting of stockholders may be called at any time by our board of directors. Because our stockholders do not have the right to call a special meeting, a stockholder cannot force stockholder consideration of a proposal over the opposition of our board of directors by calling a special meeting of stockholders prior to such time as a majority of our board of directors believes the matter should be considered and such stockholder would only be able to force consideration of such proposal at the next annual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requestor met the applicable notice requirements. The restriction on the ability of our stockholders to call a special meeting means that a proposal to replace one or more directors on our board of directors also could be delayed until the next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8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are required to indemnify our directors and officers, in each case to the fullest extent permitted by Delaware law. The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7" w:name="page48"/>
    <w:bookmarkEnd w:id="47"/>
    <w:p>
      <w:pPr>
        <w:spacing w:after="0" w:line="291" w:lineRule="auto"/>
        <w:rPr>
          <w:sz w:val="20"/>
          <w:szCs w:val="20"/>
          <w:color w:val="auto"/>
        </w:rPr>
      </w:pPr>
      <w:r>
        <w:rPr>
          <w:rFonts w:ascii="Arial" w:cs="Arial" w:eastAsia="Arial" w:hAnsi="Arial"/>
          <w:sz w:val="16"/>
          <w:szCs w:val="16"/>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brought against them by reason of the fact that they are or were our agents. We believe that these provisions in our amended and restated certificate of incorporation and amended and restated bylaws and indemnification agreements are necessary to attract and retain qualified directors and officers. We also maintain directors’ and officers’ liability insurance. This description of the limitation of liability and indemnification provisions of our amended and restated certificate of incorporation, amended and restated bylaws and indemnification agreements is qualified in its entirety by reference to these documents.</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Mintz, Levin, Cohn, Ferris, Glovsky and Popeo, P.C., New York, New York, will pass upon the validity of the issuance of the securities to be offered by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spacing w:after="0" w:line="279" w:lineRule="auto"/>
        <w:rPr>
          <w:rFonts w:ascii="Arial" w:cs="Arial" w:eastAsia="Arial" w:hAnsi="Arial"/>
          <w:sz w:val="17"/>
          <w:szCs w:val="17"/>
          <w:color w:val="0000EE"/>
        </w:rPr>
      </w:pPr>
      <w:hyperlink r:id="rId29">
        <w:r>
          <w:rPr>
            <w:rFonts w:ascii="Arial" w:cs="Arial" w:eastAsia="Arial" w:hAnsi="Arial"/>
            <w:sz w:val="17"/>
            <w:szCs w:val="17"/>
            <w:color w:val="auto"/>
          </w:rPr>
          <w:t xml:space="preserve">CohnReznick LLP, independent registered public accounting firm, has audited our financial statements included in our </w:t>
        </w:r>
        <w:r>
          <w:rPr>
            <w:rFonts w:ascii="Arial" w:cs="Arial" w:eastAsia="Arial" w:hAnsi="Arial"/>
            <w:sz w:val="17"/>
            <w:szCs w:val="17"/>
            <w:u w:val="single" w:color="auto"/>
            <w:color w:val="0000EE"/>
          </w:rPr>
          <w:t>Annual Report on Form 10-K for</w:t>
        </w:r>
      </w:hyperlink>
      <w:r>
        <w:rPr>
          <w:rFonts w:ascii="Arial" w:cs="Arial" w:eastAsia="Arial" w:hAnsi="Arial"/>
          <w:sz w:val="17"/>
          <w:szCs w:val="17"/>
          <w:color w:val="auto"/>
        </w:rPr>
        <w:t xml:space="preserve"> </w:t>
      </w:r>
      <w:hyperlink r:id="rId29">
        <w:r>
          <w:rPr>
            <w:rFonts w:ascii="Arial" w:cs="Arial" w:eastAsia="Arial" w:hAnsi="Arial"/>
            <w:sz w:val="17"/>
            <w:szCs w:val="17"/>
            <w:u w:val="single" w:color="auto"/>
            <w:color w:val="0000EE"/>
          </w:rPr>
          <w:t>the year ended December 31, 2018</w:t>
        </w:r>
        <w:r>
          <w:rPr>
            <w:rFonts w:ascii="Arial" w:cs="Arial" w:eastAsia="Arial" w:hAnsi="Arial"/>
            <w:sz w:val="17"/>
            <w:szCs w:val="17"/>
            <w:color w:val="000000"/>
          </w:rPr>
          <w:t xml:space="preserve">, as set forth in their report (which includes an explanatory paragraph referring to the Company’s ability to continue as </w:t>
        </w:r>
      </w:hyperlink>
      <w:r>
        <w:rPr>
          <w:rFonts w:ascii="Arial" w:cs="Arial" w:eastAsia="Arial" w:hAnsi="Arial"/>
          <w:sz w:val="17"/>
          <w:szCs w:val="17"/>
          <w:color w:val="0000EE"/>
        </w:rPr>
        <w:t xml:space="preserve">a </w:t>
      </w:r>
      <w:r>
        <w:rPr>
          <w:rFonts w:ascii="Arial" w:cs="Arial" w:eastAsia="Arial" w:hAnsi="Arial"/>
          <w:sz w:val="17"/>
          <w:szCs w:val="17"/>
          <w:color w:val="000000"/>
        </w:rPr>
        <w:t>going concern), which is incorporated by reference in this prospectus and elsewhere in this Registration Statement. Our financial statements are incorporated by reference in reliance on CohnReznick LLP’s report, given on their authority as experts in accounting and auditing.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are a public company and file annual, quarterly and current reports, proxy statements and other information with the SEC. You may read and copy any document we file at the SEC’s Public Reference Room at Station Place, 100 F Street, N.E., Washington, D.C. 20549. You can request copies of these documents by writing to the SEC and paying a fee for the copying cost. Please call the SEC at 1-800-SEC-0330 for more information about the operation of the Public Reference Room. Our SEC filings are also available to the public at the SEC’s web site at http://www.sec.gov, and on our web site at http://www.xpresspa.com. The information contained on our web site is not included or incorporated by reference into this prospectus. In addition, our common stock is listed for trading on The Nasdaq Capital Market under the symbol “XSPA.” You can read and copy reports and other information concerning us at the offices of the Financial Industry Reporting Authority located at 1735 K Street, N.W., Washington, D.C. 20006.</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w:t>
      </w:r>
    </w:p>
    <w:p>
      <w:pPr>
        <w:spacing w:after="0" w:line="187" w:lineRule="exact"/>
        <w:rPr>
          <w:sz w:val="20"/>
          <w:szCs w:val="20"/>
          <w:color w:val="auto"/>
        </w:rPr>
      </w:pPr>
    </w:p>
    <w:p>
      <w:pPr>
        <w:ind w:left="800" w:hanging="33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inspect a copy of the Registration Statement, including the exhibits and schedules, without charge at the Public Reference Room,</w:t>
      </w:r>
    </w:p>
    <w:p>
      <w:pPr>
        <w:spacing w:after="0" w:line="225" w:lineRule="exact"/>
        <w:rPr>
          <w:rFonts w:ascii="Arial" w:cs="Arial" w:eastAsia="Arial" w:hAnsi="Arial"/>
          <w:sz w:val="18"/>
          <w:szCs w:val="18"/>
          <w:color w:val="auto"/>
        </w:rPr>
      </w:pPr>
    </w:p>
    <w:p>
      <w:pPr>
        <w:ind w:left="800" w:hanging="33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 copy from the SEC upon payment of the fees prescribed by the SEC, or</w:t>
      </w:r>
    </w:p>
    <w:p>
      <w:pPr>
        <w:spacing w:after="0" w:line="225" w:lineRule="exact"/>
        <w:rPr>
          <w:rFonts w:ascii="Arial" w:cs="Arial" w:eastAsia="Arial" w:hAnsi="Arial"/>
          <w:sz w:val="18"/>
          <w:szCs w:val="18"/>
          <w:color w:val="auto"/>
        </w:rPr>
      </w:pPr>
    </w:p>
    <w:p>
      <w:pPr>
        <w:ind w:left="800" w:hanging="33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 copy from the SEC’s web site or our web site.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66" w:lineRule="exact"/>
        <w:rPr>
          <w:sz w:val="20"/>
          <w:szCs w:val="20"/>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0000EE"/>
        </w:rPr>
      </w:pPr>
      <w:hyperlink r:id="rId31">
        <w:r>
          <w:rPr>
            <w:rFonts w:ascii="Arial" w:cs="Arial" w:eastAsia="Arial" w:hAnsi="Arial"/>
            <w:sz w:val="18"/>
            <w:szCs w:val="18"/>
            <w:u w:val="single" w:color="auto"/>
            <w:color w:val="0000EE"/>
          </w:rPr>
          <w:t>Our Annual Report on Form 10-K for the year ended December 31, 2018, filed on April 1, 2019</w:t>
        </w:r>
        <w:r>
          <w:rPr>
            <w:rFonts w:ascii="Arial" w:cs="Arial" w:eastAsia="Arial" w:hAnsi="Arial"/>
            <w:sz w:val="18"/>
            <w:szCs w:val="18"/>
            <w:color w:val="000000"/>
          </w:rPr>
          <w:t>, as</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amended on April 30, 2019 (File No. 001-</w:t>
        </w:r>
      </w:hyperlink>
      <w:hyperlink r:id="rId31">
        <w:r>
          <w:rPr>
            <w:rFonts w:ascii="Arial" w:cs="Arial" w:eastAsia="Arial" w:hAnsi="Arial"/>
            <w:sz w:val="18"/>
            <w:szCs w:val="18"/>
            <w:u w:val="single" w:color="auto"/>
            <w:color w:val="0000EE"/>
          </w:rPr>
          <w:t>34785)</w:t>
        </w:r>
        <w:r>
          <w:rPr>
            <w:rFonts w:ascii="Arial" w:cs="Arial" w:eastAsia="Arial" w:hAnsi="Arial"/>
            <w:sz w:val="18"/>
            <w:szCs w:val="18"/>
            <w:color w:val="000000"/>
          </w:rPr>
          <w:t>;</w:t>
        </w:r>
      </w:hyperlink>
    </w:p>
    <w:p>
      <w:pPr>
        <w:spacing w:after="0" w:line="386"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660" w:right="20" w:hanging="328"/>
        <w:spacing w:after="0" w:line="263" w:lineRule="auto"/>
        <w:tabs>
          <w:tab w:leader="none" w:pos="660" w:val="left"/>
        </w:tabs>
        <w:numPr>
          <w:ilvl w:val="0"/>
          <w:numId w:val="28"/>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36">
        <w:r>
          <w:rPr>
            <w:rFonts w:ascii="Arial" w:cs="Arial" w:eastAsia="Arial" w:hAnsi="Arial"/>
            <w:sz w:val="18"/>
            <w:szCs w:val="18"/>
            <w:u w:val="single" w:color="auto"/>
            <w:color w:val="0000EE"/>
          </w:rPr>
          <w:t>February 13, 2019</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February 22, 2019</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EE"/>
          </w:rPr>
          <w:t>March 15, 2019</w:t>
        </w:r>
      </w:hyperlink>
      <w:r>
        <w:rPr>
          <w:rFonts w:ascii="Arial" w:cs="Arial" w:eastAsia="Arial" w:hAnsi="Arial"/>
          <w:sz w:val="18"/>
          <w:szCs w:val="18"/>
          <w:color w:val="auto"/>
        </w:rPr>
        <w:t xml:space="preserve">, </w:t>
      </w:r>
      <w:hyperlink r:id="rId39">
        <w:r>
          <w:rPr>
            <w:rFonts w:ascii="Arial" w:cs="Arial" w:eastAsia="Arial" w:hAnsi="Arial"/>
            <w:sz w:val="18"/>
            <w:szCs w:val="18"/>
            <w:u w:val="single" w:color="auto"/>
            <w:color w:val="0000EE"/>
          </w:rPr>
          <w:t>March 22, 2019</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EE"/>
          </w:rPr>
          <w:t>April 30, 2019</w:t>
        </w:r>
      </w:hyperlink>
      <w:r>
        <w:rPr>
          <w:rFonts w:ascii="Arial" w:cs="Arial" w:eastAsia="Arial" w:hAnsi="Arial"/>
          <w:sz w:val="18"/>
          <w:szCs w:val="18"/>
          <w:color w:val="auto"/>
        </w:rPr>
        <w:t xml:space="preserve">, </w:t>
      </w:r>
      <w:hyperlink r:id="rId78">
        <w:r>
          <w:rPr>
            <w:rFonts w:ascii="Arial" w:cs="Arial" w:eastAsia="Arial" w:hAnsi="Arial"/>
            <w:sz w:val="18"/>
            <w:szCs w:val="18"/>
            <w:u w:val="single" w:color="auto"/>
            <w:color w:val="0000EE"/>
          </w:rPr>
          <w:t>May 17,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9">
        <w:r>
          <w:rPr>
            <w:rFonts w:ascii="Arial" w:cs="Arial" w:eastAsia="Arial" w:hAnsi="Arial"/>
            <w:sz w:val="18"/>
            <w:szCs w:val="18"/>
            <w:u w:val="single" w:color="auto"/>
            <w:color w:val="0000EE"/>
          </w:rPr>
          <w:t>June 17,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80">
        <w:r>
          <w:rPr>
            <w:rFonts w:ascii="Arial" w:cs="Arial" w:eastAsia="Arial" w:hAnsi="Arial"/>
            <w:sz w:val="18"/>
            <w:szCs w:val="18"/>
            <w:u w:val="single" w:color="auto"/>
            <w:color w:val="0000EE"/>
          </w:rPr>
          <w:t xml:space="preserve">June 27,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81">
        <w:r>
          <w:rPr>
            <w:rFonts w:ascii="Arial" w:cs="Arial" w:eastAsia="Arial" w:hAnsi="Arial"/>
            <w:sz w:val="18"/>
            <w:szCs w:val="18"/>
            <w:u w:val="single" w:color="auto"/>
            <w:color w:val="0000EE"/>
          </w:rPr>
          <w:t xml:space="preserve">July 8, 2019 </w:t>
        </w:r>
      </w:hyperlink>
      <w:r>
        <w:rPr>
          <w:rFonts w:ascii="Arial" w:cs="Arial" w:eastAsia="Arial" w:hAnsi="Arial"/>
          <w:sz w:val="18"/>
          <w:szCs w:val="18"/>
          <w:color w:val="000000"/>
        </w:rPr>
        <w:t>(except</w:t>
      </w:r>
      <w:r>
        <w:rPr>
          <w:rFonts w:ascii="Arial" w:cs="Arial" w:eastAsia="Arial" w:hAnsi="Arial"/>
          <w:sz w:val="18"/>
          <w:szCs w:val="18"/>
          <w:color w:val="0000EE"/>
        </w:rPr>
        <w:t xml:space="preserve"> </w:t>
      </w:r>
      <w:r>
        <w:rPr>
          <w:rFonts w:ascii="Arial" w:cs="Arial" w:eastAsia="Arial" w:hAnsi="Arial"/>
          <w:sz w:val="18"/>
          <w:szCs w:val="18"/>
          <w:color w:val="000000"/>
        </w:rPr>
        <w:t>for the information furnished under Items 2.02 or 7.01 and the exhibits</w:t>
      </w:r>
      <w:r>
        <w:rPr>
          <w:rFonts w:ascii="Arial" w:cs="Arial" w:eastAsia="Arial" w:hAnsi="Arial"/>
          <w:sz w:val="18"/>
          <w:szCs w:val="18"/>
          <w:color w:val="0000EE"/>
        </w:rPr>
        <w:t xml:space="preserve"> </w:t>
      </w:r>
      <w:r>
        <w:rPr>
          <w:rFonts w:ascii="Arial" w:cs="Arial" w:eastAsia="Arial" w:hAnsi="Arial"/>
          <w:sz w:val="18"/>
          <w:szCs w:val="18"/>
          <w:color w:val="000000"/>
        </w:rPr>
        <w:t>furnished thereto);</w:t>
      </w:r>
    </w:p>
    <w:p>
      <w:pPr>
        <w:spacing w:after="0" w:line="183" w:lineRule="exact"/>
        <w:rPr>
          <w:rFonts w:ascii="Arial" w:cs="Arial" w:eastAsia="Arial" w:hAnsi="Arial"/>
          <w:sz w:val="18"/>
          <w:szCs w:val="18"/>
          <w:color w:val="0000EE"/>
        </w:rPr>
      </w:pPr>
    </w:p>
    <w:p>
      <w:pPr>
        <w:ind w:left="660" w:right="20" w:hanging="328"/>
        <w:spacing w:after="0" w:line="263" w:lineRule="auto"/>
        <w:tabs>
          <w:tab w:leader="none" w:pos="660" w:val="left"/>
        </w:tabs>
        <w:numPr>
          <w:ilvl w:val="0"/>
          <w:numId w:val="28"/>
        </w:numPr>
        <w:rPr>
          <w:rFonts w:ascii="Arial" w:cs="Arial" w:eastAsia="Arial" w:hAnsi="Arial"/>
          <w:sz w:val="18"/>
          <w:szCs w:val="18"/>
          <w:color w:val="0000EE"/>
        </w:rPr>
      </w:pPr>
      <w:hyperlink r:id="rId45">
        <w:r>
          <w:rPr>
            <w:rFonts w:ascii="Arial" w:cs="Arial" w:eastAsia="Arial" w:hAnsi="Arial"/>
            <w:sz w:val="18"/>
            <w:szCs w:val="18"/>
            <w:color w:val="auto"/>
          </w:rPr>
          <w:t xml:space="preserve">The description of our securities contained in our Registration Statement on Form 8-A filed on </w:t>
        </w:r>
        <w:r>
          <w:rPr>
            <w:rFonts w:ascii="Arial" w:cs="Arial" w:eastAsia="Arial" w:hAnsi="Arial"/>
            <w:sz w:val="18"/>
            <w:szCs w:val="18"/>
            <w:u w:val="single" w:color="auto"/>
            <w:color w:val="0000EE"/>
          </w:rPr>
          <w:t>March 21, 2016 (File No. 001-34785)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29,</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EE"/>
          </w:rPr>
          <w:t>2013 (File No. 001-34785)</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82">
        <w:r>
          <w:rPr>
            <w:rFonts w:ascii="Arial" w:cs="Arial" w:eastAsia="Arial" w:hAnsi="Arial"/>
            <w:sz w:val="18"/>
            <w:szCs w:val="18"/>
            <w:u w:val="single" w:color="auto"/>
            <w:color w:val="0000EE"/>
          </w:rPr>
          <w:t>June 16, 2010 (File No. 001-34785)</w:t>
        </w:r>
      </w:hyperlink>
      <w:hyperlink r:id="rId45">
        <w:r>
          <w:rPr>
            <w:rFonts w:ascii="Arial" w:cs="Arial" w:eastAsia="Arial" w:hAnsi="Arial"/>
            <w:sz w:val="18"/>
            <w:szCs w:val="18"/>
            <w:color w:val="000000"/>
          </w:rPr>
          <w:t xml:space="preserve">, pursuant to Section 12(b) of the Exchange Act, and any amendment or </w:t>
        </w:r>
      </w:hyperlink>
      <w:r>
        <w:rPr>
          <w:rFonts w:ascii="Arial" w:cs="Arial" w:eastAsia="Arial" w:hAnsi="Arial"/>
          <w:sz w:val="18"/>
          <w:szCs w:val="18"/>
          <w:color w:val="0000EE"/>
        </w:rPr>
        <w:t xml:space="preserve">report </w:t>
      </w:r>
      <w:r>
        <w:rPr>
          <w:rFonts w:ascii="Arial" w:cs="Arial" w:eastAsia="Arial" w:hAnsi="Arial"/>
          <w:sz w:val="18"/>
          <w:szCs w:val="18"/>
          <w:color w:val="000000"/>
        </w:rPr>
        <w:t>filed with the SEC for purposes of updating such description; and</w:t>
      </w:r>
    </w:p>
    <w:p>
      <w:pPr>
        <w:spacing w:after="0" w:line="183" w:lineRule="exact"/>
        <w:rPr>
          <w:rFonts w:ascii="Arial" w:cs="Arial" w:eastAsia="Arial" w:hAnsi="Arial"/>
          <w:sz w:val="18"/>
          <w:szCs w:val="18"/>
          <w:color w:val="0000EE"/>
        </w:rPr>
      </w:pPr>
    </w:p>
    <w:p>
      <w:pPr>
        <w:ind w:left="660" w:hanging="328"/>
        <w:spacing w:after="0" w:line="286"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65" w:lineRule="exact"/>
        <w:rPr>
          <w:rFonts w:ascii="Arial" w:cs="Arial" w:eastAsia="Arial" w:hAnsi="Arial"/>
          <w:sz w:val="18"/>
          <w:szCs w:val="18"/>
          <w:color w:val="0000EE"/>
        </w:rPr>
      </w:pPr>
    </w:p>
    <w:p>
      <w:pPr>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rFonts w:ascii="Arial" w:cs="Arial" w:eastAsia="Arial" w:hAnsi="Arial"/>
          <w:sz w:val="18"/>
          <w:szCs w:val="18"/>
          <w:color w:val="0000EE"/>
        </w:rPr>
      </w:pPr>
    </w:p>
    <w:p>
      <w:pPr>
        <w:ind w:right="40"/>
        <w:spacing w:after="0" w:line="263" w:lineRule="auto"/>
        <w:rPr>
          <w:sz w:val="20"/>
          <w:szCs w:val="20"/>
          <w:color w:val="auto"/>
        </w:rPr>
      </w:pPr>
      <w:r>
        <w:rPr>
          <w:rFonts w:ascii="Arial" w:cs="Arial" w:eastAsia="Arial" w:hAnsi="Arial"/>
          <w:sz w:val="18"/>
          <w:szCs w:val="18"/>
          <w:color w:val="auto"/>
        </w:rPr>
        <w:t>You may request, orally or in writing, a copy of these documents, which will be provided to you at no cost, by contacting XpresSpa Group, Inc., 780 Third Avenue, 12th Floor, New York, NY 10017 Attention: Investor Relations. The Investor Relations Department can be reached via telephone at (212) 838-3777.</w:t>
      </w:r>
    </w:p>
    <w:p>
      <w:pPr>
        <w:spacing w:after="0" w:line="400"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39"/>
          <w:szCs w:val="39"/>
          <w:b w:val="1"/>
          <w:bCs w:val="1"/>
          <w:color w:val="auto"/>
        </w:rPr>
        <w:t>XpresSpa,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$50,000,000</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8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0"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png"/><Relationship Id="rId49" Type="http://schemas.openxmlformats.org/officeDocument/2006/relationships/image" Target="media/image26.png"/><Relationship Id="rId50" Type="http://schemas.openxmlformats.org/officeDocument/2006/relationships/image" Target="media/image27.png"/><Relationship Id="rId51" Type="http://schemas.openxmlformats.org/officeDocument/2006/relationships/image" Target="media/image28.png"/><Relationship Id="rId52" Type="http://schemas.openxmlformats.org/officeDocument/2006/relationships/image" Target="media/image29.png"/><Relationship Id="rId53"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29" Type="http://schemas.openxmlformats.org/officeDocument/2006/relationships/hyperlink" Target="http://www.sec.gov/Archives/edgar/data/1410428/000114420419017496/tv516017_10k.htm" TargetMode="External"/><Relationship Id="rId31" Type="http://schemas.openxmlformats.org/officeDocument/2006/relationships/hyperlink" Target="http://www.sec.gov/Archives/edgar/data/1410428/000114420419022522/tv519608_10ka.htm" TargetMode="External"/><Relationship Id="rId32" Type="http://schemas.openxmlformats.org/officeDocument/2006/relationships/hyperlink" Target="http://www.sec.gov/Archives/edgar/data/1410428/000114420419026665/tv520725_10q.htm" TargetMode="External"/><Relationship Id="rId33" Type="http://schemas.openxmlformats.org/officeDocument/2006/relationships/hyperlink" Target="http://www.sec.gov/Archives/edgar/data/1410428/000114420419040130/tv527296_10q.htm" TargetMode="External"/><Relationship Id="rId34" Type="http://schemas.openxmlformats.org/officeDocument/2006/relationships/hyperlink" Target="http://www.sec.gov/Archives/edgar/data/1410428/000110465919064328/tm1919635d1_10q.htm" TargetMode="External"/><Relationship Id="rId35" Type="http://schemas.openxmlformats.org/officeDocument/2006/relationships/hyperlink" Target="http://www.sec.gov/Archives/edgar/data/1410428/000114420419038961/tv526329-def14a.htm" TargetMode="External"/><Relationship Id="rId36" Type="http://schemas.openxmlformats.org/officeDocument/2006/relationships/hyperlink" Target="http://www.sec.gov/Archives/edgar/data/1410428/000114420419007309/tv513163_8k.htm" TargetMode="External"/><Relationship Id="rId37" Type="http://schemas.openxmlformats.org/officeDocument/2006/relationships/hyperlink" Target="http://www.sec.gov/Archives/edgar/data/1410428/000114420419009610/tv514467_8k.htm" TargetMode="External"/><Relationship Id="rId38" Type="http://schemas.openxmlformats.org/officeDocument/2006/relationships/hyperlink" Target="http://www.sec.gov/Archives/edgar/data/1410428/000114420419014325/tv516349_8k.htm" TargetMode="External"/><Relationship Id="rId39" Type="http://schemas.openxmlformats.org/officeDocument/2006/relationships/hyperlink" Target="http://www.sec.gov/Archives/edgar/data/1410428/000114420419015650/tv516755_8k.htm" TargetMode="External"/><Relationship Id="rId40" Type="http://schemas.openxmlformats.org/officeDocument/2006/relationships/hyperlink" Target="http://www.sec.gov/Archives/edgar/data/1410428/000114420419022528/tv520089_8k.htm" TargetMode="External"/><Relationship Id="rId41" Type="http://schemas.openxmlformats.org/officeDocument/2006/relationships/hyperlink" Target="http://www.sec.gov/Archives/edgar/data/1410428/000110465920003636/tm203197-1_8k.htm" TargetMode="External"/><Relationship Id="rId42" Type="http://schemas.openxmlformats.org/officeDocument/2006/relationships/hyperlink" Target="http://www.sec.gov/Archives/edgar/data/1410428/000110465920009856/tm206420d1_8k.htm" TargetMode="External"/><Relationship Id="rId43" Type="http://schemas.openxmlformats.org/officeDocument/2006/relationships/hyperlink" Target="http://www.sec.gov/Archives/edgar/data/1410428/000110465920029962/tm2011914d1_8k.htm" TargetMode="External"/><Relationship Id="rId44" Type="http://schemas.openxmlformats.org/officeDocument/2006/relationships/hyperlink" Target="http://www.sec.gov/Archives/edgar/data/1410428/000110465920035631/tm2013177d1_8k.htm" TargetMode="External"/><Relationship Id="rId45" Type="http://schemas.openxmlformats.org/officeDocument/2006/relationships/hyperlink" Target="http://www.sec.gov/Archives/edgar/data/1410428/000114420413024675/v342843_8a12b.htm" TargetMode="External"/><Relationship Id="rId54" Type="http://schemas.openxmlformats.org/officeDocument/2006/relationships/hyperlink" Target="http://www.sec.gov/Archives/edgar/data/1410428/000114420419034328/tv525020_8k.htm" TargetMode="External"/><Relationship Id="rId78" Type="http://schemas.openxmlformats.org/officeDocument/2006/relationships/hyperlink" Target="http://www.sec.gov/Archives/edgar/data/1410428/000114420419027101/tv521899_8k.htm" TargetMode="External"/><Relationship Id="rId79" Type="http://schemas.openxmlformats.org/officeDocument/2006/relationships/hyperlink" Target="http://www.sec.gov/Archives/edgar/data/1410428/000114420419031189/tv523626_8k.htm" TargetMode="External"/><Relationship Id="rId80" Type="http://schemas.openxmlformats.org/officeDocument/2006/relationships/hyperlink" Target="http://www.sec.gov/Archives/edgar/data/1410428/000114420419032532/tv524367_8k.htm" TargetMode="External"/><Relationship Id="rId81" Type="http://schemas.openxmlformats.org/officeDocument/2006/relationships/hyperlink" Target="http://www.sec.gov/Archives/edgar/data/1410428/000114420419033939/tv524856_8k.htm" TargetMode="External"/><Relationship Id="rId82" Type="http://schemas.openxmlformats.org/officeDocument/2006/relationships/hyperlink" Target="http://www.sec.gov/Archives/edgar/data/1410428/000119312510140514/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2020-03-23T05:03:00Z</dcterms:created>
  <dcterms:modified xsi:type="dcterms:W3CDTF">2020-03-23T05:03:00Z</dcterms:modified>
</cp:coreProperties>
</file>