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Andrew Kennedy</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CTO</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12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02/11/2013</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2"/>
              </w:rPr>
              <w:t>31,250</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8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2,778,837</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3"/>
            <w:vMerge w:val="restart"/>
          </w:tcPr>
          <w:p>
            <w:pPr>
              <w:jc w:val="right"/>
              <w:ind w:right="219"/>
              <w:spacing w:after="0"/>
              <w:rPr>
                <w:sz w:val="20"/>
                <w:szCs w:val="20"/>
                <w:color w:val="auto"/>
              </w:rPr>
            </w:pPr>
            <w:r>
              <w:rPr>
                <w:rFonts w:ascii="Arial" w:cs="Arial" w:eastAsia="Arial" w:hAnsi="Arial"/>
                <w:sz w:val="17"/>
                <w:szCs w:val="17"/>
                <w:color w:val="0000FF"/>
              </w:rPr>
              <w:t>2,931,752</w:t>
            </w:r>
          </w:p>
        </w:tc>
        <w:tc>
          <w:tcPr>
            <w:tcW w:w="36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20" w:type="dxa"/>
            <w:vAlign w:val="bottom"/>
            <w:gridSpan w:val="14"/>
          </w:tcPr>
          <w:p>
            <w:pPr>
              <w:jc w:val="center"/>
              <w:ind w:righ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1"/>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02/11/2013</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83,333</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3"/>
                <w:szCs w:val="13"/>
                <w:color w:val="0000FF"/>
              </w:rPr>
              <w:t>02/11/2023</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83,333</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80"/>
              <w:spacing w:after="0"/>
              <w:rPr>
                <w:sz w:val="20"/>
                <w:szCs w:val="20"/>
                <w:color w:val="auto"/>
              </w:rPr>
            </w:pPr>
            <w:r>
              <w:rPr>
                <w:rFonts w:ascii="Arial" w:cs="Arial" w:eastAsia="Arial" w:hAnsi="Arial"/>
                <w:sz w:val="13"/>
                <w:szCs w:val="13"/>
                <w:color w:val="0000FF"/>
              </w:rPr>
              <w:t>83,333</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One-twelfth (1/12) of the number of restricted stock units granted shall vest at the end of each calendar quarter over three (3) years, however the first and second tranches (for the first and second quarters of 2013) shall both vest on the last day of the second (2nd) quarter of 2013.</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140,625 shares of common stock that are represented by unvested restricted stock units.</w:t>
      </w:r>
    </w:p>
    <w:p>
      <w:pPr>
        <w:spacing w:after="0" w:line="51"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One-twelfth (1/12) of the number of options granted shall vest on the last day of each calendar quarter over three (3) years, with the first tranche of options vesting at the end of the first quarter of 2013.</w:t>
      </w:r>
    </w:p>
    <w:p>
      <w:pPr>
        <w:spacing w:after="0" w:line="8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Andrew Kennedy Lang</w:t>
            </w:r>
          </w:p>
        </w:tc>
        <w:tc>
          <w:tcPr>
            <w:tcW w:w="780" w:type="dxa"/>
            <w:vAlign w:val="bottom"/>
          </w:tcPr>
          <w:p>
            <w:pPr>
              <w:spacing w:after="0"/>
              <w:rPr>
                <w:sz w:val="20"/>
                <w:szCs w:val="20"/>
                <w:color w:val="auto"/>
              </w:rPr>
            </w:pPr>
            <w:r>
              <w:rPr>
                <w:rFonts w:ascii="Arial" w:cs="Arial" w:eastAsia="Arial" w:hAnsi="Arial"/>
                <w:sz w:val="17"/>
                <w:szCs w:val="17"/>
                <w:color w:val="0000FF"/>
                <w:w w:val="89"/>
              </w:rPr>
              <w:t>02/13/2013</w:t>
            </w:r>
          </w:p>
        </w:tc>
      </w:tr>
      <w:tr>
        <w:trPr>
          <w:trHeight w:val="20"/>
        </w:trPr>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2019-12-17T07:08:16Z</dcterms:created>
  <dcterms:modified xsi:type="dcterms:W3CDTF">2019-12-17T07:08:16Z</dcterms:modified>
</cp:coreProperties>
</file>