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January 2, 2025</w:t>
      </w:r>
    </w:p>
    <w:p>
      <w:pPr>
        <w:spacing w:after="0" w:line="2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XWELL,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(State or Other Jurisdiction of Incorporation)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5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001-34785</w:t>
            </w:r>
          </w:p>
        </w:tc>
        <w:tc>
          <w:tcPr>
            <w:tcW w:w="220" w:type="dxa"/>
            <w:vAlign w:val="bottom"/>
          </w:tcPr>
          <w:p>
            <w:pPr>
              <w:spacing w:after="0"/>
              <w:rPr>
                <w:sz w:val="21"/>
                <w:szCs w:val="21"/>
                <w:color w:val="auto"/>
              </w:rPr>
            </w:pPr>
          </w:p>
        </w:tc>
        <w:tc>
          <w:tcPr>
            <w:tcW w:w="5500" w:type="dxa"/>
            <w:vAlign w:val="bottom"/>
            <w:tcBorders>
              <w:bottom w:val="single" w:sz="8" w:color="auto"/>
            </w:tcBorders>
          </w:tcPr>
          <w:p>
            <w:pPr>
              <w:jc w:val="right"/>
              <w:ind w:right="2230"/>
              <w:spacing w:after="0"/>
              <w:rPr>
                <w:sz w:val="20"/>
                <w:szCs w:val="20"/>
                <w:color w:val="auto"/>
              </w:rPr>
            </w:pPr>
            <w:r>
              <w:rPr>
                <w:rFonts w:ascii="Times New Roman" w:cs="Times New Roman" w:eastAsia="Times New Roman" w:hAnsi="Times New Roman"/>
                <w:sz w:val="18"/>
                <w:szCs w:val="18"/>
                <w:b w:val="1"/>
                <w:bCs w:val="1"/>
                <w:color w:val="auto"/>
              </w:rPr>
              <w:t>20-4988129</w:t>
            </w:r>
          </w:p>
        </w:tc>
      </w:tr>
      <w:tr>
        <w:trPr>
          <w:trHeight w:val="234"/>
        </w:trPr>
        <w:tc>
          <w:tcPr>
            <w:tcW w:w="55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(Commission File Number)</w:t>
            </w:r>
          </w:p>
        </w:tc>
        <w:tc>
          <w:tcPr>
            <w:tcW w:w="220" w:type="dxa"/>
            <w:vAlign w:val="bottom"/>
          </w:tcPr>
          <w:p>
            <w:pPr>
              <w:spacing w:after="0"/>
              <w:rPr>
                <w:sz w:val="20"/>
                <w:szCs w:val="20"/>
                <w:color w:val="auto"/>
              </w:rPr>
            </w:pPr>
          </w:p>
        </w:tc>
        <w:tc>
          <w:tcPr>
            <w:tcW w:w="5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(IRS Employer Identification No.)</w:t>
            </w:r>
          </w:p>
        </w:tc>
      </w:tr>
      <w:tr>
        <w:trPr>
          <w:trHeight w:val="421"/>
        </w:trPr>
        <w:tc>
          <w:tcPr>
            <w:tcW w:w="57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254 West 31st Street, 11th Floor, New York, New York</w:t>
            </w:r>
          </w:p>
        </w:tc>
        <w:tc>
          <w:tcPr>
            <w:tcW w:w="5500" w:type="dxa"/>
            <w:vAlign w:val="bottom"/>
          </w:tcPr>
          <w:p>
            <w:pPr>
              <w:jc w:val="right"/>
              <w:ind w:right="2430"/>
              <w:spacing w:after="0"/>
              <w:rPr>
                <w:sz w:val="20"/>
                <w:szCs w:val="20"/>
                <w:color w:val="auto"/>
              </w:rPr>
            </w:pPr>
            <w:r>
              <w:rPr>
                <w:rFonts w:ascii="Times New Roman" w:cs="Times New Roman" w:eastAsia="Times New Roman" w:hAnsi="Times New Roman"/>
                <w:sz w:val="18"/>
                <w:szCs w:val="18"/>
                <w:b w:val="1"/>
                <w:bCs w:val="1"/>
                <w:color w:val="auto"/>
              </w:rPr>
              <w:t>10001</w:t>
            </w:r>
          </w:p>
        </w:tc>
      </w:tr>
      <w:tr>
        <w:trPr>
          <w:trHeight w:val="234"/>
        </w:trPr>
        <w:tc>
          <w:tcPr>
            <w:tcW w:w="5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220" w:type="dxa"/>
            <w:vAlign w:val="bottom"/>
          </w:tcPr>
          <w:p>
            <w:pPr>
              <w:spacing w:after="0"/>
              <w:rPr>
                <w:sz w:val="20"/>
                <w:szCs w:val="20"/>
                <w:color w:val="auto"/>
              </w:rPr>
            </w:pPr>
          </w:p>
        </w:tc>
        <w:tc>
          <w:tcPr>
            <w:tcW w:w="55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17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(212) 750-9595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25"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1"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46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tc>
        <w:tc>
          <w:tcPr>
            <w:tcW w:w="2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0" w:type="dxa"/>
            <w:vAlign w:val="bottom"/>
          </w:tcPr>
          <w:p>
            <w:pPr>
              <w:spacing w:after="0"/>
              <w:rPr>
                <w:sz w:val="20"/>
                <w:szCs w:val="20"/>
                <w:color w:val="auto"/>
              </w:rPr>
            </w:pPr>
          </w:p>
        </w:tc>
      </w:tr>
      <w:tr>
        <w:trPr>
          <w:trHeight w:val="439"/>
        </w:trPr>
        <w:tc>
          <w:tcPr>
            <w:tcW w:w="4660" w:type="dxa"/>
            <w:vAlign w:val="bottom"/>
            <w:gridSpan w:val="3"/>
          </w:tcPr>
          <w:p>
            <w:pPr>
              <w:jc w:val="center"/>
              <w:ind w:right="82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2780" w:type="dxa"/>
            <w:vAlign w:val="bottom"/>
            <w:gridSpan w:val="2"/>
          </w:tcPr>
          <w:p>
            <w:pPr>
              <w:jc w:val="center"/>
              <w:ind w:right="82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38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34"/>
        </w:trPr>
        <w:tc>
          <w:tcPr>
            <w:tcW w:w="38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Common Stock, par value $0.01 per share</w:t>
            </w:r>
          </w:p>
        </w:tc>
        <w:tc>
          <w:tcPr>
            <w:tcW w:w="120" w:type="dxa"/>
            <w:vAlign w:val="bottom"/>
          </w:tcPr>
          <w:p>
            <w:pPr>
              <w:spacing w:after="0"/>
              <w:rPr>
                <w:sz w:val="20"/>
                <w:szCs w:val="20"/>
                <w:color w:val="auto"/>
              </w:rPr>
            </w:pPr>
          </w:p>
        </w:tc>
        <w:tc>
          <w:tcPr>
            <w:tcW w:w="720" w:type="dxa"/>
            <w:vAlign w:val="bottom"/>
            <w:tcBorders>
              <w:top w:val="single" w:sz="8" w:color="auto"/>
            </w:tcBorders>
          </w:tcPr>
          <w:p>
            <w:pPr>
              <w:spacing w:after="0"/>
              <w:rPr>
                <w:sz w:val="20"/>
                <w:szCs w:val="20"/>
                <w:color w:val="auto"/>
              </w:rPr>
            </w:pPr>
          </w:p>
        </w:tc>
        <w:tc>
          <w:tcPr>
            <w:tcW w:w="2660" w:type="dxa"/>
            <w:vAlign w:val="bottom"/>
            <w:tcBorders>
              <w:top w:val="single" w:sz="8" w:color="auto"/>
            </w:tcBorders>
          </w:tcPr>
          <w:p>
            <w:pPr>
              <w:jc w:val="center"/>
              <w:ind w:right="610"/>
              <w:spacing w:after="0"/>
              <w:rPr>
                <w:sz w:val="20"/>
                <w:szCs w:val="20"/>
                <w:color w:val="auto"/>
              </w:rPr>
            </w:pPr>
            <w:r>
              <w:rPr>
                <w:rFonts w:ascii="Times New Roman" w:cs="Times New Roman" w:eastAsia="Times New Roman" w:hAnsi="Times New Roman"/>
                <w:sz w:val="18"/>
                <w:szCs w:val="18"/>
                <w:color w:val="auto"/>
                <w:w w:val="99"/>
              </w:rPr>
              <w:t>XWEL</w:t>
            </w:r>
          </w:p>
        </w:tc>
        <w:tc>
          <w:tcPr>
            <w:tcW w:w="120" w:type="dxa"/>
            <w:vAlign w:val="bottom"/>
          </w:tcPr>
          <w:p>
            <w:pPr>
              <w:spacing w:after="0"/>
              <w:rPr>
                <w:sz w:val="20"/>
                <w:szCs w:val="20"/>
                <w:color w:val="auto"/>
              </w:rPr>
            </w:pPr>
          </w:p>
        </w:tc>
        <w:tc>
          <w:tcPr>
            <w:tcW w:w="38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w:t>
            </w:r>
          </w:p>
        </w:tc>
      </w:tr>
    </w:tbl>
    <w:p>
      <w:pPr>
        <w:spacing w:after="0" w:line="179"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179705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488315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46" w:right="339" w:bottom="1440" w:gutter="0" w:footer="0" w:header="0"/>
        </w:sectPr>
      </w:pPr>
    </w:p>
    <w:bookmarkStart w:id="1" w:name="page2"/>
    <w:bookmarkEnd w:id="1"/>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5.02</w:t>
      </w:r>
      <w:r>
        <w:rPr>
          <w:sz w:val="20"/>
          <w:szCs w:val="20"/>
          <w:color w:val="auto"/>
        </w:rPr>
        <w:tab/>
      </w:r>
      <w:r>
        <w:rPr>
          <w:rFonts w:ascii="Times New Roman" w:cs="Times New Roman" w:eastAsia="Times New Roman" w:hAnsi="Times New Roman"/>
          <w:sz w:val="17"/>
          <w:szCs w:val="17"/>
          <w:b w:val="1"/>
          <w:bCs w:val="1"/>
          <w:color w:val="auto"/>
        </w:rPr>
        <w:t>Departure of Directors or Principal Officers; Election of Directors; Appointment of Principal Officers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Resignation, Separation Agreement and Release with Suzanne Scrabis</w:t>
      </w:r>
    </w:p>
    <w:p>
      <w:pPr>
        <w:spacing w:after="0" w:line="22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January 2, 2025, XWELL, Inc.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entered into that certain Resignation, Separation Agreement and Release (the “</w:t>
      </w:r>
      <w:r>
        <w:rPr>
          <w:rFonts w:ascii="Times New Roman" w:cs="Times New Roman" w:eastAsia="Times New Roman" w:hAnsi="Times New Roman"/>
          <w:sz w:val="18"/>
          <w:szCs w:val="18"/>
          <w:b w:val="1"/>
          <w:bCs w:val="1"/>
          <w:i w:val="1"/>
          <w:iCs w:val="1"/>
          <w:color w:val="auto"/>
        </w:rPr>
        <w:t>Scrabis Release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color w:val="auto"/>
        </w:rPr>
        <w:t>”), by and between the Company and Suzanne Scrabis, and effective as January 8, 2025 (the</w:t>
      </w:r>
      <w:r>
        <w:rPr>
          <w:rFonts w:ascii="Times New Roman" w:cs="Times New Roman" w:eastAsia="Times New Roman" w:hAnsi="Times New Roman"/>
          <w:sz w:val="18"/>
          <w:szCs w:val="18"/>
          <w:b w:val="1"/>
          <w:bCs w:val="1"/>
          <w:i w:val="1"/>
          <w:iCs w:val="1"/>
          <w:color w:val="auto"/>
        </w:rPr>
        <w:t xml:space="preserve"> “Scrabis Separation Date</w:t>
      </w:r>
      <w:r>
        <w:rPr>
          <w:rFonts w:ascii="Times New Roman" w:cs="Times New Roman" w:eastAsia="Times New Roman" w:hAnsi="Times New Roman"/>
          <w:sz w:val="18"/>
          <w:szCs w:val="18"/>
          <w:color w:val="auto"/>
        </w:rPr>
        <w:t>”), in connection with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Ms. Scrabis’s resignation as the Chief Financial Officer of the Company. Pursuant to the terms of the Scrabis Release Agreement, in consideration for performing certain transition services and entering into the Scrabis Release Agreement, Ms. Scrabis will receive within 30 days from the Separation Date, a regular bi-weekly salary in the amount of $11,538.46 for a period of six months, less all applicable deductions and withholdings. The Company has additionally agreed to reimburse the portion of Consolidated Omnibus Budget Reconciliation Act of 1985, as amended, premiums paid by Ms. Scrabis for the continuation of health coverage under the Company’s group benefit plans, for up to six months and subject to certain exceptions.</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Scrabis Release Agreement also provides for certain customary covenants regarding confidentiality and a release of claims. Ms. Scrabis’s resignation as the Chief Financial Officer of the Company was not the result of any disagreement regarding any matter relating to the Company’s operations, policies, or practices.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Executive Employment Agreement with Thomas Ian Brown</w:t>
      </w:r>
    </w:p>
    <w:p>
      <w:pPr>
        <w:spacing w:after="0" w:line="22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On January 3, 2025, the Company entered into that certain Executive Employment Agreement (the “</w:t>
      </w:r>
      <w:r>
        <w:rPr>
          <w:rFonts w:ascii="Times New Roman" w:cs="Times New Roman" w:eastAsia="Times New Roman" w:hAnsi="Times New Roman"/>
          <w:sz w:val="18"/>
          <w:szCs w:val="18"/>
          <w:b w:val="1"/>
          <w:bCs w:val="1"/>
          <w:i w:val="1"/>
          <w:iCs w:val="1"/>
          <w:color w:val="auto"/>
        </w:rPr>
        <w:t>Brown Employment Agreement</w:t>
      </w:r>
      <w:r>
        <w:rPr>
          <w:rFonts w:ascii="Times New Roman" w:cs="Times New Roman" w:eastAsia="Times New Roman" w:hAnsi="Times New Roman"/>
          <w:sz w:val="18"/>
          <w:szCs w:val="18"/>
          <w:color w:val="auto"/>
        </w:rPr>
        <w:t>”) with Thomas Ian Brown, effective as of January 6, 2025 (the “</w:t>
      </w:r>
      <w:r>
        <w:rPr>
          <w:rFonts w:ascii="Times New Roman" w:cs="Times New Roman" w:eastAsia="Times New Roman" w:hAnsi="Times New Roman"/>
          <w:sz w:val="18"/>
          <w:szCs w:val="18"/>
          <w:b w:val="1"/>
          <w:bCs w:val="1"/>
          <w:i w:val="1"/>
          <w:iCs w:val="1"/>
          <w:color w:val="auto"/>
        </w:rPr>
        <w:t>Brown Effective Date</w:t>
      </w:r>
      <w:r>
        <w:rPr>
          <w:rFonts w:ascii="Times New Roman" w:cs="Times New Roman" w:eastAsia="Times New Roman" w:hAnsi="Times New Roman"/>
          <w:sz w:val="18"/>
          <w:szCs w:val="18"/>
          <w:color w:val="auto"/>
        </w:rPr>
        <w:t>”). As of the Brown Effective Date, Mr. Brown shall serve as the Company’s Chief Financial Officer.</w:t>
      </w:r>
    </w:p>
    <w:p>
      <w:pPr>
        <w:spacing w:after="0" w:line="17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Pursuant to the terms of the Brown Employment Agreement, Mr. Brown shall be employed for a period of three years beginning on the Brown Effective Date (the “</w:t>
      </w:r>
      <w:r>
        <w:rPr>
          <w:rFonts w:ascii="Times New Roman" w:cs="Times New Roman" w:eastAsia="Times New Roman" w:hAnsi="Times New Roman"/>
          <w:sz w:val="18"/>
          <w:szCs w:val="18"/>
          <w:b w:val="1"/>
          <w:bCs w:val="1"/>
          <w:i w:val="1"/>
          <w:iCs w:val="1"/>
          <w:color w:val="auto"/>
        </w:rPr>
        <w:t>Initial Employment Period</w:t>
      </w:r>
      <w:r>
        <w:rPr>
          <w:rFonts w:ascii="Times New Roman" w:cs="Times New Roman" w:eastAsia="Times New Roman" w:hAnsi="Times New Roman"/>
          <w:sz w:val="18"/>
          <w:szCs w:val="18"/>
          <w:color w:val="auto"/>
        </w:rPr>
        <w:t>”), which such period shall be automatically renewed for additional consecutive terms of one year each (each, a “</w:t>
      </w:r>
      <w:r>
        <w:rPr>
          <w:rFonts w:ascii="Times New Roman" w:cs="Times New Roman" w:eastAsia="Times New Roman" w:hAnsi="Times New Roman"/>
          <w:sz w:val="18"/>
          <w:szCs w:val="18"/>
          <w:b w:val="1"/>
          <w:bCs w:val="1"/>
          <w:i w:val="1"/>
          <w:iCs w:val="1"/>
          <w:color w:val="auto"/>
        </w:rPr>
        <w:t>Renewal Period</w:t>
      </w:r>
      <w:r>
        <w:rPr>
          <w:rFonts w:ascii="Times New Roman" w:cs="Times New Roman" w:eastAsia="Times New Roman" w:hAnsi="Times New Roman"/>
          <w:sz w:val="18"/>
          <w:szCs w:val="18"/>
          <w:color w:val="auto"/>
        </w:rPr>
        <w:t>” and together with the Initial Employment Period, the “</w:t>
      </w:r>
      <w:r>
        <w:rPr>
          <w:rFonts w:ascii="Times New Roman" w:cs="Times New Roman" w:eastAsia="Times New Roman" w:hAnsi="Times New Roman"/>
          <w:sz w:val="18"/>
          <w:szCs w:val="18"/>
          <w:b w:val="1"/>
          <w:bCs w:val="1"/>
          <w:i w:val="1"/>
          <w:iCs w:val="1"/>
          <w:color w:val="auto"/>
        </w:rPr>
        <w:t>Employment Period</w:t>
      </w:r>
      <w:r>
        <w:rPr>
          <w:rFonts w:ascii="Times New Roman" w:cs="Times New Roman" w:eastAsia="Times New Roman" w:hAnsi="Times New Roman"/>
          <w:sz w:val="18"/>
          <w:szCs w:val="18"/>
          <w:color w:val="auto"/>
        </w:rPr>
        <w:t>”), unless either Mr. Brown or the Company provide a written notice of non-renewal at least 30 days prior to the end of the Initial Employment Period or the then-current Renewal Period, as applicable. The Company shall pay Mr. Brown an annual base salary of $375,000 (the “</w:t>
      </w:r>
      <w:r>
        <w:rPr>
          <w:rFonts w:ascii="Times New Roman" w:cs="Times New Roman" w:eastAsia="Times New Roman" w:hAnsi="Times New Roman"/>
          <w:sz w:val="18"/>
          <w:szCs w:val="18"/>
          <w:b w:val="1"/>
          <w:bCs w:val="1"/>
          <w:i w:val="1"/>
          <w:iCs w:val="1"/>
          <w:color w:val="auto"/>
        </w:rPr>
        <w:t>Base Salary</w:t>
      </w:r>
      <w:r>
        <w:rPr>
          <w:rFonts w:ascii="Times New Roman" w:cs="Times New Roman" w:eastAsia="Times New Roman" w:hAnsi="Times New Roman"/>
          <w:sz w:val="18"/>
          <w:szCs w:val="18"/>
          <w:color w:val="auto"/>
        </w:rPr>
        <w:t>”), less applicable taxes and deductions. Mr. Brown will additionally receive (i) a signing bonus in the amount of $75,000 and (ii) a guaranteed bonus of $75,000 within 30 days of the first anniversary of the Brown Effective Date, provided that Mr. Brown has been an employee in good standing at all times throughout such period. During the Employment Period, Mr. Brown will be eligible to earn an annual bonus of up to 100% of the Base Salary, based upon the achievement of performance goals and metrics established by the Board at its sole discretion, which such bonus payment, if any, shall be split 50/50 between cash and a grant of restricted stock units with respect to the Company’s common stock, par value $0.01 per share (the “</w:t>
      </w:r>
      <w:r>
        <w:rPr>
          <w:rFonts w:ascii="Times New Roman" w:cs="Times New Roman" w:eastAsia="Times New Roman" w:hAnsi="Times New Roman"/>
          <w:sz w:val="18"/>
          <w:szCs w:val="18"/>
          <w:b w:val="1"/>
          <w:bCs w:val="1"/>
          <w:i w:val="1"/>
          <w:iCs w:val="1"/>
          <w:color w:val="auto"/>
        </w:rPr>
        <w:t>Common Stock</w:t>
      </w:r>
      <w:r>
        <w:rPr>
          <w:rFonts w:ascii="Times New Roman" w:cs="Times New Roman" w:eastAsia="Times New Roman" w:hAnsi="Times New Roman"/>
          <w:sz w:val="18"/>
          <w:szCs w:val="18"/>
          <w:color w:val="auto"/>
        </w:rPr>
        <w:t>”). Additionally, following the Brown Effective Date, Mr. Brown shall be granted (A) stock options to purchase up to 37,000 shares of Common Stock at an exercise price equal to the fair market value on the date of the grant, which shall be the closing price of the grant date, with such stock options to vest in four quarterly installments of 25% each on the first, second, third and fourth quarters after the grant date.</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Pursuant to the terms of the Brown Employment Agreement, the Company may terminate the Brown Employment Agreement and Mr. Brown’s employment thereunder for Cause or Good Reason (as such terms are defined in the Brown Employment Agreement) at any time during the Employment Period and pursuant to the terms and conditions of the Brown Employment Agreement, or without Cause or Good Reason at any time during the Employment Period and pursuant to the terms and conditions of the Brown Employment Agreement.</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Ian Brown has more than 25 years of experience in operational finance. He has expertise in systems transformation, financial operations, and back-office process improvement. From 2022 to 2025, Mr. Brown was a Managing Director of the Strategic FP&amp;A Group at Accordion. Prior to that role, he served at FTI Consulting in their Technology Transformation group from 2014 to 2022. Prior, he was Senior Director Business Planning, Customer Operations at Charter Communications, and a Director of Operational Finance for Insight Communications. Before this, Ian was the CFO of two early-stage companies, was a colleague of Ezra Ernst at Wolters Kluwer, and also worked in media investment banking. He holds an M.B.A from The Tuck School of Business at Dartmouth and a B.A. from Vassar College.</w:t>
      </w:r>
    </w:p>
    <w:p>
      <w:pPr>
        <w:spacing w:after="0" w:line="18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There is no family relationship between Mr. Brown and any director or executive officer of the Company. There are no transactions between Mr. Brown and the Company that would be required to be reported under Item 404(a) of Regulation S-K of the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16" w:right="339" w:bottom="1440" w:gutter="0" w:footer="0" w:header="0"/>
        </w:sectPr>
      </w:pPr>
    </w:p>
    <w:bookmarkStart w:id="2" w:name="page3"/>
    <w:bookmarkEnd w:id="2"/>
    <w:p>
      <w:pPr>
        <w:jc w:val="both"/>
        <w:spacing w:after="0" w:line="266" w:lineRule="auto"/>
        <w:rPr>
          <w:sz w:val="20"/>
          <w:szCs w:val="20"/>
          <w:color w:val="auto"/>
        </w:rPr>
      </w:pPr>
      <w:r>
        <w:rPr>
          <w:rFonts w:ascii="Times New Roman" w:cs="Times New Roman" w:eastAsia="Times New Roman" w:hAnsi="Times New Roman"/>
          <w:sz w:val="18"/>
          <w:szCs w:val="18"/>
          <w:color w:val="auto"/>
        </w:rPr>
        <w:t>The foregoing is only a summary of the material terms of the Scrabis Release Agreement and the Brown Employment Agreement and does not purport to be complete. The foregoing summary is qualified in its entirety by reference to the complete text of the Scrabis Release Agreement and the Brown Employment Agreement, which are attached hereto as Exhibits 10.1 and 10.2, respectively, and incorporated herein by reference.</w:t>
      </w:r>
    </w:p>
    <w:p>
      <w:pPr>
        <w:spacing w:after="0" w:line="172"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7.01</w:t>
      </w:r>
      <w:r>
        <w:rPr>
          <w:sz w:val="20"/>
          <w:szCs w:val="20"/>
          <w:color w:val="auto"/>
        </w:rPr>
        <w:tab/>
      </w:r>
      <w:r>
        <w:rPr>
          <w:rFonts w:ascii="Times New Roman" w:cs="Times New Roman" w:eastAsia="Times New Roman" w:hAnsi="Times New Roman"/>
          <w:sz w:val="17"/>
          <w:szCs w:val="17"/>
          <w:b w:val="1"/>
          <w:bCs w:val="1"/>
          <w:color w:val="auto"/>
        </w:rPr>
        <w:t>Regulation FD Disclosure</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On January 7, 2025, the Company issued a press release announcing the change in the Company’s management, attached hereto as Exhibit 99.1. The Company undertakes no obligation to update, supplement or amend the materials attached hereto.</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information in this Current Report on Form 8-K (including Exhibit 99.1 attached hereto) is being furnished pursuant to Item 7.01 and shall not be deemed to be filed for purposes of Section 18 of the Securities Exchange Act of 1934, as amended (the “</w:t>
      </w:r>
      <w:r>
        <w:rPr>
          <w:rFonts w:ascii="Times New Roman" w:cs="Times New Roman" w:eastAsia="Times New Roman" w:hAnsi="Times New Roman"/>
          <w:sz w:val="18"/>
          <w:szCs w:val="18"/>
          <w:b w:val="1"/>
          <w:bCs w:val="1"/>
          <w:i w:val="1"/>
          <w:iCs w:val="1"/>
          <w:color w:val="auto"/>
        </w:rPr>
        <w:t>Exchange Act</w:t>
      </w:r>
      <w:r>
        <w:rPr>
          <w:rFonts w:ascii="Times New Roman" w:cs="Times New Roman" w:eastAsia="Times New Roman" w:hAnsi="Times New Roman"/>
          <w:sz w:val="18"/>
          <w:szCs w:val="18"/>
          <w:color w:val="auto"/>
        </w:rPr>
        <w:t>”), or otherwise be subject to the liabilities of that section, nor shall it be deemed to be incorporated by reference in any filing under the Securities Act of 1933, as amended, or the Exchange Act, whether made before or after the date hereof and regardless of any general incorporation language in such filing.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press release includes forward-looking statements, which may be identified by words such as “believes,” “expects,” “anticipates,” “estimates,” “projects,” “intends,” “should,” “seeks,” “future,” “continue,” or the negative of such terms, or other comparable terminology. Forward-looking statements are statements that are not historical facts. Such forward-looking statements are subject to risks and uncertainties, which could cause actual results to differ materially from the forward-looking statements contained herein. The forward-looking statements in the press release constitute forward-looking statements within the meaning of the Private Securities Litigation Reform Act of 1995. There are a number of important factors that could cause actual results or events to differ materially from those indicated by such forward-looking statements, including, but not limited to, the risks and uncertainties and other factors discussed from time to time in the Company’s filings with the SEC, including the Company’s Annual Report on Form 10-K, as amended, Quarterly Reports on Form 10-Q, Current Reports on Form 8-K and proxy statements, registration statement and other documents filed by the Company from time to time with the SEC. The Company expressly disclaims any obligation to publicly update any forward-looking statements contained herein, whether as a result of new information, future events or otherwise, except as required by law.</w:t>
      </w:r>
    </w:p>
    <w:p>
      <w:pPr>
        <w:spacing w:after="0" w:line="190"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Exhibit</w:t>
      </w:r>
    </w:p>
    <w:p>
      <w:pPr>
        <w:spacing w:after="0" w:line="31"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No.</w:t>
      </w:r>
      <w:r>
        <w:rPr>
          <w:sz w:val="20"/>
          <w:szCs w:val="20"/>
          <w:color w:val="auto"/>
        </w:rPr>
        <w:tab/>
      </w:r>
      <w:r>
        <w:rPr>
          <w:rFonts w:ascii="Times New Roman" w:cs="Times New Roman" w:eastAsia="Times New Roman" w:hAnsi="Times New Roman"/>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u w:val="single" w:color="auto"/>
          <w:color w:val="0000EE"/>
        </w:rPr>
        <w:t>10.1</w:t>
      </w:r>
      <w:r>
        <w:rPr>
          <w:sz w:val="20"/>
          <w:szCs w:val="20"/>
          <w:color w:val="auto"/>
        </w:rPr>
        <w:tab/>
      </w:r>
      <w:r>
        <w:rPr>
          <w:rFonts w:ascii="Times New Roman" w:cs="Times New Roman" w:eastAsia="Times New Roman" w:hAnsi="Times New Roman"/>
          <w:sz w:val="17"/>
          <w:szCs w:val="17"/>
          <w:u w:val="single" w:color="auto"/>
          <w:color w:val="0000EE"/>
        </w:rPr>
        <w:t>Resignation, Separation Agreement and Release with Suzanne A. Scrabis, effective as of January 8, 2025</w:t>
      </w:r>
    </w:p>
    <w:p>
      <w:pPr>
        <w:spacing w:after="0" w:line="27"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u w:val="single" w:color="auto"/>
          <w:color w:val="0000EE"/>
        </w:rPr>
        <w:t>10.2</w:t>
      </w:r>
      <w:r>
        <w:rPr>
          <w:sz w:val="20"/>
          <w:szCs w:val="20"/>
          <w:color w:val="auto"/>
        </w:rPr>
        <w:tab/>
      </w:r>
      <w:r>
        <w:rPr>
          <w:rFonts w:ascii="Times New Roman" w:cs="Times New Roman" w:eastAsia="Times New Roman" w:hAnsi="Times New Roman"/>
          <w:sz w:val="18"/>
          <w:szCs w:val="18"/>
          <w:u w:val="single" w:color="auto"/>
          <w:color w:val="0000EE"/>
        </w:rPr>
        <w:t>Executive Employment Agreement with Thomas Ian Brown, effective as of January 6, 2025</w:t>
      </w:r>
    </w:p>
    <w:p>
      <w:pPr>
        <w:spacing w:after="0" w:line="9"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u w:val="single" w:color="auto"/>
          <w:color w:val="0000EE"/>
        </w:rPr>
        <w:t>99.1</w:t>
      </w:r>
      <w:r>
        <w:rPr>
          <w:sz w:val="20"/>
          <w:szCs w:val="20"/>
          <w:color w:val="auto"/>
        </w:rPr>
        <w:tab/>
      </w:r>
      <w:r>
        <w:rPr>
          <w:rFonts w:ascii="Times New Roman" w:cs="Times New Roman" w:eastAsia="Times New Roman" w:hAnsi="Times New Roman"/>
          <w:sz w:val="18"/>
          <w:szCs w:val="18"/>
          <w:u w:val="single" w:color="auto"/>
          <w:color w:val="0000EE"/>
        </w:rPr>
        <w:t>Press Release, dated January 7, 2025</w:t>
      </w:r>
    </w:p>
    <w:p>
      <w:pPr>
        <w:spacing w:after="0" w:line="9"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(formatted as Inline XBRL)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XWELL, Inc.</w:t>
      </w:r>
    </w:p>
    <w:p>
      <w:pPr>
        <w:spacing w:after="0" w:line="227" w:lineRule="exact"/>
        <w:rPr>
          <w:sz w:val="20"/>
          <w:szCs w:val="20"/>
          <w:color w:val="auto"/>
        </w:rPr>
      </w:pPr>
    </w:p>
    <w:p>
      <w:pPr>
        <w:spacing w:after="0"/>
        <w:tabs>
          <w:tab w:leader="none" w:pos="5620" w:val="left"/>
          <w:tab w:leader="none" w:pos="6180" w:val="left"/>
        </w:tabs>
        <w:rPr>
          <w:sz w:val="20"/>
          <w:szCs w:val="20"/>
          <w:color w:val="auto"/>
        </w:rPr>
      </w:pPr>
      <w:r>
        <w:rPr>
          <w:rFonts w:ascii="Times New Roman" w:cs="Times New Roman" w:eastAsia="Times New Roman" w:hAnsi="Times New Roman"/>
          <w:sz w:val="18"/>
          <w:szCs w:val="18"/>
          <w:color w:val="auto"/>
        </w:rPr>
        <w:t>Date: January 7,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i w:val="1"/>
          <w:iCs w:val="1"/>
          <w:color w:val="auto"/>
        </w:rPr>
        <w:t>/s/ Ezra T. Ernst</w:t>
      </w:r>
    </w:p>
    <w:p>
      <w:pPr>
        <w:spacing w:after="0" w:line="3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Ezra T. Ernst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-119380</wp:posOffset>
            </wp:positionV>
            <wp:extent cx="320611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21"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22"/>
          <w:szCs w:val="22"/>
          <w:b w:val="1"/>
          <w:bCs w:val="1"/>
          <w:color w:val="auto"/>
        </w:rPr>
        <w:t>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1513840</wp:posOffset>
            </wp:positionH>
            <wp:positionV relativeFrom="paragraph">
              <wp:posOffset>167640</wp:posOffset>
            </wp:positionV>
            <wp:extent cx="4080510" cy="8058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4080510" cy="8058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RESIGNATION, SEPARATION AGREEMENT AND RELEASE</w:t>
      </w:r>
    </w:p>
    <w:p>
      <w:pPr>
        <w:spacing w:after="0" w:line="229" w:lineRule="exact"/>
        <w:rPr>
          <w:sz w:val="20"/>
          <w:szCs w:val="20"/>
          <w:color w:val="auto"/>
        </w:rPr>
      </w:pPr>
    </w:p>
    <w:p>
      <w:pPr>
        <w:jc w:val="both"/>
        <w:ind w:right="40" w:firstLine="324"/>
        <w:spacing w:after="0" w:line="266" w:lineRule="auto"/>
        <w:rPr>
          <w:sz w:val="20"/>
          <w:szCs w:val="20"/>
          <w:color w:val="auto"/>
        </w:rPr>
      </w:pPr>
      <w:r>
        <w:rPr>
          <w:rFonts w:ascii="Times New Roman" w:cs="Times New Roman" w:eastAsia="Times New Roman" w:hAnsi="Times New Roman"/>
          <w:sz w:val="18"/>
          <w:szCs w:val="18"/>
          <w:color w:val="auto"/>
        </w:rPr>
        <w:t>This Resignation, Separation Agreement and Release (this “Release”) is made between XWELL, Inc., including its divisions, subsidiaries, parent and affiliated corporations, their successors and assigns (individually and collectively the “Company”) and with Suzanne Scrabis, together with his or her heirs, executors, administrators, successors and assigns (“I” or “me”).</w:t>
      </w:r>
    </w:p>
    <w:p>
      <w:pPr>
        <w:spacing w:after="0" w:line="176" w:lineRule="exact"/>
        <w:rPr>
          <w:sz w:val="20"/>
          <w:szCs w:val="20"/>
          <w:color w:val="auto"/>
        </w:rPr>
      </w:pPr>
    </w:p>
    <w:p>
      <w:pPr>
        <w:ind w:right="220" w:firstLine="8"/>
        <w:spacing w:after="0" w:line="282" w:lineRule="auto"/>
        <w:tabs>
          <w:tab w:leader="none" w:pos="720" w:val="left"/>
        </w:tabs>
        <w:numPr>
          <w:ilvl w:val="0"/>
          <w:numId w:val="2"/>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u w:val="single" w:color="auto"/>
          <w:color w:val="auto"/>
        </w:rPr>
        <w:t>Resignation</w:t>
      </w:r>
      <w:r>
        <w:rPr>
          <w:rFonts w:ascii="Times New Roman" w:cs="Times New Roman" w:eastAsia="Times New Roman" w:hAnsi="Times New Roman"/>
          <w:sz w:val="18"/>
          <w:szCs w:val="18"/>
          <w:color w:val="auto"/>
        </w:rPr>
        <w:t>. I hereby resign from my position as Chief Financial Officer of the Company and from all other positions I hold as an employee of the Company.</w:t>
      </w:r>
    </w:p>
    <w:p>
      <w:pPr>
        <w:spacing w:after="0" w:line="161" w:lineRule="exact"/>
        <w:rPr>
          <w:rFonts w:ascii="Times New Roman" w:cs="Times New Roman" w:eastAsia="Times New Roman" w:hAnsi="Times New Roman"/>
          <w:sz w:val="18"/>
          <w:szCs w:val="18"/>
          <w:u w:val="single" w:color="auto"/>
          <w:color w:val="auto"/>
        </w:rPr>
      </w:pPr>
    </w:p>
    <w:p>
      <w:pPr>
        <w:jc w:val="both"/>
        <w:ind w:right="20" w:firstLine="8"/>
        <w:spacing w:after="0" w:line="261" w:lineRule="auto"/>
        <w:tabs>
          <w:tab w:leader="none" w:pos="675" w:val="left"/>
        </w:tabs>
        <w:numPr>
          <w:ilvl w:val="0"/>
          <w:numId w:val="2"/>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u w:val="single" w:color="auto"/>
          <w:color w:val="auto"/>
        </w:rPr>
        <w:t>Separation of Employment</w:t>
      </w:r>
      <w:r>
        <w:rPr>
          <w:rFonts w:ascii="Times New Roman" w:cs="Times New Roman" w:eastAsia="Times New Roman" w:hAnsi="Times New Roman"/>
          <w:sz w:val="18"/>
          <w:szCs w:val="18"/>
          <w:color w:val="auto"/>
        </w:rPr>
        <w:t>. Subject to the terms, conditions and other provisions in this Release, my employment with the Company is terminated as of _January 8, 2025 (the “Separation Date”). I acknowledge and agree that as of the Separation Date, I may no longer hold myself out as an employee of the Company and will have no authority to act on its behalf. I understand that immediately following the Separation Date I must remove or cause to be removed from all Social Media (as defined in Section 10 below) all references to current employment with the Company.</w:t>
      </w:r>
    </w:p>
    <w:p>
      <w:pPr>
        <w:spacing w:after="0" w:line="179" w:lineRule="exact"/>
        <w:rPr>
          <w:rFonts w:ascii="Times New Roman" w:cs="Times New Roman" w:eastAsia="Times New Roman" w:hAnsi="Times New Roman"/>
          <w:sz w:val="18"/>
          <w:szCs w:val="18"/>
          <w:u w:val="single" w:color="auto"/>
          <w:color w:val="auto"/>
        </w:rPr>
      </w:pPr>
    </w:p>
    <w:p>
      <w:pPr>
        <w:ind w:right="40" w:firstLine="8"/>
        <w:spacing w:after="0" w:line="253" w:lineRule="auto"/>
        <w:tabs>
          <w:tab w:leader="none" w:pos="675" w:val="left"/>
        </w:tabs>
        <w:numPr>
          <w:ilvl w:val="0"/>
          <w:numId w:val="2"/>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u w:val="single" w:color="auto"/>
          <w:color w:val="auto"/>
        </w:rPr>
        <w:t>Consideration</w:t>
      </w:r>
      <w:r>
        <w:rPr>
          <w:rFonts w:ascii="Times New Roman" w:cs="Times New Roman" w:eastAsia="Times New Roman" w:hAnsi="Times New Roman"/>
          <w:sz w:val="18"/>
          <w:szCs w:val="18"/>
          <w:color w:val="auto"/>
        </w:rPr>
        <w:t>. (A) I understand that in consideration for my execution of this Release and the Transition Assistance as set forth in Section 3(B), below, I shall receive from the Company, within thirty (30) days from the Effective Date, and pending my return of all Company Property (hereinafter defined), (i) my regular bi-weekly salary in the amount of $11,538.46, according to the Company’s regular payroll practices, for a period of six (6) months, less all applicable deductions and withholdings, beginning the first payroll date following the expiration of the Effective Date (as defined in Section 17 herein) (such period hereinafter, the “Severance Period”) and (ii) provided I timely and properly elect COBRA continuation coverage under the Company’s group medical insurance plans, the Company will contribute the “employer” portion of the cost for COBRA continuation coverage, pending that I pay the “employee” contribution, until the earlier of (i) the end of the Severance Period; (ii) the date I become covered under another employer’s health plan or Medicare; or (iii) the expiration of the maximum COBRA continuation coverage period for which I am eligible under law (the “Severance Benefits”). Notwithstanding the foregoing, it is understood and agreed that (x) no payment shall be made or begin before the Effective Date; and (y) at the end of the Severance Period, to the extent I am eligible to continue coverage pursuant to COBRA, I shall be responsible for the entire COBRA premium(s) for the entirety of the applicable COBRA continuation period at no expense to the Company. It is further understood that, should I decline to sign this Release, I will still be eligible to continue participation in any of the Company’s group insurance plans in which I am enrolled pursuant to COBRA at my own expense.</w:t>
      </w:r>
    </w:p>
    <w:p>
      <w:pPr>
        <w:spacing w:after="0" w:line="187" w:lineRule="exact"/>
        <w:rPr>
          <w:rFonts w:ascii="Times New Roman" w:cs="Times New Roman" w:eastAsia="Times New Roman" w:hAnsi="Times New Roman"/>
          <w:sz w:val="18"/>
          <w:szCs w:val="18"/>
          <w:u w:val="single" w:color="auto"/>
          <w:color w:val="auto"/>
        </w:rPr>
      </w:pPr>
    </w:p>
    <w:p>
      <w:pPr>
        <w:ind w:firstLine="8"/>
        <w:spacing w:after="0" w:line="253" w:lineRule="auto"/>
        <w:tabs>
          <w:tab w:leader="none" w:pos="720" w:val="left"/>
        </w:tabs>
        <w:numPr>
          <w:ilvl w:val="0"/>
          <w:numId w:val="2"/>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I acknowledge that, after the Separation Date, I will not accrue or earn any additional or supplemental benefits of any kind by virtue of the Severance Benefits or otherwise. I acknowledge that, in the absence of my execution of this Release and satisfaction of my obligations hereunder, I am not and would not otherwise be entitled to the severance Benefits. I further acknowledge that, upon receipt of my final paycheck on the Company’s next regular payroll date, I have received all wages and employment benefits due to me through the Separation Date. I further understand that, except as specifically provided in this Release, I am not entitled to any other payments for salary, severance, notice, vacation, holidays, sick leave, paid time off, compensatory time or other stock options, equity, or employment benefits of any kind or to any other form or kind of payment, allowance or compensation, including but not limited to short-term and long-term disability insurance or benefits and life insurance coverage, except as specified by Illinois labor law. For the avoidance of doubt, “Company Property” shall include my monitor, laptop, keyboard, mouse, docking station, flash drives, hardcopies of Company documents, any and all proprietary information. I shall make myself available and cooperate with requests from the Company concerning any business or legal matters (including, without limitation, response to a subpoena or testimony in any litigation matter) involving facts or events relating to the Company that may be within my knowledge during the severance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424815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5" w:name="page6"/>
    <w:bookmarkEnd w:id="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1717040</wp:posOffset>
            </wp:positionH>
            <wp:positionV relativeFrom="page">
              <wp:posOffset>586105</wp:posOffset>
            </wp:positionV>
            <wp:extent cx="4080510" cy="8058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4080510" cy="8058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8" w:firstLine="656"/>
        <w:spacing w:after="0" w:line="252" w:lineRule="auto"/>
        <w:tabs>
          <w:tab w:leader="none" w:pos="1689" w:val="left"/>
        </w:tabs>
        <w:numPr>
          <w:ilvl w:val="2"/>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Transition Assistance. I agree to cooperate with Company as directed by the Company’s CEO to work with Company employees and my successor (if any) to ensure a smooth transition of all matters for which I have or had responsibility with respect to the Company’s business (“Transition Assistance”). I understand and acknowledge that Transition Assistance shall include: (i) providing copies of all relevant documents, files and other materials without limitation ("Records"), (ii) identifying the location of such Records maintained by Company’s filing systems, data bases and third parties, (iii) meeting with Company employees to explain complexities, nuances and urgencies with respect to matters being transitioned to such employees and giving them reasonable opportunities to ask questions of you, and (iv) cooperating with and supporting the Company’s objectives with respect to any corporate initiatives, strategic relationships, litigation or other long-term projects as reasonably requested by the Company. I understand my obligation to provide Transition Assistance shall expire six months after the Effective Date; provided however my Transition Assistance obligations regarding any litigation, dispute or threatened litigation in evidence as of the Separation Date shall continue until the date of a final resolution, settlement or non-appealable judgment (as the case may be). Should the Company require Transition Assistance regarding any litigation, dispute or threatened litigation in evidence as of the Separation Date after the severance period, my time will be compensated at $250 per hour as detailed in a contractor agreement that is being executed simultaneously herewith. For the avoidance of doubt, in addition to the Transition Assistance described in the immediately preceding paragraph of this Section 3B, I understand and agree that my obligation to provide Transition Assistance includes but is not limited to the following matters:</w:t>
      </w:r>
    </w:p>
    <w:p>
      <w:pPr>
        <w:spacing w:after="0" w:line="197" w:lineRule="exact"/>
        <w:rPr>
          <w:rFonts w:ascii="Times New Roman" w:cs="Times New Roman" w:eastAsia="Times New Roman" w:hAnsi="Times New Roman"/>
          <w:sz w:val="18"/>
          <w:szCs w:val="18"/>
          <w:color w:val="auto"/>
        </w:rPr>
      </w:pPr>
    </w:p>
    <w:p>
      <w:pPr>
        <w:ind w:left="1132" w:hanging="808"/>
        <w:spacing w:after="0"/>
        <w:tabs>
          <w:tab w:leader="none" w:pos="1132"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Completing the 2025 Budget;</w:t>
      </w:r>
    </w:p>
    <w:p>
      <w:pPr>
        <w:spacing w:after="0" w:line="27" w:lineRule="exact"/>
        <w:rPr>
          <w:rFonts w:ascii="Times New Roman" w:cs="Times New Roman" w:eastAsia="Times New Roman" w:hAnsi="Times New Roman"/>
          <w:sz w:val="18"/>
          <w:szCs w:val="18"/>
          <w:color w:val="auto"/>
        </w:rPr>
      </w:pPr>
    </w:p>
    <w:p>
      <w:pPr>
        <w:ind w:left="1132" w:hanging="808"/>
        <w:spacing w:after="0"/>
        <w:tabs>
          <w:tab w:leader="none" w:pos="1132"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Completing of the ACDBE Forensic Audit currently in process with IAG Forensics;</w:t>
      </w:r>
    </w:p>
    <w:p>
      <w:pPr>
        <w:spacing w:after="0" w:line="9" w:lineRule="exact"/>
        <w:rPr>
          <w:rFonts w:ascii="Times New Roman" w:cs="Times New Roman" w:eastAsia="Times New Roman" w:hAnsi="Times New Roman"/>
          <w:sz w:val="18"/>
          <w:szCs w:val="18"/>
          <w:color w:val="auto"/>
        </w:rPr>
      </w:pPr>
    </w:p>
    <w:p>
      <w:pPr>
        <w:ind w:left="1132" w:hanging="808"/>
        <w:spacing w:after="0"/>
        <w:tabs>
          <w:tab w:leader="none" w:pos="1132"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a list of all Company bank accounts, contacts, and a detailed transfer and process map with respect to each account;</w:t>
      </w:r>
    </w:p>
    <w:p>
      <w:pPr>
        <w:spacing w:after="0" w:line="9" w:lineRule="exact"/>
        <w:rPr>
          <w:rFonts w:ascii="Times New Roman" w:cs="Times New Roman" w:eastAsia="Times New Roman" w:hAnsi="Times New Roman"/>
          <w:sz w:val="18"/>
          <w:szCs w:val="18"/>
          <w:color w:val="auto"/>
        </w:rPr>
      </w:pPr>
    </w:p>
    <w:p>
      <w:pPr>
        <w:ind w:left="1132" w:hanging="808"/>
        <w:spacing w:after="0"/>
        <w:tabs>
          <w:tab w:leader="none" w:pos="1132"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Preparing and delivering a summary of all cash and burn rate;</w:t>
      </w:r>
    </w:p>
    <w:p>
      <w:pPr>
        <w:spacing w:after="0" w:line="9" w:lineRule="exact"/>
        <w:rPr>
          <w:rFonts w:ascii="Times New Roman" w:cs="Times New Roman" w:eastAsia="Times New Roman" w:hAnsi="Times New Roman"/>
          <w:sz w:val="18"/>
          <w:szCs w:val="18"/>
          <w:color w:val="auto"/>
        </w:rPr>
      </w:pPr>
    </w:p>
    <w:p>
      <w:pPr>
        <w:ind w:left="1112" w:hanging="788"/>
        <w:spacing w:after="0"/>
        <w:tabs>
          <w:tab w:leader="none" w:pos="1112"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Preparing and delivering a summary of Company’s Audit process; and</w:t>
      </w:r>
    </w:p>
    <w:p>
      <w:pPr>
        <w:spacing w:after="0" w:line="9" w:lineRule="exact"/>
        <w:rPr>
          <w:rFonts w:ascii="Times New Roman" w:cs="Times New Roman" w:eastAsia="Times New Roman" w:hAnsi="Times New Roman"/>
          <w:sz w:val="18"/>
          <w:szCs w:val="18"/>
          <w:color w:val="auto"/>
        </w:rPr>
      </w:pPr>
    </w:p>
    <w:p>
      <w:pPr>
        <w:ind w:left="1132" w:hanging="808"/>
        <w:spacing w:after="0"/>
        <w:tabs>
          <w:tab w:leader="none" w:pos="1132"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transitional support with respect to the Company’s Informational Technology team and all related projects.</w:t>
      </w:r>
    </w:p>
    <w:p>
      <w:pPr>
        <w:spacing w:after="0" w:line="206" w:lineRule="exact"/>
        <w:rPr>
          <w:rFonts w:ascii="Times New Roman" w:cs="Times New Roman" w:eastAsia="Times New Roman" w:hAnsi="Times New Roman"/>
          <w:sz w:val="18"/>
          <w:szCs w:val="18"/>
          <w:color w:val="auto"/>
        </w:rPr>
      </w:pPr>
    </w:p>
    <w:p>
      <w:pPr>
        <w:ind w:left="-8" w:right="40" w:firstLine="8"/>
        <w:spacing w:after="0" w:line="251" w:lineRule="auto"/>
        <w:tabs>
          <w:tab w:leader="none" w:pos="667" w:val="left"/>
        </w:tabs>
        <w:numPr>
          <w:ilvl w:val="0"/>
          <w:numId w:val="5"/>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u w:val="single" w:color="auto"/>
          <w:color w:val="auto"/>
        </w:rPr>
        <w:t>General Release of Claims</w:t>
      </w:r>
      <w:r>
        <w:rPr>
          <w:rFonts w:ascii="Times New Roman" w:cs="Times New Roman" w:eastAsia="Times New Roman" w:hAnsi="Times New Roman"/>
          <w:sz w:val="18"/>
          <w:szCs w:val="18"/>
          <w:color w:val="auto"/>
        </w:rPr>
        <w:t>. I hereby voluntarily release the Company, and its subsidiaries, partners, affiliates, owners, agents, officers, directors, employees, successors and assigns, and all related persons, individually and in their official capacities (hereinafter collectively referred to as the “Released Parties”), of and from any and all claims, known and unknown, relating to my employment or cessation of employment that I, my heirs, executors, administrators, successors, and assigns, have or may have as of the date of execution of this Release, including, but not limited to, any alleged violation of any of (a) the National Labor Relations Act; Title VII of the Civil Rights Act of 1964; Sections 1981 through 1988 of Title 42 of the United States Code; Civil Rights Act of 1991; the Employee Retirement Income Security Act of 1974 (“ERISA”); the Age Discrimination in Employment Act of 1967; the Americans with Disabilities Act of 1990; the Fair Credit Reporting Act; the Fair Labor Standards Act; the Occupational Safety and Health Act; the Family and Medical Leave Act of 1993; Executive Order 11246; the Florida Civil Rights Act; Florida Whistleblower Protection Act; Florida Workers' Compensation Law Retaliation Act; Florida Wage Discrimination Law; Florida Minimum Wage Act; Florida Equal Pay Law; Florida AIDS Act; Florida Discrimination on the Basis of Sickle Cell Trait Law; Florida OSHA; the Florida Constitution; the Florida Fair Housing Act; the New York State Human Rights Law; the New York Labor Law (including but not limited to the Retaliatory Action by Employers Law, the New York State Worker Adjustment and Retraining Notification Act, all provisions prohibiting discrimination and retaliation, and all provisions regulating wage and hour law); the New York Civil Rights Law; Section 125 of the New York Workers' Compensation Law; Article 23-A of the New York Correction Law; the New York City Human Rights Law; the New York City Earned Sick Leave Law; the Washington Law Against Discrimination; the Washington Family Leave Act; the Washington Leave Law; the Washington Minimum Wage Requirements and Labor Standards Act; Title 49 of the Revised Code of Washington; the Washington Equal Pay Opportunity Act; and/or the Washington Fair Chance Act, including any amendment, consolidation or re-enactment of any of the foregoing; (b) any other federal, state or local civil or human rights law or any other local, state or federal law, regulation or ordinance; (c) any public policy, contract, tort, or common law; (d) any claims for vacation, sick or personal leave, pay or payment pursuant to any practice, policy, handbook, or manual of the Company, including any claim for outstanding or unpaid reimbursements; or (e) any allegation for costs, fees or other expenses including attorneys’ fees and expert’s fees incurred in these matters. Notwithstanding the foregoing, the release set forth in this Section 4 shall not apply to: (x) any claims for the payments and benefits in this Release, or (y) any vested employee benefits accrued by me prior to the Effective Date of this Release under any compensation or benefit plans, programs and arrangements maintained by Company for the benefit of its employees and subject to ERISA. The Company hereby voluntarily releases me of and from any and all claims, known and unknown, relating to my employment or cessation of employment that it has or may have as of the date of execution of this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433070</wp:posOffset>
            </wp:positionV>
            <wp:extent cx="71323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12"/>
          </w:cols>
          <w:pgMar w:left="328" w:top="1440" w:right="359" w:bottom="1440" w:gutter="0" w:footer="0" w:header="0"/>
        </w:sectPr>
      </w:pPr>
    </w:p>
    <w:bookmarkStart w:id="6" w:name="page7"/>
    <w:bookmarkEnd w:id="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1717040</wp:posOffset>
            </wp:positionH>
            <wp:positionV relativeFrom="page">
              <wp:posOffset>586105</wp:posOffset>
            </wp:positionV>
            <wp:extent cx="4080510" cy="8058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clrChange>
                        <a:clrFrom>
                          <a:srgbClr val="FFFFFF"/>
                        </a:clrFrom>
                        <a:clrTo>
                          <a:srgbClr val="FFFFFF">
                            <a:alpha val="0"/>
                          </a:srgbClr>
                        </a:clrTo>
                      </a:clrChange>
                      <a:extLst>
                        <a:ext uri="{28A0092B-C50C-407E-A947-70E740481C1C}"/>
                      </a:extLst>
                    </a:blip>
                    <a:srcRect/>
                    <a:stretch>
                      <a:fillRect/>
                    </a:stretch>
                  </pic:blipFill>
                  <pic:spPr bwMode="auto">
                    <a:xfrm>
                      <a:off x="0" y="0"/>
                      <a:ext cx="4080510" cy="8058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8" w:right="20" w:firstLine="8"/>
        <w:spacing w:after="0" w:line="282" w:lineRule="auto"/>
        <w:tabs>
          <w:tab w:leader="none" w:pos="712" w:val="left"/>
        </w:tabs>
        <w:numPr>
          <w:ilvl w:val="0"/>
          <w:numId w:val="6"/>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u w:val="single" w:color="auto"/>
          <w:color w:val="auto"/>
        </w:rPr>
        <w:t>No Existing Claims</w:t>
      </w:r>
      <w:r>
        <w:rPr>
          <w:rFonts w:ascii="Times New Roman" w:cs="Times New Roman" w:eastAsia="Times New Roman" w:hAnsi="Times New Roman"/>
          <w:sz w:val="18"/>
          <w:szCs w:val="18"/>
          <w:color w:val="auto"/>
        </w:rPr>
        <w:t>. I confirm that, to my knowledge, no claim, charge, or complaint against the Released Parties exists before any federal, state, or local court or administrative agency.</w:t>
      </w:r>
    </w:p>
    <w:p>
      <w:pPr>
        <w:spacing w:after="0" w:line="161" w:lineRule="exact"/>
        <w:rPr>
          <w:rFonts w:ascii="Times New Roman" w:cs="Times New Roman" w:eastAsia="Times New Roman" w:hAnsi="Times New Roman"/>
          <w:sz w:val="18"/>
          <w:szCs w:val="18"/>
          <w:u w:val="single" w:color="auto"/>
          <w:color w:val="auto"/>
        </w:rPr>
      </w:pPr>
    </w:p>
    <w:p>
      <w:pPr>
        <w:ind w:left="-8" w:right="60" w:firstLine="8"/>
        <w:spacing w:after="0" w:line="266" w:lineRule="auto"/>
        <w:tabs>
          <w:tab w:leader="none" w:pos="712" w:val="left"/>
        </w:tabs>
        <w:numPr>
          <w:ilvl w:val="0"/>
          <w:numId w:val="6"/>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u w:val="single" w:color="auto"/>
          <w:color w:val="auto"/>
        </w:rPr>
        <w:t>No Participation In Claims</w:t>
      </w:r>
      <w:r>
        <w:rPr>
          <w:rFonts w:ascii="Times New Roman" w:cs="Times New Roman" w:eastAsia="Times New Roman" w:hAnsi="Times New Roman"/>
          <w:sz w:val="18"/>
          <w:szCs w:val="18"/>
          <w:color w:val="auto"/>
        </w:rPr>
        <w:t>. I understand that if this Release were not signed, I would have the right to voluntarily assist other individuals in bringing claims against the Released Parties. I hereby waive that right and shall not provide any such assistance other than assistance in an investigation or proceeding conducted by an agency of the United States government.</w:t>
      </w:r>
    </w:p>
    <w:p>
      <w:pPr>
        <w:spacing w:after="0" w:line="175" w:lineRule="exact"/>
        <w:rPr>
          <w:rFonts w:ascii="Times New Roman" w:cs="Times New Roman" w:eastAsia="Times New Roman" w:hAnsi="Times New Roman"/>
          <w:sz w:val="18"/>
          <w:szCs w:val="18"/>
          <w:u w:val="single" w:color="auto"/>
          <w:color w:val="auto"/>
        </w:rPr>
      </w:pPr>
    </w:p>
    <w:p>
      <w:pPr>
        <w:ind w:left="-8" w:right="560" w:firstLine="8"/>
        <w:spacing w:after="0" w:line="282" w:lineRule="auto"/>
        <w:tabs>
          <w:tab w:leader="none" w:pos="712" w:val="left"/>
        </w:tabs>
        <w:numPr>
          <w:ilvl w:val="0"/>
          <w:numId w:val="6"/>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u w:val="single" w:color="auto"/>
          <w:color w:val="auto"/>
        </w:rPr>
        <w:t>Nonadmission of Wrongdoing</w:t>
      </w:r>
      <w:r>
        <w:rPr>
          <w:rFonts w:ascii="Times New Roman" w:cs="Times New Roman" w:eastAsia="Times New Roman" w:hAnsi="Times New Roman"/>
          <w:sz w:val="18"/>
          <w:szCs w:val="18"/>
          <w:color w:val="auto"/>
        </w:rPr>
        <w:t>. I agree that neither this Release nor the furnishing of the consideration for this Release shall be deemed or construed at any time for any purpose as an admission by the Released Parties of any liability or unlawful conduct of any kind.</w:t>
      </w:r>
    </w:p>
    <w:p>
      <w:pPr>
        <w:spacing w:after="0" w:line="161" w:lineRule="exact"/>
        <w:rPr>
          <w:rFonts w:ascii="Times New Roman" w:cs="Times New Roman" w:eastAsia="Times New Roman" w:hAnsi="Times New Roman"/>
          <w:sz w:val="18"/>
          <w:szCs w:val="18"/>
          <w:u w:val="single" w:color="auto"/>
          <w:color w:val="auto"/>
        </w:rPr>
      </w:pPr>
    </w:p>
    <w:p>
      <w:pPr>
        <w:ind w:left="-8" w:firstLine="8"/>
        <w:spacing w:after="0" w:line="252" w:lineRule="auto"/>
        <w:tabs>
          <w:tab w:leader="none" w:pos="712" w:val="left"/>
        </w:tabs>
        <w:numPr>
          <w:ilvl w:val="0"/>
          <w:numId w:val="6"/>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u w:val="single" w:color="auto"/>
          <w:color w:val="auto"/>
        </w:rPr>
        <w:t>Confidential Information.</w:t>
      </w:r>
      <w:r>
        <w:rPr>
          <w:rFonts w:ascii="Times New Roman" w:cs="Times New Roman" w:eastAsia="Times New Roman" w:hAnsi="Times New Roman"/>
          <w:sz w:val="18"/>
          <w:szCs w:val="18"/>
          <w:color w:val="auto"/>
        </w:rPr>
        <w:t xml:space="preserve"> I understand and agree that during the course of my employment with the Company, I have had access to and learned about confidential, secret, and proprietary documents, materials, and other information, in tangible and intangible form, of and relating to the Company and its businesses and existing and prospective customers, suppliers, investors, and other associated third parties (“Confidential Information”). I further understand and acknowledge that this Confidential Information and the Company’s ability to reserve it for its exclusive knowledge and use is of great competitive importance and commercial value to the Company, and that my improper use or disclosure of the Confidential Information may cause the Company to incur financial costs, loss of business advantage, liability under confidentiality agreements with third parties, civil damages, and/or criminal penalties. I accordingly agree and covenant to: (i) treat all Confidential Information as strictly confidential; and (ii) not to directly or indirectly disclose, publish, communicate, or make available Confidential Information, or allow it to be disclosed, published, communicated, or made available, in whole or part, to any entity or person whatsoever, except I understand that (x) I will not be held criminally or civilly liable under any federal or state trade secret law for any disclosure of a trade secret that is made in confidence to a federal, state, or local government official, either directly or indirectly, or to an attorney, and solely for the purpose of reporting or investigating a suspected violation of law, or in a complaint or other document that is filed under seal in a lawsuit or other proceeding, and (y) if I file a lawsuit for retaliation by the Company for reporting a suspected violation of law, I may disclose the Company’s trade secrets to my attorney and use the trade secret information in the court proceeding if I file any document containing the trade secret under seal and do not disclose the trade secret, except pursuant to court order.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428625</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92"/>
          </w:cols>
          <w:pgMar w:left="328" w:top="1440" w:right="379" w:bottom="1440" w:gutter="0" w:footer="0" w:header="0"/>
        </w:sectPr>
      </w:pPr>
    </w:p>
    <w:bookmarkStart w:id="7" w:name="page8"/>
    <w:bookmarkEnd w:id="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1717040</wp:posOffset>
            </wp:positionH>
            <wp:positionV relativeFrom="page">
              <wp:posOffset>586105</wp:posOffset>
            </wp:positionV>
            <wp:extent cx="4080510" cy="8058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clrChange>
                        <a:clrFrom>
                          <a:srgbClr val="FFFFFF"/>
                        </a:clrFrom>
                        <a:clrTo>
                          <a:srgbClr val="FFFFFF">
                            <a:alpha val="0"/>
                          </a:srgbClr>
                        </a:clrTo>
                      </a:clrChange>
                      <a:extLst>
                        <a:ext uri="{28A0092B-C50C-407E-A947-70E740481C1C}"/>
                      </a:extLst>
                    </a:blip>
                    <a:srcRect/>
                    <a:stretch>
                      <a:fillRect/>
                    </a:stretch>
                  </pic:blipFill>
                  <pic:spPr bwMode="auto">
                    <a:xfrm>
                      <a:off x="0" y="0"/>
                      <a:ext cx="4080510" cy="8058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firstLine="8"/>
        <w:spacing w:after="0" w:line="258" w:lineRule="auto"/>
        <w:tabs>
          <w:tab w:leader="none" w:pos="675" w:val="left"/>
        </w:tabs>
        <w:numPr>
          <w:ilvl w:val="0"/>
          <w:numId w:val="7"/>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u w:val="single" w:color="auto"/>
          <w:color w:val="auto"/>
        </w:rPr>
        <w:t>Confidentiality.</w:t>
      </w:r>
      <w:r>
        <w:rPr>
          <w:rFonts w:ascii="Times New Roman" w:cs="Times New Roman" w:eastAsia="Times New Roman" w:hAnsi="Times New Roman"/>
          <w:sz w:val="18"/>
          <w:szCs w:val="18"/>
          <w:color w:val="auto"/>
        </w:rPr>
        <w:t xml:space="preserve"> I agree that all information relating in any way to this Release and/or the negotiations leading up to it, including the terms and amount of financial consideration provided for in this Release, shall be held confidential by me and shall not be publicized or disclosed by me to any person (other than an immediate family member, legal counsel or financial advisor, provided that any such individual to whom disclosure is made agrees to be bound by these confidentiality obligations), business entity or government agency (except as mandated by state or federal law), except that nothing in this paragraph shall prohibit me from participating in an investigation with a state or federal agency if requested by the agency to do so.</w:t>
      </w:r>
    </w:p>
    <w:p>
      <w:pPr>
        <w:spacing w:after="0" w:line="183" w:lineRule="exact"/>
        <w:rPr>
          <w:rFonts w:ascii="Times New Roman" w:cs="Times New Roman" w:eastAsia="Times New Roman" w:hAnsi="Times New Roman"/>
          <w:sz w:val="18"/>
          <w:szCs w:val="18"/>
          <w:u w:val="single" w:color="auto"/>
          <w:color w:val="auto"/>
        </w:rPr>
      </w:pPr>
    </w:p>
    <w:p>
      <w:pPr>
        <w:ind w:right="20" w:firstLine="8"/>
        <w:spacing w:after="0" w:line="253" w:lineRule="auto"/>
        <w:tabs>
          <w:tab w:leader="none" w:pos="713" w:val="left"/>
        </w:tabs>
        <w:numPr>
          <w:ilvl w:val="0"/>
          <w:numId w:val="7"/>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u w:val="single" w:color="auto"/>
          <w:color w:val="auto"/>
        </w:rPr>
        <w:t>Non-Disparagement.</w:t>
      </w:r>
      <w:r>
        <w:rPr>
          <w:rFonts w:ascii="Times New Roman" w:cs="Times New Roman" w:eastAsia="Times New Roman" w:hAnsi="Times New Roman"/>
          <w:sz w:val="18"/>
          <w:szCs w:val="18"/>
          <w:color w:val="auto"/>
        </w:rPr>
        <w:t xml:space="preserve"> I will not make, publish, or communicate any comments, remarks, or statements that are professionally or personally defamatory or disparaging about, or adverse to, the interests of the Released Parties including, but not limited to, any statements that disparage any person, service, finances, financial condition, capability or any other aspect of the business of the Company, and that I will not engage in any conduct which could reasonably be expected to harm professionally or personally the reputation of the Released Parties. I further agree and understand that the non-disparagement restrictions in this paragraph extend to and expressly prohibit comments to the media, on the Internet, or through social media, including, but not limited to, blogs, virtual worlds, social or professional networking websites, and/or video- or photo-sharing websites (collectively, “Social Media”). I further acknowledge that, in the event of a breach of the obligations imposed by this Section, it would be difficult or impossible to determine the actual damages suffered by the Company. Accordingly, I agree that, if I violate this Section, in addition to any forfeitures set forth below, I will be liable to the Company for liquidated damages up to an additional Five Thousand Dollars and Zero Cents ($5,000.00) for each such breach. The Parties agree that this sum represents a fair and reasonable estimate of the damages caused by each such violation. In the event the Company is contacted by a third party concerning my employment with it or the termination thereof, the Company shall confirm only position held, salary, and dates of employment. Additionally, there will not be any disparaging remarks made about me within the Company or to any outside party upon my departure.</w:t>
      </w:r>
    </w:p>
    <w:p>
      <w:pPr>
        <w:spacing w:after="0" w:line="189" w:lineRule="exact"/>
        <w:rPr>
          <w:rFonts w:ascii="Times New Roman" w:cs="Times New Roman" w:eastAsia="Times New Roman" w:hAnsi="Times New Roman"/>
          <w:sz w:val="18"/>
          <w:szCs w:val="18"/>
          <w:u w:val="single" w:color="auto"/>
          <w:color w:val="auto"/>
        </w:rPr>
      </w:pPr>
    </w:p>
    <w:p>
      <w:pPr>
        <w:ind w:right="40" w:firstLine="8"/>
        <w:spacing w:after="0" w:line="266" w:lineRule="auto"/>
        <w:tabs>
          <w:tab w:leader="none" w:pos="720" w:val="left"/>
        </w:tabs>
        <w:numPr>
          <w:ilvl w:val="0"/>
          <w:numId w:val="7"/>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u w:val="single" w:color="auto"/>
          <w:color w:val="auto"/>
        </w:rPr>
        <w:t>Breach of Agreement</w:t>
      </w:r>
      <w:r>
        <w:rPr>
          <w:rFonts w:ascii="Times New Roman" w:cs="Times New Roman" w:eastAsia="Times New Roman" w:hAnsi="Times New Roman"/>
          <w:sz w:val="18"/>
          <w:szCs w:val="18"/>
          <w:color w:val="auto"/>
        </w:rPr>
        <w:t>. I agree that if I breach any of the promises set forth in this Release, or if I challenge this Release, I shall forfeit the right to the Severance Benefits set forth in Section 3, and the Company further shall have the right to require me to return all monies paid by the Company in consideration for my signing this Release.</w:t>
      </w:r>
    </w:p>
    <w:p>
      <w:pPr>
        <w:spacing w:after="0" w:line="175" w:lineRule="exact"/>
        <w:rPr>
          <w:rFonts w:ascii="Times New Roman" w:cs="Times New Roman" w:eastAsia="Times New Roman" w:hAnsi="Times New Roman"/>
          <w:sz w:val="18"/>
          <w:szCs w:val="18"/>
          <w:u w:val="single" w:color="auto"/>
          <w:color w:val="auto"/>
        </w:rPr>
      </w:pPr>
    </w:p>
    <w:p>
      <w:pPr>
        <w:ind w:right="200" w:firstLine="8"/>
        <w:spacing w:after="0" w:line="261" w:lineRule="auto"/>
        <w:tabs>
          <w:tab w:leader="none" w:pos="720" w:val="left"/>
        </w:tabs>
        <w:numPr>
          <w:ilvl w:val="0"/>
          <w:numId w:val="7"/>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u w:val="single" w:color="auto"/>
          <w:color w:val="auto"/>
        </w:rPr>
        <w:t>Governing Law and Interpretation</w:t>
      </w:r>
      <w:r>
        <w:rPr>
          <w:rFonts w:ascii="Times New Roman" w:cs="Times New Roman" w:eastAsia="Times New Roman" w:hAnsi="Times New Roman"/>
          <w:sz w:val="18"/>
          <w:szCs w:val="18"/>
          <w:color w:val="auto"/>
        </w:rPr>
        <w:t>. This Release shall be governed by and construed in accordance with the laws of the State of New York without regard to its conflict of laws provisions. If any portion of this Release is declared to be unenforceable by a court of competent jurisdiction in any action in which I participate or join, I agree that all consideration paid to me under this Release shall be offset against any monies that I may receive in connection with any such action.</w:t>
      </w:r>
    </w:p>
    <w:p>
      <w:pPr>
        <w:spacing w:after="0" w:line="179" w:lineRule="exact"/>
        <w:rPr>
          <w:rFonts w:ascii="Times New Roman" w:cs="Times New Roman" w:eastAsia="Times New Roman" w:hAnsi="Times New Roman"/>
          <w:sz w:val="18"/>
          <w:szCs w:val="18"/>
          <w:u w:val="single" w:color="auto"/>
          <w:color w:val="auto"/>
        </w:rPr>
      </w:pPr>
    </w:p>
    <w:p>
      <w:pPr>
        <w:ind w:right="80" w:firstLine="8"/>
        <w:spacing w:after="0" w:line="258" w:lineRule="auto"/>
        <w:tabs>
          <w:tab w:leader="none" w:pos="675" w:val="left"/>
        </w:tabs>
        <w:numPr>
          <w:ilvl w:val="0"/>
          <w:numId w:val="7"/>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u w:val="single" w:color="auto"/>
          <w:color w:val="auto"/>
        </w:rPr>
        <w:t>Return of Property</w:t>
      </w:r>
      <w:r>
        <w:rPr>
          <w:rFonts w:ascii="Times New Roman" w:cs="Times New Roman" w:eastAsia="Times New Roman" w:hAnsi="Times New Roman"/>
          <w:sz w:val="18"/>
          <w:szCs w:val="18"/>
          <w:color w:val="auto"/>
        </w:rPr>
        <w:t>. I warrant and represent that I have returned all Company property, including identification cards or badges, access codes or devices, keys, laptops, computers, telephones, mobile phones, hand-held electronic devices, credit cards, electronically stored documents or files, physical files, and any other Company property in my possession. To the extent any such property cannot be physically returned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electronically stored documents and files), I warrant and represent that I have destroyed all such materials. I further acknowledge and agree that I no longer have access to and do not claim ownership of any of Company’s cloud storage or social media accounts.</w:t>
      </w:r>
    </w:p>
    <w:p>
      <w:pPr>
        <w:spacing w:after="0" w:line="183" w:lineRule="exact"/>
        <w:rPr>
          <w:rFonts w:ascii="Times New Roman" w:cs="Times New Roman" w:eastAsia="Times New Roman" w:hAnsi="Times New Roman"/>
          <w:sz w:val="18"/>
          <w:szCs w:val="18"/>
          <w:u w:val="single" w:color="auto"/>
          <w:color w:val="auto"/>
        </w:rPr>
      </w:pPr>
    </w:p>
    <w:p>
      <w:pPr>
        <w:ind w:left="680" w:hanging="672"/>
        <w:spacing w:after="0"/>
        <w:tabs>
          <w:tab w:leader="none" w:pos="680" w:val="left"/>
        </w:tabs>
        <w:numPr>
          <w:ilvl w:val="0"/>
          <w:numId w:val="7"/>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This Release may not be amended except by a written agreement signed by both parties which specifically refers to this Release.</w:t>
      </w:r>
    </w:p>
    <w:p>
      <w:pPr>
        <w:spacing w:after="0" w:line="225" w:lineRule="exact"/>
        <w:rPr>
          <w:rFonts w:ascii="Times New Roman" w:cs="Times New Roman" w:eastAsia="Times New Roman" w:hAnsi="Times New Roman"/>
          <w:sz w:val="18"/>
          <w:szCs w:val="18"/>
          <w:u w:val="single" w:color="auto"/>
          <w:color w:val="auto"/>
        </w:rPr>
      </w:pPr>
    </w:p>
    <w:p>
      <w:pPr>
        <w:ind w:right="20" w:firstLine="8"/>
        <w:spacing w:after="0" w:line="261" w:lineRule="auto"/>
        <w:tabs>
          <w:tab w:leader="none" w:pos="720" w:val="left"/>
        </w:tabs>
        <w:numPr>
          <w:ilvl w:val="0"/>
          <w:numId w:val="7"/>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u w:val="single" w:color="auto"/>
          <w:color w:val="auto"/>
        </w:rPr>
        <w:t>Right to Revoke</w:t>
      </w:r>
      <w:r>
        <w:rPr>
          <w:rFonts w:ascii="Times New Roman" w:cs="Times New Roman" w:eastAsia="Times New Roman" w:hAnsi="Times New Roman"/>
          <w:sz w:val="18"/>
          <w:szCs w:val="18"/>
          <w:color w:val="auto"/>
        </w:rPr>
        <w:t>. I understand that I have the right to revoke this Release at any time during the seven (7) day period following the date on which I first sign the Release. If I want to revoke, I must make a revocation in writing which states: “I hereby revoke my Release.” This written revocation must</w:t>
      </w:r>
    </w:p>
    <w:p>
      <w:pPr>
        <w:ind w:right="500"/>
        <w:spacing w:after="0" w:line="209" w:lineRule="auto"/>
        <w:rPr>
          <w:sz w:val="20"/>
          <w:szCs w:val="20"/>
          <w:color w:val="auto"/>
        </w:rPr>
      </w:pPr>
      <w:r>
        <w:rPr>
          <w:rFonts w:ascii="Times New Roman" w:cs="Times New Roman" w:eastAsia="Times New Roman" w:hAnsi="Times New Roman"/>
          <w:sz w:val="18"/>
          <w:szCs w:val="18"/>
          <w:color w:val="auto"/>
        </w:rPr>
        <w:t>be received by Cara Soffer (254 West 31</w:t>
      </w:r>
      <w:r>
        <w:rPr>
          <w:rFonts w:ascii="Times New Roman" w:cs="Times New Roman" w:eastAsia="Times New Roman" w:hAnsi="Times New Roman"/>
          <w:sz w:val="29"/>
          <w:szCs w:val="29"/>
          <w:color w:val="auto"/>
          <w:vertAlign w:val="superscript"/>
        </w:rPr>
        <w:t>st</w:t>
      </w:r>
      <w:r>
        <w:rPr>
          <w:rFonts w:ascii="Times New Roman" w:cs="Times New Roman" w:eastAsia="Times New Roman" w:hAnsi="Times New Roman"/>
          <w:sz w:val="18"/>
          <w:szCs w:val="18"/>
          <w:color w:val="auto"/>
        </w:rPr>
        <w:t xml:space="preserve"> Street, 11</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Floor, New York, NY 10001, </w:t>
      </w:r>
      <w:r>
        <w:rPr>
          <w:rFonts w:ascii="Times New Roman" w:cs="Times New Roman" w:eastAsia="Times New Roman" w:hAnsi="Times New Roman"/>
          <w:sz w:val="18"/>
          <w:szCs w:val="18"/>
          <w:u w:val="single" w:color="auto"/>
          <w:color w:val="auto"/>
        </w:rPr>
        <w:t>(csoffer@xwell.com</w:t>
      </w:r>
      <w:r>
        <w:rPr>
          <w:rFonts w:ascii="Times New Roman" w:cs="Times New Roman" w:eastAsia="Times New Roman" w:hAnsi="Times New Roman"/>
          <w:sz w:val="18"/>
          <w:szCs w:val="18"/>
          <w:color w:val="auto"/>
        </w:rPr>
        <w:t>) before the end of the seven-day revocation period; otherwise, such revocation shall not be effective.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429895</wp:posOffset>
            </wp:positionV>
            <wp:extent cx="71323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8" w:name="page9"/>
    <w:bookmarkEnd w:id="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1717040</wp:posOffset>
            </wp:positionH>
            <wp:positionV relativeFrom="page">
              <wp:posOffset>586105</wp:posOffset>
            </wp:positionV>
            <wp:extent cx="4080510" cy="8058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clrChange>
                        <a:clrFrom>
                          <a:srgbClr val="FFFFFF"/>
                        </a:clrFrom>
                        <a:clrTo>
                          <a:srgbClr val="FFFFFF">
                            <a:alpha val="0"/>
                          </a:srgbClr>
                        </a:clrTo>
                      </a:clrChange>
                      <a:extLst>
                        <a:ext uri="{28A0092B-C50C-407E-A947-70E740481C1C}"/>
                      </a:extLst>
                    </a:blip>
                    <a:srcRect/>
                    <a:stretch>
                      <a:fillRect/>
                    </a:stretch>
                  </pic:blipFill>
                  <pic:spPr bwMode="auto">
                    <a:xfrm>
                      <a:off x="0" y="0"/>
                      <a:ext cx="4080510" cy="8058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720" w:hanging="712"/>
        <w:spacing w:after="0"/>
        <w:tabs>
          <w:tab w:leader="none" w:pos="720" w:val="left"/>
        </w:tabs>
        <w:numPr>
          <w:ilvl w:val="0"/>
          <w:numId w:val="8"/>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u w:val="single" w:color="auto"/>
          <w:color w:val="auto"/>
        </w:rPr>
        <w:t>Waiver of Claims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u w:val="single" w:color="auto"/>
          <w:color w:val="auto"/>
        </w:rPr>
      </w:pPr>
    </w:p>
    <w:p>
      <w:pPr>
        <w:ind w:right="220" w:firstLine="656"/>
        <w:spacing w:after="0" w:line="258" w:lineRule="auto"/>
        <w:tabs>
          <w:tab w:leader="none" w:pos="1657"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consideration of the terms of this Release and the Severance Benefits paid by the Company, as described in Section 3 of this Release (which I agree constitute consideration in addition to anything of value to which I am already entitled), I agree that this Release constitutes a knowing and voluntary waiver of all waivable rights or claims I may have against the Released Parties, or any of them, including, but not limited to, all rights or claims arising under the Age Discrimination in Employment Act of 1967, as amended (the “ADEA”), including, but not limited to, all claims of age discrimination in employment and all claims of retaliation in violation of the ADEA.</w:t>
      </w:r>
    </w:p>
    <w:p>
      <w:pPr>
        <w:spacing w:after="0" w:line="183" w:lineRule="exact"/>
        <w:rPr>
          <w:rFonts w:ascii="Times New Roman" w:cs="Times New Roman" w:eastAsia="Times New Roman" w:hAnsi="Times New Roman"/>
          <w:sz w:val="18"/>
          <w:szCs w:val="18"/>
          <w:color w:val="auto"/>
        </w:rPr>
      </w:pPr>
    </w:p>
    <w:p>
      <w:pPr>
        <w:ind w:left="1680" w:hanging="1024"/>
        <w:spacing w:after="0"/>
        <w:tabs>
          <w:tab w:leader="none" w:pos="168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understand that, by entering into this Release, I do not waive rights or claims that may arise after the date this Release is executed.</w:t>
      </w:r>
    </w:p>
    <w:p>
      <w:pPr>
        <w:spacing w:after="0" w:line="225" w:lineRule="exact"/>
        <w:rPr>
          <w:rFonts w:ascii="Times New Roman" w:cs="Times New Roman" w:eastAsia="Times New Roman" w:hAnsi="Times New Roman"/>
          <w:sz w:val="18"/>
          <w:szCs w:val="18"/>
          <w:color w:val="auto"/>
        </w:rPr>
      </w:pPr>
    </w:p>
    <w:p>
      <w:pPr>
        <w:ind w:right="100" w:firstLine="656"/>
        <w:spacing w:after="0" w:line="255" w:lineRule="auto"/>
        <w:tabs>
          <w:tab w:leader="none" w:pos="1657"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understand that this Release will not affect the rights and responsibilities of the U.S. Equal Employment Opportunity Commission (“EEOC”) to enforce the ADEA, and further understand that this Release will not be used to justify interfering with my protected right to file a charge or participate in an investigation or proceeding conducted by the EEOC, the National Labor Relations Board, the Securities and Exchange Commission, the Occupational Safety and Health Administration, or any similar federal, state, or local agency. I knowingly and voluntarily waive all rights or claims (that arose prior to my execution of this Release) that I may have against the Released Parties, or any of them, to receive any benefit or remedial relief (including, but not limited to, reinstatement, back pay, front pay, damages, and attorneys’ and experts’ fees) as a consequence of any charge or compliant filed with the EEOC or any other agency, and of any litigation concerning any facts alleged in any such charge or complaint.</w:t>
      </w:r>
    </w:p>
    <w:p>
      <w:pPr>
        <w:spacing w:after="0" w:line="189" w:lineRule="exact"/>
        <w:rPr>
          <w:sz w:val="20"/>
          <w:szCs w:val="20"/>
          <w:color w:val="auto"/>
        </w:rPr>
      </w:pPr>
    </w:p>
    <w:p>
      <w:pPr>
        <w:ind w:right="280" w:firstLine="8"/>
        <w:spacing w:after="0" w:line="282" w:lineRule="auto"/>
        <w:tabs>
          <w:tab w:leader="none" w:pos="720" w:val="left"/>
        </w:tabs>
        <w:numPr>
          <w:ilvl w:val="0"/>
          <w:numId w:val="9"/>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I acknowledge that I have not relied on any representations, promises, or agreements of any kind made to me in connection with my decision to sign this Release.</w:t>
      </w:r>
    </w:p>
    <w:p>
      <w:pPr>
        <w:spacing w:after="0" w:line="161" w:lineRule="exact"/>
        <w:rPr>
          <w:rFonts w:ascii="Times New Roman" w:cs="Times New Roman" w:eastAsia="Times New Roman" w:hAnsi="Times New Roman"/>
          <w:sz w:val="18"/>
          <w:szCs w:val="18"/>
          <w:u w:val="single" w:color="auto"/>
          <w:color w:val="auto"/>
        </w:rPr>
      </w:pPr>
    </w:p>
    <w:p>
      <w:pPr>
        <w:ind w:left="720" w:hanging="712"/>
        <w:spacing w:after="0"/>
        <w:tabs>
          <w:tab w:leader="none" w:pos="720" w:val="left"/>
        </w:tabs>
        <w:numPr>
          <w:ilvl w:val="0"/>
          <w:numId w:val="9"/>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u w:val="single" w:color="auto"/>
          <w:color w:val="auto"/>
        </w:rPr>
        <w:t>Effective Date</w:t>
      </w:r>
      <w:r>
        <w:rPr>
          <w:rFonts w:ascii="Times New Roman" w:cs="Times New Roman" w:eastAsia="Times New Roman" w:hAnsi="Times New Roman"/>
          <w:sz w:val="18"/>
          <w:szCs w:val="18"/>
          <w:color w:val="auto"/>
        </w:rPr>
        <w:t>. This Release shall not become effective or enforceable until the expiration of the 7- day revocation period described in Section 15</w:t>
      </w:r>
    </w:p>
    <w:p>
      <w:pPr>
        <w:spacing w:after="0" w:line="27" w:lineRule="exact"/>
        <w:rPr>
          <w:rFonts w:ascii="Times New Roman" w:cs="Times New Roman" w:eastAsia="Times New Roman" w:hAnsi="Times New Roman"/>
          <w:sz w:val="18"/>
          <w:szCs w:val="18"/>
          <w:u w:val="single" w:color="auto"/>
          <w:color w:val="auto"/>
        </w:rPr>
      </w:pPr>
    </w:p>
    <w:p>
      <w:pPr>
        <w:spacing w:after="0"/>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above.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HAVE READ THIS AGREEMENT IN ITS ENTIRETY.</w:t>
      </w:r>
    </w:p>
    <w:p>
      <w:pPr>
        <w:spacing w:after="0" w:line="225"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I UNDERSTAND THAT BY SIGNING THIS RELEASE, I SHALL BE GIVING UP IMPORTANT RIGHTS, AND SHALL BE WAIVING MY RIGHTS UNDER FEDERAL, STATE AND LOCAL LAW TO BRING ANY CLAIMS THAT I HAVE OR MIGHT HAVE AGAINST THE RELEASED PARTIES INCLUDING BUT NOT LIMITED TO THE ACTS, STATUTES, CODES, ORDINANCES, RULES AND LAWS SET FORTH IN THIS RELEASE, AND ANY OTHER CONSTITUTIONAL, STATUTORY COMMON LAW RIGHTS AND PRIVILEGES.</w:t>
      </w:r>
    </w:p>
    <w:p>
      <w:pPr>
        <w:spacing w:after="0" w:line="180"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 UNDERSTAND THAT MY RIGHT TO RECEIVE THE SEVERANCE BENEFITS SET FORTH IN SECTION 3 OF THIS RELEASE IS SUBJECT TO THE TERMS AND CONDITIONS SET FORTH IN THIS RELEASE AND THAT I WOULD AND WILL NOT RECEIVE SUCH SEVERANCE BENEFITS BUT FOR MY EXECUTION OF THIS RELEASE.</w:t>
      </w:r>
    </w:p>
    <w:p>
      <w:pPr>
        <w:spacing w:after="0" w:line="176" w:lineRule="exact"/>
        <w:rPr>
          <w:sz w:val="20"/>
          <w:szCs w:val="20"/>
          <w:color w:val="auto"/>
        </w:rPr>
      </w:pPr>
    </w:p>
    <w:p>
      <w:pPr>
        <w:ind w:right="60"/>
        <w:spacing w:after="0" w:line="312" w:lineRule="auto"/>
        <w:rPr>
          <w:sz w:val="20"/>
          <w:szCs w:val="20"/>
          <w:color w:val="auto"/>
        </w:rPr>
      </w:pPr>
      <w:r>
        <w:rPr>
          <w:rFonts w:ascii="Times New Roman" w:cs="Times New Roman" w:eastAsia="Times New Roman" w:hAnsi="Times New Roman"/>
          <w:sz w:val="17"/>
          <w:szCs w:val="17"/>
          <w:color w:val="auto"/>
        </w:rPr>
        <w:t>I HAVE BEEN ADVISED IN WRITING TO CONSULT WITH AN ATTORNEY PRIOR TO SIGNING THIS RELEASE. I HAVE HAD A REASONABLE OPPORTUNITY TO RETAIN AND CONSULT WITH AN ATTORNEY BEFORE SIGNING THIS RELEASE AND HAVE DONE SO.</w:t>
      </w:r>
    </w:p>
    <w:p>
      <w:pPr>
        <w:spacing w:after="0" w:line="140"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I ALSO HAVE BEEN ADVISED IN WRITING BY COMPANY THAT I HAVE FORTY-FIVE (45) DAYS TO CONSIDER THIS RELEASE. I AGREE THAT ANY MODIFICATIONS, MATERIAL OR OTHERWISE, MADE TO THIS RESIGNATION, SEPARATION AGREEMENT AND RELEASE DO NOT RESTART OR AFFECT IN ANY MANNER THE ORIGINAL FORTY-FIVE (45) DAY CONSIDERATION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 w:name="page10"/>
    <w:bookmarkEnd w:id="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1717040</wp:posOffset>
            </wp:positionH>
            <wp:positionV relativeFrom="page">
              <wp:posOffset>586105</wp:posOffset>
            </wp:positionV>
            <wp:extent cx="4080510" cy="8058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clrChange>
                        <a:clrFrom>
                          <a:srgbClr val="FFFFFF"/>
                        </a:clrFrom>
                        <a:clrTo>
                          <a:srgbClr val="FFFFFF">
                            <a:alpha val="0"/>
                          </a:srgbClr>
                        </a:clrTo>
                      </a:clrChange>
                      <a:extLst>
                        <a:ext uri="{28A0092B-C50C-407E-A947-70E740481C1C}"/>
                      </a:extLst>
                    </a:blip>
                    <a:srcRect/>
                    <a:stretch>
                      <a:fillRect/>
                    </a:stretch>
                  </pic:blipFill>
                  <pic:spPr bwMode="auto">
                    <a:xfrm>
                      <a:off x="0" y="0"/>
                      <a:ext cx="4080510" cy="8058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I AGREE TO EVERYTHING CONTAINED IN THIS RELEASE AND AM SIGNING THIS RELEASE KNOWINGLY, VOLUNTARILY, AND FREE OF ANY DURESS.</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WITNESS WHEREOF, I have executed this Release as of the date set forth below.</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Suzanne Scrabis</w:t>
            </w:r>
          </w:p>
        </w:tc>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w w:val="96"/>
              </w:rPr>
              <w:t>1/2/2025</w:t>
            </w:r>
          </w:p>
        </w:tc>
      </w:tr>
      <w:tr>
        <w:trPr>
          <w:trHeight w:val="228"/>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Signature</w:t>
            </w:r>
          </w:p>
        </w:tc>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r>
    </w:tbl>
    <w:p>
      <w:pPr>
        <w:spacing w:after="0" w:line="39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Please initial here if this agreement is signed before the expiration of the forty-five (45)-day review period to indicate your knowing and voluntary waiver of any further time for consideration: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080"/>
          </w:cols>
          <w:pgMar w:left="320" w:top="1440" w:right="499" w:bottom="1440" w:gutter="0" w:footer="0" w:header="0"/>
        </w:sectPr>
      </w:pPr>
    </w:p>
    <w:bookmarkStart w:id="10" w:name="page11"/>
    <w:bookmarkEnd w:id="10"/>
    <w:p>
      <w:pPr>
        <w:jc w:val="right"/>
        <w:spacing w:after="0"/>
        <w:rPr>
          <w:sz w:val="20"/>
          <w:szCs w:val="20"/>
          <w:color w:val="auto"/>
        </w:rPr>
      </w:pPr>
      <w:r>
        <w:rPr>
          <w:rFonts w:ascii="Times New Roman" w:cs="Times New Roman" w:eastAsia="Times New Roman" w:hAnsi="Times New Roman"/>
          <w:sz w:val="22"/>
          <w:szCs w:val="22"/>
          <w:b w:val="1"/>
          <w:bCs w:val="1"/>
          <w:color w:val="auto"/>
        </w:rPr>
        <w:t>Exhibit 10.2</w:t>
      </w: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EXECUTIVE EMPLOYMENT AGREEMENT</w:t>
      </w:r>
    </w:p>
    <w:p>
      <w:pPr>
        <w:spacing w:after="0" w:line="22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 xml:space="preserve">This </w:t>
      </w:r>
      <w:r>
        <w:rPr>
          <w:rFonts w:ascii="Times New Roman" w:cs="Times New Roman" w:eastAsia="Times New Roman" w:hAnsi="Times New Roman"/>
          <w:sz w:val="18"/>
          <w:szCs w:val="18"/>
          <w:b w:val="1"/>
          <w:bCs w:val="1"/>
          <w:color w:val="auto"/>
        </w:rPr>
        <w:t>EXECUTIVE EMPLOYMENT AGREEMENT</w:t>
      </w:r>
      <w:r>
        <w:rPr>
          <w:rFonts w:ascii="Times New Roman" w:cs="Times New Roman" w:eastAsia="Times New Roman" w:hAnsi="Times New Roman"/>
          <w:sz w:val="18"/>
          <w:szCs w:val="18"/>
          <w:color w:val="auto"/>
        </w:rPr>
        <w:t xml:space="preserve">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is made and entered into, at New York, New York, effective as of the 6th day of January, 2025 (the “</w:t>
      </w:r>
      <w:r>
        <w:rPr>
          <w:rFonts w:ascii="Times New Roman" w:cs="Times New Roman" w:eastAsia="Times New Roman" w:hAnsi="Times New Roman"/>
          <w:sz w:val="18"/>
          <w:szCs w:val="18"/>
          <w:u w:val="single" w:color="auto"/>
          <w:color w:val="auto"/>
        </w:rPr>
        <w:t>Effective Date</w:t>
      </w:r>
      <w:r>
        <w:rPr>
          <w:rFonts w:ascii="Times New Roman" w:cs="Times New Roman" w:eastAsia="Times New Roman" w:hAnsi="Times New Roman"/>
          <w:sz w:val="18"/>
          <w:szCs w:val="18"/>
          <w:color w:val="auto"/>
        </w:rPr>
        <w:t>”), and is by and between Thomas Ian Brown, an individual residing at the address listed in the Company’s files (“</w:t>
      </w:r>
      <w:r>
        <w:rPr>
          <w:rFonts w:ascii="Times New Roman" w:cs="Times New Roman" w:eastAsia="Times New Roman" w:hAnsi="Times New Roman"/>
          <w:sz w:val="18"/>
          <w:szCs w:val="18"/>
          <w:u w:val="single" w:color="auto"/>
          <w:color w:val="auto"/>
        </w:rPr>
        <w:t>Executive</w:t>
      </w:r>
      <w:r>
        <w:rPr>
          <w:rFonts w:ascii="Times New Roman" w:cs="Times New Roman" w:eastAsia="Times New Roman" w:hAnsi="Times New Roman"/>
          <w:sz w:val="18"/>
          <w:szCs w:val="18"/>
          <w:color w:val="auto"/>
        </w:rPr>
        <w:t>”), and XWELL, Inc., a Delaware corporation (f/k/a XpresSpa Group, Inc., a Delaware corporation) with principal offices located at 254 W 31st St, New York, NY 10001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WITNESSETH</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Executive shall be an employee the Company Effective Date and</w:t>
      </w:r>
    </w:p>
    <w:p>
      <w:pPr>
        <w:spacing w:after="0" w:line="225"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Executive desires to be employed by the Company as the Chief Financial Officer of the Company, and the Company wishes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employ Executive in such capacity as of the Effective Date.</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NOW, THEREFORE</w:t>
      </w:r>
      <w:r>
        <w:rPr>
          <w:rFonts w:ascii="Times New Roman" w:cs="Times New Roman" w:eastAsia="Times New Roman" w:hAnsi="Times New Roman"/>
          <w:sz w:val="18"/>
          <w:szCs w:val="18"/>
          <w:color w:val="auto"/>
        </w:rPr>
        <w:t>, in consideration of the foregoing recitals and the respective covenants and agreements of the parties contained in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document, the Company and Executive hereby agree as follows:</w:t>
      </w:r>
    </w:p>
    <w:p>
      <w:pPr>
        <w:spacing w:after="0" w:line="159" w:lineRule="exact"/>
        <w:rPr>
          <w:sz w:val="20"/>
          <w:szCs w:val="20"/>
          <w:color w:val="auto"/>
        </w:rPr>
      </w:pPr>
    </w:p>
    <w:p>
      <w:pPr>
        <w:ind w:left="680" w:hanging="672"/>
        <w:spacing w:after="0"/>
        <w:tabs>
          <w:tab w:leader="none" w:pos="6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Employment and Duties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656"/>
        <w:spacing w:after="0" w:line="255" w:lineRule="auto"/>
        <w:tabs>
          <w:tab w:leader="none" w:pos="1464"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terms of this Agreement, the Company agrees to hire and employ, and Executive agrees to serve, as the Chief Financial Officer of the Company. The duties and responsibilities of Executive shall include the duties and responsibilities normally associated with such position and such other executive officer duties and responsibilities as may be assigned from time to time. At all times during the Employment Period (as defined below), Executive shall report directly to the Chief Executive Officer and shall provide services to the Company and any or all of its subsidiaries. Executive shall serve in a loyal, faithful and trustworthy manner, and shall comply with all of the policies of the Company and its subsidiaries, including, without limitation, such policies with respect to legal compliance, conflicts of interest, confidentiality, code of conduct and business ethics as are from time to time in effect (as the same may be amended or modified from time to time by the Board in its discretion).</w:t>
      </w:r>
    </w:p>
    <w:p>
      <w:pPr>
        <w:spacing w:after="0" w:line="188" w:lineRule="exact"/>
        <w:rPr>
          <w:rFonts w:ascii="Times New Roman" w:cs="Times New Roman" w:eastAsia="Times New Roman" w:hAnsi="Times New Roman"/>
          <w:sz w:val="18"/>
          <w:szCs w:val="18"/>
          <w:color w:val="auto"/>
        </w:rPr>
      </w:pPr>
    </w:p>
    <w:p>
      <w:pPr>
        <w:jc w:val="both"/>
        <w:ind w:firstLine="656"/>
        <w:spacing w:after="0" w:line="254" w:lineRule="auto"/>
        <w:tabs>
          <w:tab w:leader="none" w:pos="1413"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 shall devote substantially all of his working time and efforts during the Company’s normal business hours to the business and affairs of the Company and to the diligent and faithful performance of the duties and responsibilities duly assigned to him pursuant to this Agreement to the best of Executive’s abilities. Notwithstanding the foregoing, nothing herein shall preclude Executive from (i) performing services for such other companies as the Company may designate or permit at the Company’s discretion, (ii) serving, with the prior written consent of the Board, which consent shall not be unreasonably withheld, as an officer or member of the boards of directors or advisory boards (or their equivalents in the case of a non-corporate entity) of noncompeting businesses or charitable, educational or civic organizations, (iii) engaging in charitable activities and community affairs and (iv) managing Executive’s personal investments and affairs; provided, however, that the activities set out in clauses (i), (ii), (iii) and (iv) shall be limited by applicable law and in a manner which does not materially interfere, individually or in the aggregate, with the performance of Executive’s duties and responsibilities hereunder.</w:t>
      </w:r>
    </w:p>
    <w:p>
      <w:pPr>
        <w:spacing w:after="0" w:line="200" w:lineRule="exact"/>
        <w:rPr>
          <w:sz w:val="20"/>
          <w:szCs w:val="20"/>
          <w:color w:val="auto"/>
        </w:rPr>
      </w:pPr>
    </w:p>
    <w:p>
      <w:pPr>
        <w:spacing w:after="0" w:line="20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11" w:name="page12"/>
    <w:bookmarkEnd w:id="11"/>
    <w:p>
      <w:pPr>
        <w:ind w:left="680" w:hanging="672"/>
        <w:spacing w:after="0"/>
        <w:tabs>
          <w:tab w:leader="none" w:pos="6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Effective Date; Term; Termination of Prior Agreements and Waiver of Severance</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400" w:hanging="744"/>
        <w:spacing w:after="0"/>
        <w:tabs>
          <w:tab w:leader="none" w:pos="140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shall be effective as of the Effective Date.</w:t>
      </w:r>
    </w:p>
    <w:p>
      <w:pPr>
        <w:spacing w:after="0" w:line="225" w:lineRule="exact"/>
        <w:rPr>
          <w:rFonts w:ascii="Times New Roman" w:cs="Times New Roman" w:eastAsia="Times New Roman" w:hAnsi="Times New Roman"/>
          <w:sz w:val="18"/>
          <w:szCs w:val="18"/>
          <w:color w:val="auto"/>
        </w:rPr>
      </w:pPr>
    </w:p>
    <w:p>
      <w:pPr>
        <w:jc w:val="both"/>
        <w:ind w:firstLine="656"/>
        <w:spacing w:after="0" w:line="254" w:lineRule="auto"/>
        <w:tabs>
          <w:tab w:leader="none" w:pos="1513"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hereby agrees to employ Executive, and Executive hereby accepts employment with the Company, upon the terms set forth in this Agreement, for the period commencing on the Effective Date and ending on the third (3rd) anniversary of the Effective Date (such period is the “</w:t>
      </w:r>
      <w:r>
        <w:rPr>
          <w:rFonts w:ascii="Times New Roman" w:cs="Times New Roman" w:eastAsia="Times New Roman" w:hAnsi="Times New Roman"/>
          <w:sz w:val="18"/>
          <w:szCs w:val="18"/>
          <w:u w:val="single" w:color="auto"/>
          <w:color w:val="auto"/>
        </w:rPr>
        <w:t>Initial Employment Period</w:t>
      </w:r>
      <w:r>
        <w:rPr>
          <w:rFonts w:ascii="Times New Roman" w:cs="Times New Roman" w:eastAsia="Times New Roman" w:hAnsi="Times New Roman"/>
          <w:sz w:val="18"/>
          <w:szCs w:val="18"/>
          <w:color w:val="auto"/>
        </w:rPr>
        <w:t>”). This Initial Employment Period will be automatically renewed for additional consecutive terms of one (1) year each (each, a “</w:t>
      </w:r>
      <w:r>
        <w:rPr>
          <w:rFonts w:ascii="Times New Roman" w:cs="Times New Roman" w:eastAsia="Times New Roman" w:hAnsi="Times New Roman"/>
          <w:sz w:val="18"/>
          <w:szCs w:val="18"/>
          <w:u w:val="single" w:color="auto"/>
          <w:color w:val="auto"/>
        </w:rPr>
        <w:t>Renewal Period</w:t>
      </w:r>
      <w:r>
        <w:rPr>
          <w:rFonts w:ascii="Times New Roman" w:cs="Times New Roman" w:eastAsia="Times New Roman" w:hAnsi="Times New Roman"/>
          <w:sz w:val="18"/>
          <w:szCs w:val="18"/>
          <w:color w:val="auto"/>
        </w:rPr>
        <w:t>” and together with the Initial Employment Period, the “</w:t>
      </w:r>
      <w:r>
        <w:rPr>
          <w:rFonts w:ascii="Times New Roman" w:cs="Times New Roman" w:eastAsia="Times New Roman" w:hAnsi="Times New Roman"/>
          <w:sz w:val="18"/>
          <w:szCs w:val="18"/>
          <w:u w:val="single" w:color="auto"/>
          <w:color w:val="auto"/>
        </w:rPr>
        <w:t>Employment Period</w:t>
      </w:r>
      <w:r>
        <w:rPr>
          <w:rFonts w:ascii="Times New Roman" w:cs="Times New Roman" w:eastAsia="Times New Roman" w:hAnsi="Times New Roman"/>
          <w:sz w:val="18"/>
          <w:szCs w:val="18"/>
          <w:color w:val="auto"/>
        </w:rPr>
        <w:t xml:space="preserve">”) unless either Executive or the Company provide a written notice of non-renewal at least thirty (30) days prior to the end of the Initial Employment Period or the then-current Renewal Period, as applicable. For the avoidance of doubt, a non-renewal of this Agreement during the Initial Employment Period or any Renewal Period shall not constitute a termination by the Company without Cause (defined below) or a termination by Executive for Good Reason (defined below). Notwithstanding any other provision of this Agreement, Executive’s employment pursuant to this Agreement may be terminated at any time in accordance with </w:t>
      </w:r>
      <w:r>
        <w:rPr>
          <w:rFonts w:ascii="Times New Roman" w:cs="Times New Roman" w:eastAsia="Times New Roman" w:hAnsi="Times New Roman"/>
          <w:sz w:val="18"/>
          <w:szCs w:val="18"/>
          <w:u w:val="single" w:color="auto"/>
          <w:color w:val="auto"/>
        </w:rPr>
        <w:t>Section 8</w:t>
      </w:r>
      <w:r>
        <w:rPr>
          <w:rFonts w:ascii="Times New Roman" w:cs="Times New Roman" w:eastAsia="Times New Roman" w:hAnsi="Times New Roman"/>
          <w:sz w:val="18"/>
          <w:szCs w:val="18"/>
          <w:color w:val="auto"/>
        </w:rPr>
        <w:t xml:space="preserve"> below.</w:t>
      </w:r>
    </w:p>
    <w:p>
      <w:pPr>
        <w:spacing w:after="0" w:line="191" w:lineRule="exact"/>
        <w:rPr>
          <w:rFonts w:ascii="Times New Roman" w:cs="Times New Roman" w:eastAsia="Times New Roman" w:hAnsi="Times New Roman"/>
          <w:sz w:val="18"/>
          <w:szCs w:val="18"/>
          <w:color w:val="auto"/>
        </w:rPr>
      </w:pPr>
    </w:p>
    <w:p>
      <w:pPr>
        <w:jc w:val="both"/>
        <w:ind w:firstLine="8"/>
        <w:spacing w:after="0" w:line="261" w:lineRule="auto"/>
        <w:tabs>
          <w:tab w:leader="none" w:pos="823"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Place of Employment</w:t>
      </w:r>
      <w:r>
        <w:rPr>
          <w:rFonts w:ascii="Times New Roman" w:cs="Times New Roman" w:eastAsia="Times New Roman" w:hAnsi="Times New Roman"/>
          <w:sz w:val="18"/>
          <w:szCs w:val="18"/>
          <w:color w:val="auto"/>
        </w:rPr>
        <w:t>. Executive’s services may be performed primarily remotely, at Executive’s home or other suitable location provided by Executive, but Executive will also be required to work at the Company’s office locations from time to time, including the Company’s main office located at</w:t>
      </w:r>
    </w:p>
    <w:p>
      <w:pPr>
        <w:ind w:firstLine="8"/>
        <w:spacing w:after="0" w:line="260" w:lineRule="auto"/>
        <w:tabs>
          <w:tab w:leader="none" w:pos="349"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 31st St, New York, NY 10001. The parties further acknowledge, however, that Executive may be required to travel in connection with the performance of his duties hereunder.</w:t>
      </w:r>
    </w:p>
    <w:p>
      <w:pPr>
        <w:spacing w:after="0" w:line="181" w:lineRule="exact"/>
        <w:rPr>
          <w:rFonts w:ascii="Times New Roman" w:cs="Times New Roman" w:eastAsia="Times New Roman" w:hAnsi="Times New Roman"/>
          <w:sz w:val="18"/>
          <w:szCs w:val="18"/>
          <w:color w:val="auto"/>
        </w:rPr>
      </w:pPr>
    </w:p>
    <w:p>
      <w:pPr>
        <w:jc w:val="both"/>
        <w:ind w:firstLine="8"/>
        <w:spacing w:after="0" w:line="258" w:lineRule="auto"/>
        <w:tabs>
          <w:tab w:leader="none" w:pos="918"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Compensation</w:t>
      </w:r>
      <w:r>
        <w:rPr>
          <w:rFonts w:ascii="Times New Roman" w:cs="Times New Roman" w:eastAsia="Times New Roman" w:hAnsi="Times New Roman"/>
          <w:sz w:val="18"/>
          <w:szCs w:val="18"/>
          <w:color w:val="auto"/>
        </w:rPr>
        <w:t>. For all services to be rendered by Executive pursuant to this Agreement, the Company agrees to pay Executive during the Employment Period an annual base salary, less applicable taxes, including income tax, FICA and FUTA, and other appropriate deductions (the “</w:t>
      </w:r>
      <w:r>
        <w:rPr>
          <w:rFonts w:ascii="Times New Roman" w:cs="Times New Roman" w:eastAsia="Times New Roman" w:hAnsi="Times New Roman"/>
          <w:sz w:val="18"/>
          <w:szCs w:val="18"/>
          <w:u w:val="single" w:color="auto"/>
          <w:color w:val="auto"/>
        </w:rPr>
        <w:t>Base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Salar</w:t>
      </w:r>
      <w:r>
        <w:rPr>
          <w:rFonts w:ascii="Times New Roman" w:cs="Times New Roman" w:eastAsia="Times New Roman" w:hAnsi="Times New Roman"/>
          <w:sz w:val="18"/>
          <w:szCs w:val="18"/>
          <w:color w:val="auto"/>
        </w:rPr>
        <w:t>y”) at an annual rate of three hundred seventy five thousand dollars ($375,000). During the Employment Period, the Board has the discretion to raise the Base Salary from time-to-time and shall reevaluate Executive’s Base Salary on at least an annual basis. The Base Salary shall be paid in equal biweekly installments in accordance with the Company’s regular payroll practices.</w:t>
      </w:r>
    </w:p>
    <w:p>
      <w:pPr>
        <w:spacing w:after="0" w:line="183" w:lineRule="exact"/>
        <w:rPr>
          <w:rFonts w:ascii="Times New Roman" w:cs="Times New Roman" w:eastAsia="Times New Roman" w:hAnsi="Times New Roman"/>
          <w:sz w:val="18"/>
          <w:szCs w:val="18"/>
          <w:color w:val="auto"/>
        </w:rPr>
      </w:pPr>
    </w:p>
    <w:p>
      <w:pPr>
        <w:ind w:left="680" w:hanging="672"/>
        <w:spacing w:after="0"/>
        <w:tabs>
          <w:tab w:leader="none" w:pos="6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Bonuses and Incentive Compensation; Expenses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right="20" w:firstLine="656"/>
        <w:spacing w:after="0" w:line="282" w:lineRule="auto"/>
        <w:tabs>
          <w:tab w:leader="none" w:pos="1539"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Signing Bonus. Executive will receive from the Company a signing bonus in the amount of seventy five thousand ($75,000) within thirty (30) days of the Effective Date.</w:t>
      </w:r>
    </w:p>
    <w:p>
      <w:pPr>
        <w:spacing w:after="0" w:line="161" w:lineRule="exact"/>
        <w:rPr>
          <w:rFonts w:ascii="Times New Roman" w:cs="Times New Roman" w:eastAsia="Times New Roman" w:hAnsi="Times New Roman"/>
          <w:sz w:val="18"/>
          <w:szCs w:val="18"/>
          <w:color w:val="auto"/>
        </w:rPr>
      </w:pPr>
    </w:p>
    <w:p>
      <w:pPr>
        <w:ind w:firstLine="656"/>
        <w:spacing w:after="0" w:line="282" w:lineRule="auto"/>
        <w:tabs>
          <w:tab w:leader="none" w:pos="1414"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First Anniversary Bonus. Executive will receive from the Company a guaranteed bonus of seventy five thousand ($75,000) within thirty (30) days of the first anniversary of the Effective Date, provided that Executive was an employee in good standing at all times throughout such period.</w:t>
      </w:r>
    </w:p>
    <w:p>
      <w:pPr>
        <w:spacing w:after="0" w:line="157" w:lineRule="exact"/>
        <w:rPr>
          <w:rFonts w:ascii="Times New Roman" w:cs="Times New Roman" w:eastAsia="Times New Roman" w:hAnsi="Times New Roman"/>
          <w:sz w:val="18"/>
          <w:szCs w:val="18"/>
          <w:color w:val="auto"/>
        </w:rPr>
      </w:pPr>
    </w:p>
    <w:p>
      <w:pPr>
        <w:jc w:val="both"/>
        <w:ind w:firstLine="656"/>
        <w:spacing w:after="0" w:line="262" w:lineRule="auto"/>
        <w:tabs>
          <w:tab w:leader="none" w:pos="163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Inducement Grant</w:t>
      </w:r>
      <w:r>
        <w:rPr>
          <w:rFonts w:ascii="Times New Roman" w:cs="Times New Roman" w:eastAsia="Times New Roman" w:hAnsi="Times New Roman"/>
          <w:sz w:val="18"/>
          <w:szCs w:val="18"/>
          <w:color w:val="auto"/>
        </w:rPr>
        <w:t xml:space="preserve">. As further provided on </w:t>
      </w:r>
      <w:r>
        <w:rPr>
          <w:rFonts w:ascii="Times New Roman" w:cs="Times New Roman" w:eastAsia="Times New Roman" w:hAnsi="Times New Roman"/>
          <w:sz w:val="18"/>
          <w:szCs w:val="18"/>
          <w:b w:val="1"/>
          <w:bCs w:val="1"/>
          <w:u w:val="single" w:color="auto"/>
          <w:color w:val="auto"/>
        </w:rPr>
        <w:t>Exhibit A</w:t>
      </w:r>
      <w:r>
        <w:rPr>
          <w:rFonts w:ascii="Times New Roman" w:cs="Times New Roman" w:eastAsia="Times New Roman" w:hAnsi="Times New Roman"/>
          <w:sz w:val="18"/>
          <w:szCs w:val="18"/>
          <w:color w:val="auto"/>
        </w:rPr>
        <w:t>, as soon as administratively practicable following the Effective Date, as an inducement material to Executive entering into this Agreement, the Company (pursuant to approval of the Board) shall grant Executive an award of stock options with respect to thirty seven thousand (37,000) shares of the Company’s common stock (the “</w:t>
      </w:r>
      <w:r>
        <w:rPr>
          <w:rFonts w:ascii="Times New Roman" w:cs="Times New Roman" w:eastAsia="Times New Roman" w:hAnsi="Times New Roman"/>
          <w:sz w:val="18"/>
          <w:szCs w:val="18"/>
          <w:u w:val="single" w:color="auto"/>
          <w:color w:val="auto"/>
        </w:rPr>
        <w:t>Inducement Grant</w:t>
      </w:r>
      <w:r>
        <w:rPr>
          <w:rFonts w:ascii="Times New Roman" w:cs="Times New Roman" w:eastAsia="Times New Roman" w:hAnsi="Times New Roman"/>
          <w:sz w:val="18"/>
          <w:szCs w:val="18"/>
          <w:color w:val="auto"/>
        </w:rPr>
        <w:t>”) subject to the terms and conditions of an agreement with respect to the Inducement Grant.</w:t>
      </w:r>
    </w:p>
    <w:p>
      <w:pPr>
        <w:spacing w:after="0" w:line="39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 w:name="page13"/>
    <w:bookmarkEnd w:id="12"/>
    <w:p>
      <w:pPr>
        <w:jc w:val="both"/>
        <w:ind w:firstLine="656"/>
        <w:spacing w:after="0" w:line="266" w:lineRule="auto"/>
        <w:tabs>
          <w:tab w:leader="none" w:pos="1613"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Annual Bonus Eligibility</w:t>
      </w:r>
      <w:r>
        <w:rPr>
          <w:rFonts w:ascii="Times New Roman" w:cs="Times New Roman" w:eastAsia="Times New Roman" w:hAnsi="Times New Roman"/>
          <w:sz w:val="18"/>
          <w:szCs w:val="18"/>
          <w:color w:val="auto"/>
        </w:rPr>
        <w:t xml:space="preserve">. During the Employment Period, Executive will be eligible to participate in any annual bonus and other incentive compensation program that the Company may adopt from time to time for its executive officers. As of the Effective Date, Executive shall be eligible to receive the incentive compensation set forth on </w:t>
      </w:r>
      <w:r>
        <w:rPr>
          <w:rFonts w:ascii="Times New Roman" w:cs="Times New Roman" w:eastAsia="Times New Roman" w:hAnsi="Times New Roman"/>
          <w:sz w:val="18"/>
          <w:szCs w:val="18"/>
          <w:b w:val="1"/>
          <w:bCs w:val="1"/>
          <w:u w:val="single" w:color="auto"/>
          <w:color w:val="auto"/>
        </w:rPr>
        <w:t>Exhibit A</w:t>
      </w:r>
      <w:r>
        <w:rPr>
          <w:rFonts w:ascii="Times New Roman" w:cs="Times New Roman" w:eastAsia="Times New Roman" w:hAnsi="Times New Roman"/>
          <w:sz w:val="18"/>
          <w:szCs w:val="18"/>
          <w:color w:val="auto"/>
        </w:rPr>
        <w:t>.</w:t>
      </w:r>
    </w:p>
    <w:p>
      <w:pPr>
        <w:spacing w:after="0" w:line="175" w:lineRule="exact"/>
        <w:rPr>
          <w:rFonts w:ascii="Times New Roman" w:cs="Times New Roman" w:eastAsia="Times New Roman" w:hAnsi="Times New Roman"/>
          <w:sz w:val="18"/>
          <w:szCs w:val="18"/>
          <w:color w:val="auto"/>
        </w:rPr>
      </w:pPr>
    </w:p>
    <w:p>
      <w:pPr>
        <w:jc w:val="both"/>
        <w:ind w:firstLine="656"/>
        <w:spacing w:after="0" w:line="256" w:lineRule="auto"/>
        <w:tabs>
          <w:tab w:leader="none" w:pos="1603"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Clawback Policy</w:t>
      </w:r>
      <w:r>
        <w:rPr>
          <w:rFonts w:ascii="Times New Roman" w:cs="Times New Roman" w:eastAsia="Times New Roman" w:hAnsi="Times New Roman"/>
          <w:sz w:val="18"/>
          <w:szCs w:val="18"/>
          <w:color w:val="auto"/>
        </w:rPr>
        <w:t>. To the extent that the Company is required pursuant to Section 954 of the Dodd-Frank Wall Street Reform and Consumer Protection Act to develop and implement a policy (the “</w:t>
      </w:r>
      <w:r>
        <w:rPr>
          <w:rFonts w:ascii="Times New Roman" w:cs="Times New Roman" w:eastAsia="Times New Roman" w:hAnsi="Times New Roman"/>
          <w:sz w:val="18"/>
          <w:szCs w:val="18"/>
          <w:u w:val="single" w:color="auto"/>
          <w:color w:val="auto"/>
        </w:rPr>
        <w:t>Policy</w:t>
      </w:r>
      <w:r>
        <w:rPr>
          <w:rFonts w:ascii="Times New Roman" w:cs="Times New Roman" w:eastAsia="Times New Roman" w:hAnsi="Times New Roman"/>
          <w:sz w:val="18"/>
          <w:szCs w:val="18"/>
          <w:color w:val="auto"/>
        </w:rPr>
        <w:t>”) providing for the recovery from Executive of any payment of incentive based compensation (whether in cash or in equity) paid to Executive that was based upon erroneous data contained in an accounting statement, this Agreement shall be deemed amended and the Policy incorporated herein by reference as of the date that the Company takes all necessary corporate action to adopt the Policy, without requiring any further action of the Company or Executive, provided that any such Policy shall only be binding on Executive if the same Policy applies to the Company’s other executive officers.</w:t>
      </w:r>
    </w:p>
    <w:p>
      <w:pPr>
        <w:spacing w:after="0" w:line="187" w:lineRule="exact"/>
        <w:rPr>
          <w:rFonts w:ascii="Times New Roman" w:cs="Times New Roman" w:eastAsia="Times New Roman" w:hAnsi="Times New Roman"/>
          <w:sz w:val="18"/>
          <w:szCs w:val="18"/>
          <w:color w:val="auto"/>
        </w:rPr>
      </w:pPr>
    </w:p>
    <w:p>
      <w:pPr>
        <w:jc w:val="both"/>
        <w:ind w:firstLine="656"/>
        <w:spacing w:after="0" w:line="258" w:lineRule="auto"/>
        <w:tabs>
          <w:tab w:leader="none" w:pos="1597"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Expenses</w:t>
      </w:r>
      <w:r>
        <w:rPr>
          <w:rFonts w:ascii="Times New Roman" w:cs="Times New Roman" w:eastAsia="Times New Roman" w:hAnsi="Times New Roman"/>
          <w:sz w:val="18"/>
          <w:szCs w:val="18"/>
          <w:color w:val="auto"/>
        </w:rPr>
        <w:t>. Executive shall be entitled to reimbursement for all reasonable and necessary travel, entertainment, and other expenses incurred by Executive while employed (in accordance with the policies and procedures established by the Company for its executive officers) in the performance of his duties and responsibilities under this Agreement; provided that Executive properly accounts for such expenses in accordance with Company policies and procedures. Executive shall be responsible for any unreasonable or unnecessary expenses incurred in violation of Company policies and procedures.</w:t>
      </w:r>
    </w:p>
    <w:p>
      <w:pPr>
        <w:spacing w:after="0" w:line="183" w:lineRule="exact"/>
        <w:rPr>
          <w:rFonts w:ascii="Times New Roman" w:cs="Times New Roman" w:eastAsia="Times New Roman" w:hAnsi="Times New Roman"/>
          <w:sz w:val="18"/>
          <w:szCs w:val="18"/>
          <w:color w:val="auto"/>
        </w:rPr>
      </w:pPr>
    </w:p>
    <w:p>
      <w:pPr>
        <w:jc w:val="both"/>
        <w:ind w:firstLine="8"/>
        <w:spacing w:after="0" w:line="255" w:lineRule="auto"/>
        <w:tabs>
          <w:tab w:leader="none" w:pos="67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Benefits</w:t>
      </w:r>
      <w:r>
        <w:rPr>
          <w:rFonts w:ascii="Times New Roman" w:cs="Times New Roman" w:eastAsia="Times New Roman" w:hAnsi="Times New Roman"/>
          <w:sz w:val="18"/>
          <w:szCs w:val="18"/>
          <w:color w:val="auto"/>
        </w:rPr>
        <w:t>. During the Employment Period, Executive shall be eligible to participate in all incentive, savings, retirement (401(k)), and welfare benefit plans, health, medical, dental, vision, life (including accidental death and dismemberment) and disability insurance plans (collectively, to the extent they exist, “</w:t>
      </w:r>
      <w:r>
        <w:rPr>
          <w:rFonts w:ascii="Times New Roman" w:cs="Times New Roman" w:eastAsia="Times New Roman" w:hAnsi="Times New Roman"/>
          <w:sz w:val="18"/>
          <w:szCs w:val="18"/>
          <w:u w:val="single" w:color="auto"/>
          <w:color w:val="auto"/>
        </w:rPr>
        <w:t>Benefit Plans</w:t>
      </w:r>
      <w:r>
        <w:rPr>
          <w:rFonts w:ascii="Times New Roman" w:cs="Times New Roman" w:eastAsia="Times New Roman" w:hAnsi="Times New Roman"/>
          <w:sz w:val="18"/>
          <w:szCs w:val="18"/>
          <w:color w:val="auto"/>
        </w:rPr>
        <w:t>”), in substantially the same manner and at substantially the same levels as the Company makes such opportunities available to the Company’s executive officers, provided however, that the Company may not reduce the benefits provided to Executive under these Benefits Plans without Executive’s written consent, unless such reduction is required by law. Executive shall also be entitled to coverage under such directors and officers, error and omissions, fiduciary liability and other similar insurance coverages, that the Company makes available to its directors and executives and shall enter into its/their standard indemnification agreement with Executive.</w:t>
      </w:r>
    </w:p>
    <w:p>
      <w:pPr>
        <w:spacing w:after="0" w:line="188" w:lineRule="exact"/>
        <w:rPr>
          <w:rFonts w:ascii="Times New Roman" w:cs="Times New Roman" w:eastAsia="Times New Roman" w:hAnsi="Times New Roman"/>
          <w:sz w:val="18"/>
          <w:szCs w:val="18"/>
          <w:color w:val="auto"/>
        </w:rPr>
      </w:pPr>
    </w:p>
    <w:p>
      <w:pPr>
        <w:ind w:firstLine="8"/>
        <w:spacing w:after="0" w:line="282" w:lineRule="auto"/>
        <w:tabs>
          <w:tab w:leader="none" w:pos="702"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Vacation</w:t>
      </w:r>
      <w:r>
        <w:rPr>
          <w:rFonts w:ascii="Times New Roman" w:cs="Times New Roman" w:eastAsia="Times New Roman" w:hAnsi="Times New Roman"/>
          <w:sz w:val="18"/>
          <w:szCs w:val="18"/>
          <w:color w:val="auto"/>
        </w:rPr>
        <w:t>. The Company has an unlimited paid time off (“</w:t>
      </w:r>
      <w:r>
        <w:rPr>
          <w:rFonts w:ascii="Times New Roman" w:cs="Times New Roman" w:eastAsia="Times New Roman" w:hAnsi="Times New Roman"/>
          <w:sz w:val="18"/>
          <w:szCs w:val="18"/>
          <w:u w:val="single" w:color="auto"/>
          <w:color w:val="auto"/>
        </w:rPr>
        <w:t>PTO</w:t>
      </w:r>
      <w:r>
        <w:rPr>
          <w:rFonts w:ascii="Times New Roman" w:cs="Times New Roman" w:eastAsia="Times New Roman" w:hAnsi="Times New Roman"/>
          <w:sz w:val="18"/>
          <w:szCs w:val="18"/>
          <w:color w:val="auto"/>
        </w:rPr>
        <w:t>”) policy. PTO shall be taken at such times as are mutually convenient to Executive and the Company. PTO is not earned and does not accrue. Therefore, there will be no unused PTO to be paid upon termination of employment.</w:t>
      </w:r>
    </w:p>
    <w:p>
      <w:pPr>
        <w:spacing w:after="0" w:line="37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 w:name="page14"/>
    <w:bookmarkEnd w:id="13"/>
    <w:p>
      <w:pPr>
        <w:ind w:left="680" w:hanging="672"/>
        <w:spacing w:after="0"/>
        <w:tabs>
          <w:tab w:leader="none" w:pos="6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of Employment</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656"/>
        <w:spacing w:after="0" w:line="256" w:lineRule="auto"/>
        <w:tabs>
          <w:tab w:leader="none" w:pos="1468"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General</w:t>
      </w:r>
      <w:r>
        <w:rPr>
          <w:rFonts w:ascii="Times New Roman" w:cs="Times New Roman" w:eastAsia="Times New Roman" w:hAnsi="Times New Roman"/>
          <w:sz w:val="18"/>
          <w:szCs w:val="18"/>
          <w:color w:val="auto"/>
        </w:rPr>
        <w:t>. The Employment Period and Executive’s employment hereunder shall terminate upon the earliest to occur of: (i) Executive’s death, (ii) a termination by reason of Executive’s Disability, (iii) a termination by the Company with or without Cause, (iv) a termination by Executive with or without Good Reason, or (v) the last day of the Employment Period. The parties agree that, upon the termination of Executive’s employment (regardless of reason), Executive shall be deemed to have automatically resigned from all applicable officer, director and other positions of any kind with the Company and any of their respective subsidiaries. In addition, Executive shall promptly provide Company with at least two (2) months’ advance notice of such resignations in writing in a form reasonably satisfactory to Company.</w:t>
      </w:r>
    </w:p>
    <w:p>
      <w:pPr>
        <w:spacing w:after="0" w:line="187" w:lineRule="exact"/>
        <w:rPr>
          <w:rFonts w:ascii="Times New Roman" w:cs="Times New Roman" w:eastAsia="Times New Roman" w:hAnsi="Times New Roman"/>
          <w:sz w:val="18"/>
          <w:szCs w:val="18"/>
          <w:color w:val="auto"/>
        </w:rPr>
      </w:pPr>
    </w:p>
    <w:p>
      <w:pPr>
        <w:jc w:val="both"/>
        <w:ind w:firstLine="656"/>
        <w:spacing w:after="0" w:line="255" w:lineRule="auto"/>
        <w:tabs>
          <w:tab w:leader="none" w:pos="1708"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Death</w:t>
      </w:r>
      <w:r>
        <w:rPr>
          <w:rFonts w:ascii="Times New Roman" w:cs="Times New Roman" w:eastAsia="Times New Roman" w:hAnsi="Times New Roman"/>
          <w:sz w:val="18"/>
          <w:szCs w:val="18"/>
          <w:color w:val="auto"/>
        </w:rPr>
        <w:t>. If Executive dies during the Employment Period, this Agreement and Executive’s employment with the Company shall automatically terminate. The Company shall pay Executive’s estate an amount equal to three (3) months of Executive’s Base Salary in a lump sum payment (the “</w:t>
      </w:r>
      <w:r>
        <w:rPr>
          <w:rFonts w:ascii="Times New Roman" w:cs="Times New Roman" w:eastAsia="Times New Roman" w:hAnsi="Times New Roman"/>
          <w:sz w:val="18"/>
          <w:szCs w:val="18"/>
          <w:u w:val="single" w:color="auto"/>
          <w:color w:val="auto"/>
        </w:rPr>
        <w:t>Death Benefit</w:t>
      </w:r>
      <w:r>
        <w:rPr>
          <w:rFonts w:ascii="Times New Roman" w:cs="Times New Roman" w:eastAsia="Times New Roman" w:hAnsi="Times New Roman"/>
          <w:sz w:val="18"/>
          <w:szCs w:val="18"/>
          <w:color w:val="auto"/>
        </w:rPr>
        <w:t>”) and following payment of the Death Benefit, the Company shall have no further obligations to Executive or his heirs, administrators or executors with respect to compensation and benefits accruing thereafter, except for the obligation to pay to Executive’s heirs, administrators or executors</w:t>
      </w:r>
    </w:p>
    <w:p>
      <w:pPr>
        <w:spacing w:after="0" w:line="2" w:lineRule="exact"/>
        <w:rPr>
          <w:rFonts w:ascii="Times New Roman" w:cs="Times New Roman" w:eastAsia="Times New Roman" w:hAnsi="Times New Roman"/>
          <w:sz w:val="18"/>
          <w:szCs w:val="18"/>
          <w:color w:val="auto"/>
        </w:rPr>
      </w:pPr>
    </w:p>
    <w:p>
      <w:pPr>
        <w:jc w:val="both"/>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 any earned but unpaid Base Salary up to and through the date of termination (within fourteen (14) days following termination), (ii) any earned but unpaid Incentive Compensation under the terms set forth in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(iii) any and all reasonable expenses paid or incurred by Executive in connection with and related to the performance of his duties and responsibilities for the Company up to and through the date of termination, and (iv) any benefits provided under the Company’s employee benefit plans pursuant to, and in accordance with, the terms of such plans through the date of termination (including, without limitation, any death benefit or disability benefit plans or programs) (collectively, the “</w:t>
      </w:r>
      <w:r>
        <w:rPr>
          <w:rFonts w:ascii="Times New Roman" w:cs="Times New Roman" w:eastAsia="Times New Roman" w:hAnsi="Times New Roman"/>
          <w:sz w:val="18"/>
          <w:szCs w:val="18"/>
          <w:u w:val="single" w:color="auto"/>
          <w:color w:val="auto"/>
        </w:rPr>
        <w:t>Accrued Obligations</w:t>
      </w:r>
      <w:r>
        <w:rPr>
          <w:rFonts w:ascii="Times New Roman" w:cs="Times New Roman" w:eastAsia="Times New Roman" w:hAnsi="Times New Roman"/>
          <w:sz w:val="18"/>
          <w:szCs w:val="18"/>
          <w:color w:val="auto"/>
        </w:rPr>
        <w:t xml:space="preserve">”). The Company shall deduct, from all payments made under this </w:t>
      </w:r>
      <w:r>
        <w:rPr>
          <w:rFonts w:ascii="Times New Roman" w:cs="Times New Roman" w:eastAsia="Times New Roman" w:hAnsi="Times New Roman"/>
          <w:sz w:val="18"/>
          <w:szCs w:val="18"/>
          <w:u w:val="single" w:color="auto"/>
          <w:color w:val="auto"/>
        </w:rPr>
        <w:t>Section 8(b)</w:t>
      </w:r>
      <w:r>
        <w:rPr>
          <w:rFonts w:ascii="Times New Roman" w:cs="Times New Roman" w:eastAsia="Times New Roman" w:hAnsi="Times New Roman"/>
          <w:sz w:val="18"/>
          <w:szCs w:val="18"/>
          <w:color w:val="auto"/>
        </w:rPr>
        <w:t>, all applicable taxes, including income tax, FICA and FUTA, and other appropriate deductions.</w:t>
      </w:r>
    </w:p>
    <w:p>
      <w:pPr>
        <w:spacing w:after="0" w:line="189" w:lineRule="exact"/>
        <w:rPr>
          <w:rFonts w:ascii="Times New Roman" w:cs="Times New Roman" w:eastAsia="Times New Roman" w:hAnsi="Times New Roman"/>
          <w:sz w:val="18"/>
          <w:szCs w:val="18"/>
          <w:color w:val="auto"/>
        </w:rPr>
      </w:pPr>
    </w:p>
    <w:p>
      <w:pPr>
        <w:jc w:val="both"/>
        <w:ind w:firstLine="656"/>
        <w:spacing w:after="0" w:line="253" w:lineRule="auto"/>
        <w:tabs>
          <w:tab w:leader="none" w:pos="1482"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Disability</w:t>
      </w:r>
      <w:r>
        <w:rPr>
          <w:rFonts w:ascii="Times New Roman" w:cs="Times New Roman" w:eastAsia="Times New Roman" w:hAnsi="Times New Roman"/>
          <w:sz w:val="18"/>
          <w:szCs w:val="18"/>
          <w:color w:val="auto"/>
        </w:rPr>
        <w:t xml:space="preserve">. In the event that during the Employment Period the Company determines that Executive is unable to perform his essential duties and responsibilities hereunder to the full extent required by the Company by reason of a Disability (as defined below), this Agreement and Executive’s employment with the Company shall terminate immediately upon notice to Executive, and the Company shall have no further obligations or liability to Executive or his heirs, administrators or executors with respect to compensation and benefits accruing thereafter, except for the obligation to pay the Accrued Obligations. The Company shall deduct, from all payments made under this </w:t>
      </w:r>
      <w:r>
        <w:rPr>
          <w:rFonts w:ascii="Times New Roman" w:cs="Times New Roman" w:eastAsia="Times New Roman" w:hAnsi="Times New Roman"/>
          <w:sz w:val="18"/>
          <w:szCs w:val="18"/>
          <w:u w:val="single" w:color="auto"/>
          <w:color w:val="auto"/>
        </w:rPr>
        <w:t>Section 8(c)</w:t>
      </w:r>
      <w:r>
        <w:rPr>
          <w:rFonts w:ascii="Times New Roman" w:cs="Times New Roman" w:eastAsia="Times New Roman" w:hAnsi="Times New Roman"/>
          <w:sz w:val="18"/>
          <w:szCs w:val="18"/>
          <w:color w:val="auto"/>
        </w:rPr>
        <w:t>, all applicable taxes, including income tax, FICA and FUTA, and other appropriate deductions. For purposes of this Agreement, “</w:t>
      </w:r>
      <w:r>
        <w:rPr>
          <w:rFonts w:ascii="Times New Roman" w:cs="Times New Roman" w:eastAsia="Times New Roman" w:hAnsi="Times New Roman"/>
          <w:sz w:val="18"/>
          <w:szCs w:val="18"/>
          <w:u w:val="single" w:color="auto"/>
          <w:color w:val="auto"/>
        </w:rPr>
        <w:t>Disability</w:t>
      </w:r>
      <w:r>
        <w:rPr>
          <w:rFonts w:ascii="Times New Roman" w:cs="Times New Roman" w:eastAsia="Times New Roman" w:hAnsi="Times New Roman"/>
          <w:sz w:val="18"/>
          <w:szCs w:val="18"/>
          <w:color w:val="auto"/>
        </w:rPr>
        <w:t>” shall mean a physical or mental disability that prevents the performance by Executive, with or without reasonable accommodation, of his essential duties and responsibilities hereunder for sixty (60) consecutive days, or an aggregate of one hundred and twenty (120) days during any twelve consecutive months, as determined consistent with applicable law, provided that the determination of Executive’s physical or mental health and the date of the Disability shall be determined by a medical expert who will examine Executive as appointed by the Company in its discretion. Executive hereby consents to such examination and consultation regarding Executive’s health and ability to perform as aforesaid.</w:t>
      </w:r>
    </w:p>
    <w:p>
      <w:pPr>
        <w:spacing w:after="0" w:line="191" w:lineRule="exact"/>
        <w:rPr>
          <w:rFonts w:ascii="Times New Roman" w:cs="Times New Roman" w:eastAsia="Times New Roman" w:hAnsi="Times New Roman"/>
          <w:sz w:val="18"/>
          <w:szCs w:val="18"/>
          <w:color w:val="auto"/>
        </w:rPr>
      </w:pPr>
    </w:p>
    <w:p>
      <w:pPr>
        <w:ind w:left="1400" w:hanging="744"/>
        <w:spacing w:after="0"/>
        <w:tabs>
          <w:tab w:leader="none" w:pos="140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By the Company for Cause</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1304"/>
        <w:spacing w:after="0" w:line="252" w:lineRule="auto"/>
        <w:tabs>
          <w:tab w:leader="none" w:pos="2302" w:val="left"/>
        </w:tabs>
        <w:numPr>
          <w:ilvl w:val="2"/>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At any time during the Employment Period, the Company may terminate this Agreement and Executive’s employment hereunder for Cause. Such termination shall be effective immediately upon notice to Executive, subject to the provisions of this </w:t>
      </w:r>
      <w:r>
        <w:rPr>
          <w:rFonts w:ascii="Times New Roman" w:cs="Times New Roman" w:eastAsia="Times New Roman" w:hAnsi="Times New Roman"/>
          <w:sz w:val="18"/>
          <w:szCs w:val="18"/>
          <w:u w:val="single" w:color="auto"/>
          <w:color w:val="auto"/>
        </w:rPr>
        <w:t>Section 8(d)(i)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8(d)(iii)</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Cause</w:t>
      </w:r>
      <w:r>
        <w:rPr>
          <w:rFonts w:ascii="Times New Roman" w:cs="Times New Roman" w:eastAsia="Times New Roman" w:hAnsi="Times New Roman"/>
          <w:sz w:val="18"/>
          <w:szCs w:val="18"/>
          <w:color w:val="auto"/>
        </w:rPr>
        <w:t xml:space="preserve">” as used in this Agreement (and with respect to any other arrangement (including, without limitation, any equity award agreement, with the Company or its affiliates) shall mean: (a) the willful and continued failure of Executive to perform his duties and responsibilities for the Company (other than any such failure resulting from Executive’s death or Disability) or lawful directives of the Board related to Executive’s duties pursuant to this Agreement, after a written demand by the Board for performance is delivered to Executive by the Company, which identifies with reasonable specificity the manner in which the Board believes that Executive has not performed his duties and responsibilities, which willful and continued failure is not cured by Executive within thirty (30) days of his receipt of such written demand; (b) the conviction of, or plea of guilty or </w:t>
      </w:r>
      <w:r>
        <w:rPr>
          <w:rFonts w:ascii="Times New Roman" w:cs="Times New Roman" w:eastAsia="Times New Roman" w:hAnsi="Times New Roman"/>
          <w:sz w:val="18"/>
          <w:szCs w:val="18"/>
          <w:i w:val="1"/>
          <w:iCs w:val="1"/>
          <w:color w:val="auto"/>
        </w:rPr>
        <w:t>nolo contendere</w:t>
      </w:r>
      <w:r>
        <w:rPr>
          <w:rFonts w:ascii="Times New Roman" w:cs="Times New Roman" w:eastAsia="Times New Roman" w:hAnsi="Times New Roman"/>
          <w:sz w:val="18"/>
          <w:szCs w:val="18"/>
          <w:color w:val="auto"/>
        </w:rPr>
        <w:t xml:space="preserve"> to a felony; (c) gross negligence or willful misconduct in the performance of Executive’s material duties; (d) breach of </w:t>
      </w:r>
      <w:r>
        <w:rPr>
          <w:rFonts w:ascii="Times New Roman" w:cs="Times New Roman" w:eastAsia="Times New Roman" w:hAnsi="Times New Roman"/>
          <w:sz w:val="18"/>
          <w:szCs w:val="18"/>
          <w:u w:val="single" w:color="auto"/>
          <w:color w:val="auto"/>
        </w:rPr>
        <w:t>Section 9</w:t>
      </w:r>
      <w:r>
        <w:rPr>
          <w:rFonts w:ascii="Times New Roman" w:cs="Times New Roman" w:eastAsia="Times New Roman" w:hAnsi="Times New Roman"/>
          <w:sz w:val="18"/>
          <w:szCs w:val="18"/>
          <w:color w:val="auto"/>
        </w:rPr>
        <w:t xml:space="preserve"> of this Agreement, (e) an intentional or grossly negligent breach of the Mutual Non-Disclosure Agreement then in effect, the current form of which is annexed as </w:t>
      </w:r>
      <w:r>
        <w:rPr>
          <w:rFonts w:ascii="Times New Roman" w:cs="Times New Roman" w:eastAsia="Times New Roman" w:hAnsi="Times New Roman"/>
          <w:sz w:val="18"/>
          <w:szCs w:val="18"/>
          <w:b w:val="1"/>
          <w:bCs w:val="1"/>
          <w:u w:val="single" w:color="auto"/>
          <w:color w:val="auto"/>
        </w:rPr>
        <w:t>Exhibit B</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u w:val="single" w:color="auto"/>
          <w:color w:val="auto"/>
        </w:rPr>
        <w:t>NDA</w:t>
      </w:r>
      <w:r>
        <w:rPr>
          <w:rFonts w:ascii="Times New Roman" w:cs="Times New Roman" w:eastAsia="Times New Roman" w:hAnsi="Times New Roman"/>
          <w:sz w:val="18"/>
          <w:szCs w:val="18"/>
          <w:color w:val="auto"/>
        </w:rPr>
        <w:t>”) which results or could reasonably be expected to result in material harm to the Company or its subsidiaries; (f) a material violation of Company’s or its subsidiaries’ policies, which policies and procedures have previously been disclosed to Executive in writing; or (g) a good faith finding by the Board that Executive has engaged in (A) (1) fraud, or (2) gross negligence, in each case related to the Company, or (B) criminal misconduct which (1) constitutes a felony or a crime of moral turpitude or (2) results or could reasonably be expected to result in harm to the Company.</w:t>
      </w:r>
    </w:p>
    <w:p>
      <w:pPr>
        <w:spacing w:after="0" w:line="200" w:lineRule="exact"/>
        <w:rPr>
          <w:sz w:val="20"/>
          <w:szCs w:val="20"/>
          <w:color w:val="auto"/>
        </w:rPr>
      </w:pPr>
    </w:p>
    <w:p>
      <w:pPr>
        <w:spacing w:after="0" w:line="21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4" w:name="page15"/>
    <w:bookmarkEnd w:id="14"/>
    <w:p>
      <w:pPr>
        <w:jc w:val="both"/>
        <w:ind w:firstLine="1304"/>
        <w:spacing w:after="0" w:line="261" w:lineRule="auto"/>
        <w:tabs>
          <w:tab w:leader="none" w:pos="2129"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termination of this Agreement for Cause, the Company shall have no further obligations or liability to Executive or his heirs, administrators or executors with respect to compensation and benefits thereafter, except for the obligation to pay Executive the Accrued Obligations. The Company shall deduct, from all payments made hereunder, all applicable taxes, including income tax, FICA and FUTA, and other appropriate deductions.</w:t>
      </w:r>
    </w:p>
    <w:p>
      <w:pPr>
        <w:spacing w:after="0" w:line="179" w:lineRule="exact"/>
        <w:rPr>
          <w:rFonts w:ascii="Times New Roman" w:cs="Times New Roman" w:eastAsia="Times New Roman" w:hAnsi="Times New Roman"/>
          <w:sz w:val="18"/>
          <w:szCs w:val="18"/>
          <w:color w:val="auto"/>
        </w:rPr>
      </w:pPr>
    </w:p>
    <w:p>
      <w:pPr>
        <w:jc w:val="both"/>
        <w:ind w:firstLine="1304"/>
        <w:spacing w:after="0" w:line="255" w:lineRule="auto"/>
        <w:tabs>
          <w:tab w:leader="none" w:pos="2246"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expressly acknowledged and agreed that the decision as to whether “Cause” exists for termination of the employment relationship by the Company is delegated to the Board for determination. However, the termination of Executive’s employment shall not be deemed to be for “Cause” unless and until (A) there shall have been delivered to Executive a written notice specifying with reasonable detail the basis for the proposed termination for “Cause,” and (B) if so requested by Executive in writing within seven (7) days of such notice, Executive shall have been provided a reasonable opportunity to address a physical or telephonic meeting of the Board with a quorum of at least two thirds (2/3rds) of the Board’s members, and a majority of the Board at such meeting shall have determined that the matter forming the basis for “Cause” is not curable or, if curable, was not cured within the applicable cure period.</w:t>
      </w:r>
    </w:p>
    <w:p>
      <w:pPr>
        <w:spacing w:after="0" w:line="188" w:lineRule="exact"/>
        <w:rPr>
          <w:rFonts w:ascii="Times New Roman" w:cs="Times New Roman" w:eastAsia="Times New Roman" w:hAnsi="Times New Roman"/>
          <w:sz w:val="18"/>
          <w:szCs w:val="18"/>
          <w:color w:val="auto"/>
        </w:rPr>
      </w:pPr>
    </w:p>
    <w:p>
      <w:pPr>
        <w:ind w:left="1400" w:hanging="744"/>
        <w:spacing w:after="0"/>
        <w:tabs>
          <w:tab w:leader="none" w:pos="14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By Executive for Good Reason</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1304"/>
        <w:spacing w:after="0" w:line="256" w:lineRule="auto"/>
        <w:tabs>
          <w:tab w:leader="none" w:pos="2264"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At any time during the Employment Period, subject to the conditions set forth in </w:t>
      </w:r>
      <w:r>
        <w:rPr>
          <w:rFonts w:ascii="Times New Roman" w:cs="Times New Roman" w:eastAsia="Times New Roman" w:hAnsi="Times New Roman"/>
          <w:sz w:val="18"/>
          <w:szCs w:val="18"/>
          <w:u w:val="single" w:color="auto"/>
          <w:color w:val="auto"/>
        </w:rPr>
        <w:t>Section 8(e)(ii)</w:t>
      </w:r>
      <w:r>
        <w:rPr>
          <w:rFonts w:ascii="Times New Roman" w:cs="Times New Roman" w:eastAsia="Times New Roman" w:hAnsi="Times New Roman"/>
          <w:sz w:val="18"/>
          <w:szCs w:val="18"/>
          <w:color w:val="auto"/>
        </w:rPr>
        <w:t xml:space="preserve"> below, Executive may terminate this Agreement and Executive’s employment with the Company for Good Reason. “Good Reason” as used in this Agreement shall mean the occurrence of any of the following events: (a) without Executive’s prior written consent, a material diminution of the duties, authorities or responsibilities of Executive; (b) a material reduction in Executive’s Base Salary; (c) the failure by the Company to pay all or any material portion of the Base Salary, any material bonus payable, or any material benefits payable to Executive as required under this Agreement; (d) a change in Executive’s reporting relationship from that described in </w:t>
      </w:r>
      <w:r>
        <w:rPr>
          <w:rFonts w:ascii="Times New Roman" w:cs="Times New Roman" w:eastAsia="Times New Roman" w:hAnsi="Times New Roman"/>
          <w:sz w:val="18"/>
          <w:szCs w:val="18"/>
          <w:u w:val="single" w:color="auto"/>
          <w:color w:val="auto"/>
        </w:rPr>
        <w:t>Section 1(a)</w:t>
      </w:r>
      <w:r>
        <w:rPr>
          <w:rFonts w:ascii="Times New Roman" w:cs="Times New Roman" w:eastAsia="Times New Roman" w:hAnsi="Times New Roman"/>
          <w:sz w:val="18"/>
          <w:szCs w:val="18"/>
          <w:color w:val="auto"/>
        </w:rPr>
        <w:t>; or (e) any other action or inaction that constitutes a material breach by the Company of this Agreement.</w:t>
      </w:r>
    </w:p>
    <w:p>
      <w:pPr>
        <w:spacing w:after="0" w:line="200" w:lineRule="exact"/>
        <w:rPr>
          <w:sz w:val="20"/>
          <w:szCs w:val="20"/>
          <w:color w:val="auto"/>
        </w:rPr>
      </w:pPr>
    </w:p>
    <w:p>
      <w:pPr>
        <w:spacing w:after="0" w:line="20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5" w:name="page16"/>
    <w:bookmarkEnd w:id="15"/>
    <w:p>
      <w:pPr>
        <w:jc w:val="both"/>
        <w:ind w:firstLine="1304"/>
        <w:spacing w:after="0" w:line="255" w:lineRule="auto"/>
        <w:tabs>
          <w:tab w:leader="none" w:pos="2144"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Executive shall not be entitled to terminate this Agreement for Good Reason unless and until he shall have delivered written notice to the Company of his intention to terminate this Agreement and his employment with the Company for Good Reason, which notice must be provided within sixty (60) days following the initial occurrence (or following Executive’s actual knowledge) of the grounds purporting to constitute Good Reason, and which specifies in reasonable detail the circumstances claimed to provide the basis for such termination for Good Reason pursuant to </w:t>
      </w:r>
      <w:r>
        <w:rPr>
          <w:rFonts w:ascii="Times New Roman" w:cs="Times New Roman" w:eastAsia="Times New Roman" w:hAnsi="Times New Roman"/>
          <w:sz w:val="18"/>
          <w:szCs w:val="18"/>
          <w:u w:val="single" w:color="auto"/>
          <w:color w:val="auto"/>
        </w:rPr>
        <w:t>Section 8(e)(i)</w:t>
      </w:r>
      <w:r>
        <w:rPr>
          <w:rFonts w:ascii="Times New Roman" w:cs="Times New Roman" w:eastAsia="Times New Roman" w:hAnsi="Times New Roman"/>
          <w:sz w:val="18"/>
          <w:szCs w:val="18"/>
          <w:color w:val="auto"/>
        </w:rPr>
        <w:t xml:space="preserve"> above, and the Company shall not have cured the circumstances constituting Good Reason within thirty (30) days of its receipt from Executive of such written notice. The Company shall retain the discretion to terminate the Employment Period at any time during the Good Reason notice period provided for in this </w:t>
      </w:r>
      <w:r>
        <w:rPr>
          <w:rFonts w:ascii="Times New Roman" w:cs="Times New Roman" w:eastAsia="Times New Roman" w:hAnsi="Times New Roman"/>
          <w:sz w:val="18"/>
          <w:szCs w:val="18"/>
          <w:u w:val="single" w:color="auto"/>
          <w:color w:val="auto"/>
        </w:rPr>
        <w:t>Section 8(e)(ii)</w:t>
      </w:r>
      <w:r>
        <w:rPr>
          <w:rFonts w:ascii="Times New Roman" w:cs="Times New Roman" w:eastAsia="Times New Roman" w:hAnsi="Times New Roman"/>
          <w:sz w:val="18"/>
          <w:szCs w:val="18"/>
          <w:color w:val="auto"/>
        </w:rPr>
        <w:t>.</w:t>
      </w:r>
    </w:p>
    <w:p>
      <w:pPr>
        <w:spacing w:after="0" w:line="188" w:lineRule="exact"/>
        <w:rPr>
          <w:rFonts w:ascii="Times New Roman" w:cs="Times New Roman" w:eastAsia="Times New Roman" w:hAnsi="Times New Roman"/>
          <w:sz w:val="18"/>
          <w:szCs w:val="18"/>
          <w:color w:val="auto"/>
        </w:rPr>
      </w:pPr>
    </w:p>
    <w:p>
      <w:pPr>
        <w:jc w:val="both"/>
        <w:ind w:firstLine="1304"/>
        <w:spacing w:after="0" w:line="266" w:lineRule="auto"/>
        <w:tabs>
          <w:tab w:leader="none" w:pos="2359"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Executive terminates this Agreement and his employment with the Company for Good Reason or the Company terminates this Agreement without Cause (each, a “</w:t>
      </w:r>
      <w:r>
        <w:rPr>
          <w:rFonts w:ascii="Times New Roman" w:cs="Times New Roman" w:eastAsia="Times New Roman" w:hAnsi="Times New Roman"/>
          <w:sz w:val="18"/>
          <w:szCs w:val="18"/>
          <w:u w:val="single" w:color="auto"/>
          <w:color w:val="auto"/>
        </w:rPr>
        <w:t>Qualifying Termination</w:t>
      </w:r>
      <w:r>
        <w:rPr>
          <w:rFonts w:ascii="Times New Roman" w:cs="Times New Roman" w:eastAsia="Times New Roman" w:hAnsi="Times New Roman"/>
          <w:sz w:val="18"/>
          <w:szCs w:val="18"/>
          <w:color w:val="auto"/>
        </w:rPr>
        <w:t>”), the Company shall pay or provide to Executive (or, following his death, to Executive’s heirs, administrators or executors):</w:t>
      </w:r>
    </w:p>
    <w:p>
      <w:pPr>
        <w:spacing w:after="0" w:line="175" w:lineRule="exact"/>
        <w:rPr>
          <w:rFonts w:ascii="Times New Roman" w:cs="Times New Roman" w:eastAsia="Times New Roman" w:hAnsi="Times New Roman"/>
          <w:sz w:val="18"/>
          <w:szCs w:val="18"/>
          <w:color w:val="auto"/>
        </w:rPr>
      </w:pPr>
    </w:p>
    <w:p>
      <w:pPr>
        <w:ind w:left="2700" w:hanging="748"/>
        <w:spacing w:after="0"/>
        <w:tabs>
          <w:tab w:leader="none" w:pos="270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Accrued Obligations through the date the Employment Period is terminated.</w:t>
      </w:r>
    </w:p>
    <w:p>
      <w:pPr>
        <w:spacing w:after="0" w:line="225" w:lineRule="exact"/>
        <w:rPr>
          <w:rFonts w:ascii="Times New Roman" w:cs="Times New Roman" w:eastAsia="Times New Roman" w:hAnsi="Times New Roman"/>
          <w:sz w:val="18"/>
          <w:szCs w:val="18"/>
          <w:color w:val="auto"/>
        </w:rPr>
      </w:pPr>
    </w:p>
    <w:p>
      <w:pPr>
        <w:jc w:val="both"/>
        <w:ind w:left="660" w:firstLine="1292"/>
        <w:spacing w:after="0" w:line="256" w:lineRule="auto"/>
        <w:tabs>
          <w:tab w:leader="none" w:pos="2946"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 An amount of Base Salary (at the rate of Base Salary in effect immediately prior to Executive’s termination hereunder) equal to 100% of Executive’s Base Salary as of the date of the Qualifying Termination (the “</w:t>
      </w:r>
      <w:r>
        <w:rPr>
          <w:rFonts w:ascii="Times New Roman" w:cs="Times New Roman" w:eastAsia="Times New Roman" w:hAnsi="Times New Roman"/>
          <w:sz w:val="18"/>
          <w:szCs w:val="18"/>
          <w:u w:val="single" w:color="auto"/>
          <w:color w:val="auto"/>
        </w:rPr>
        <w:t>Separation Payment</w:t>
      </w:r>
      <w:r>
        <w:rPr>
          <w:rFonts w:ascii="Times New Roman" w:cs="Times New Roman" w:eastAsia="Times New Roman" w:hAnsi="Times New Roman"/>
          <w:sz w:val="18"/>
          <w:szCs w:val="18"/>
          <w:color w:val="auto"/>
        </w:rPr>
        <w:t xml:space="preserve">”). The Company shall pay to Executive the Separation Payment in substantially equal installments pursuant to the Company’s regular payroll practices over a period of twelve months, commencing on the Company’s next regular payroll date following the date the Release (referenced in </w:t>
      </w:r>
      <w:r>
        <w:rPr>
          <w:rFonts w:ascii="Times New Roman" w:cs="Times New Roman" w:eastAsia="Times New Roman" w:hAnsi="Times New Roman"/>
          <w:sz w:val="18"/>
          <w:szCs w:val="18"/>
          <w:u w:val="single" w:color="auto"/>
          <w:color w:val="auto"/>
        </w:rPr>
        <w:t>Section 8(i)</w:t>
      </w:r>
      <w:r>
        <w:rPr>
          <w:rFonts w:ascii="Times New Roman" w:cs="Times New Roman" w:eastAsia="Times New Roman" w:hAnsi="Times New Roman"/>
          <w:sz w:val="18"/>
          <w:szCs w:val="18"/>
          <w:color w:val="auto"/>
        </w:rPr>
        <w:t xml:space="preserve"> below) becomes irrevocable and enforceable. The Company shall deduct, from all payments made under this </w:t>
      </w:r>
      <w:r>
        <w:rPr>
          <w:rFonts w:ascii="Times New Roman" w:cs="Times New Roman" w:eastAsia="Times New Roman" w:hAnsi="Times New Roman"/>
          <w:sz w:val="18"/>
          <w:szCs w:val="18"/>
          <w:u w:val="single" w:color="auto"/>
          <w:color w:val="auto"/>
        </w:rPr>
        <w:t>Section 8(e)(iii)(B)</w:t>
      </w:r>
      <w:r>
        <w:rPr>
          <w:rFonts w:ascii="Times New Roman" w:cs="Times New Roman" w:eastAsia="Times New Roman" w:hAnsi="Times New Roman"/>
          <w:sz w:val="18"/>
          <w:szCs w:val="18"/>
          <w:color w:val="auto"/>
        </w:rPr>
        <w:t>, all applicable taxes, including income tax, FICA and FUTA, and other appropriate deductions.</w:t>
      </w:r>
    </w:p>
    <w:p>
      <w:pPr>
        <w:spacing w:after="0" w:line="187" w:lineRule="exact"/>
        <w:rPr>
          <w:rFonts w:ascii="Times New Roman" w:cs="Times New Roman" w:eastAsia="Times New Roman" w:hAnsi="Times New Roman"/>
          <w:sz w:val="18"/>
          <w:szCs w:val="18"/>
          <w:color w:val="auto"/>
        </w:rPr>
      </w:pPr>
    </w:p>
    <w:p>
      <w:pPr>
        <w:jc w:val="both"/>
        <w:ind w:left="660" w:firstLine="1292"/>
        <w:spacing w:after="0" w:line="254" w:lineRule="auto"/>
        <w:tabs>
          <w:tab w:leader="none" w:pos="2736"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w:t>
      </w:r>
      <w:r>
        <w:rPr>
          <w:rFonts w:ascii="Times New Roman" w:cs="Times New Roman" w:eastAsia="Times New Roman" w:hAnsi="Times New Roman"/>
          <w:sz w:val="18"/>
          <w:szCs w:val="18"/>
          <w:u w:val="single" w:color="auto"/>
          <w:color w:val="auto"/>
        </w:rPr>
        <w:t>Section 8(i)</w:t>
      </w:r>
      <w:r>
        <w:rPr>
          <w:rFonts w:ascii="Times New Roman" w:cs="Times New Roman" w:eastAsia="Times New Roman" w:hAnsi="Times New Roman"/>
          <w:sz w:val="18"/>
          <w:szCs w:val="18"/>
          <w:color w:val="auto"/>
        </w:rPr>
        <w:t xml:space="preserve"> below, so long as Executive elects COBRA continuation coverage and has not become actually covered by the medical plan of a subsequent employer during any such month and otherwise remains eligible to receive COBRA continuation coverage, the Company will reimburse premiums paid by Executive with respect to COBRA continuation coverage for up to a maximum of twelve months following the date of Qualifying Termination. After such period, Executive shall be responsible for paying the full cost for any additional COBRA continuation coverage. If the Company’s payment of the COBRA premiums on Executive’s behalf would violate the nondiscrimination rules or cause the reimbursement of claims to be taxable under the Patient Protection and Affordable Care Act of 2010, together with the Health Care and Education Reconciliation Act of 2010 (collectively, the “</w:t>
      </w:r>
      <w:r>
        <w:rPr>
          <w:rFonts w:ascii="Times New Roman" w:cs="Times New Roman" w:eastAsia="Times New Roman" w:hAnsi="Times New Roman"/>
          <w:sz w:val="18"/>
          <w:szCs w:val="18"/>
          <w:u w:val="single" w:color="auto"/>
          <w:color w:val="auto"/>
        </w:rPr>
        <w:t>Act</w:t>
      </w:r>
      <w:r>
        <w:rPr>
          <w:rFonts w:ascii="Times New Roman" w:cs="Times New Roman" w:eastAsia="Times New Roman" w:hAnsi="Times New Roman"/>
          <w:sz w:val="18"/>
          <w:szCs w:val="18"/>
          <w:color w:val="auto"/>
        </w:rPr>
        <w:t>”) or Section 95(h) of the Internal Revenue Code of 1986, as amended (the “</w:t>
      </w:r>
      <w:r>
        <w:rPr>
          <w:rFonts w:ascii="Times New Roman" w:cs="Times New Roman" w:eastAsia="Times New Roman" w:hAnsi="Times New Roman"/>
          <w:sz w:val="18"/>
          <w:szCs w:val="18"/>
          <w:u w:val="single" w:color="auto"/>
          <w:color w:val="auto"/>
        </w:rPr>
        <w:t>Code</w:t>
      </w:r>
      <w:r>
        <w:rPr>
          <w:rFonts w:ascii="Times New Roman" w:cs="Times New Roman" w:eastAsia="Times New Roman" w:hAnsi="Times New Roman"/>
          <w:sz w:val="18"/>
          <w:szCs w:val="18"/>
          <w:color w:val="auto"/>
        </w:rPr>
        <w:t>”), the Company paid premiums shall be treated as taxable payments and be subject to imputed income tax treatment to the extent necessary to eliminate any discriminatory treatment or taxation under the Act or Section 95(h) of the Code.</w:t>
      </w:r>
    </w:p>
    <w:p>
      <w:pPr>
        <w:spacing w:after="0" w:line="200" w:lineRule="exact"/>
        <w:rPr>
          <w:sz w:val="20"/>
          <w:szCs w:val="20"/>
          <w:color w:val="auto"/>
        </w:rPr>
      </w:pPr>
    </w:p>
    <w:p>
      <w:pPr>
        <w:spacing w:after="0" w:line="20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6" w:name="page17"/>
    <w:bookmarkEnd w:id="16"/>
    <w:p>
      <w:pPr>
        <w:jc w:val="both"/>
        <w:ind w:firstLine="656"/>
        <w:spacing w:after="0" w:line="255" w:lineRule="auto"/>
        <w:tabs>
          <w:tab w:leader="none" w:pos="1368"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By Executive without Good Reason</w:t>
      </w:r>
      <w:r>
        <w:rPr>
          <w:rFonts w:ascii="Times New Roman" w:cs="Times New Roman" w:eastAsia="Times New Roman" w:hAnsi="Times New Roman"/>
          <w:sz w:val="18"/>
          <w:szCs w:val="18"/>
          <w:color w:val="auto"/>
        </w:rPr>
        <w:t xml:space="preserve">. At any time during the Employment Period, Executive shall be entitled to terminate this Agreement and Executive’s employment with the Company without Good Reason by providing prior written notice to the Company of at least sixty (60) calendar days; </w:t>
      </w:r>
      <w:r>
        <w:rPr>
          <w:rFonts w:ascii="Times New Roman" w:cs="Times New Roman" w:eastAsia="Times New Roman" w:hAnsi="Times New Roman"/>
          <w:sz w:val="18"/>
          <w:szCs w:val="18"/>
          <w:u w:val="single" w:color="auto"/>
          <w:color w:val="auto"/>
        </w:rPr>
        <w:t>provided however</w:t>
      </w:r>
      <w:r>
        <w:rPr>
          <w:rFonts w:ascii="Times New Roman" w:cs="Times New Roman" w:eastAsia="Times New Roman" w:hAnsi="Times New Roman"/>
          <w:sz w:val="18"/>
          <w:szCs w:val="18"/>
          <w:color w:val="auto"/>
        </w:rPr>
        <w:t xml:space="preserve"> that the Company shall maintain the discretion to terminate the Employment Period at any time during the notice period set forth in this </w:t>
      </w:r>
      <w:r>
        <w:rPr>
          <w:rFonts w:ascii="Times New Roman" w:cs="Times New Roman" w:eastAsia="Times New Roman" w:hAnsi="Times New Roman"/>
          <w:sz w:val="18"/>
          <w:szCs w:val="18"/>
          <w:u w:val="single" w:color="auto"/>
          <w:color w:val="auto"/>
        </w:rPr>
        <w:t>Section 8(f)</w:t>
      </w:r>
      <w:r>
        <w:rPr>
          <w:rFonts w:ascii="Times New Roman" w:cs="Times New Roman" w:eastAsia="Times New Roman" w:hAnsi="Times New Roman"/>
          <w:sz w:val="18"/>
          <w:szCs w:val="18"/>
          <w:color w:val="auto"/>
        </w:rPr>
        <w:t xml:space="preserve">. Upon termination by Executive of this Agreement and Executive’s employment with the Company without Good Reason, the Company shall have no further obligations or liability to Executive or his heirs, administrators or executors with respect to compensation and benefits thereafter, except for the obligation to pay Executive the Accrued Obligations. The Company shall deduct, from all payments made under this </w:t>
      </w:r>
      <w:r>
        <w:rPr>
          <w:rFonts w:ascii="Times New Roman" w:cs="Times New Roman" w:eastAsia="Times New Roman" w:hAnsi="Times New Roman"/>
          <w:sz w:val="18"/>
          <w:szCs w:val="18"/>
          <w:u w:val="single" w:color="auto"/>
          <w:color w:val="auto"/>
        </w:rPr>
        <w:t>Section 8(f)</w:t>
      </w:r>
      <w:r>
        <w:rPr>
          <w:rFonts w:ascii="Times New Roman" w:cs="Times New Roman" w:eastAsia="Times New Roman" w:hAnsi="Times New Roman"/>
          <w:sz w:val="18"/>
          <w:szCs w:val="18"/>
          <w:color w:val="auto"/>
        </w:rPr>
        <w:t>, all applicable taxes, including income tax, FICA and FUTA, and other appropriate deductions.</w:t>
      </w:r>
    </w:p>
    <w:p>
      <w:pPr>
        <w:spacing w:after="0" w:line="188" w:lineRule="exact"/>
        <w:rPr>
          <w:rFonts w:ascii="Times New Roman" w:cs="Times New Roman" w:eastAsia="Times New Roman" w:hAnsi="Times New Roman"/>
          <w:sz w:val="18"/>
          <w:szCs w:val="18"/>
          <w:color w:val="auto"/>
        </w:rPr>
      </w:pPr>
    </w:p>
    <w:p>
      <w:pPr>
        <w:jc w:val="both"/>
        <w:ind w:firstLine="656"/>
        <w:spacing w:after="0" w:line="256" w:lineRule="auto"/>
        <w:tabs>
          <w:tab w:leader="none" w:pos="1397"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By the Company without Cause</w:t>
      </w:r>
      <w:r>
        <w:rPr>
          <w:rFonts w:ascii="Times New Roman" w:cs="Times New Roman" w:eastAsia="Times New Roman" w:hAnsi="Times New Roman"/>
          <w:sz w:val="18"/>
          <w:szCs w:val="18"/>
          <w:color w:val="auto"/>
        </w:rPr>
        <w:t xml:space="preserve">. At any time during the Employment Period, the Company shall be entitled to terminate this Agreement and Executive’s employment with the Company without Cause upon written notice to Executive which shall set forth a date of termination. Upon termination by the Company of this Agreement and Executive’s employment with the Company without Cause, the Company shall pay or provide to Executive (or, following his death, to Executive’s heirs, administrators or executors) the amounts and benefits due upon a resignation for Good Reason, as further described in </w:t>
      </w:r>
      <w:r>
        <w:rPr>
          <w:rFonts w:ascii="Times New Roman" w:cs="Times New Roman" w:eastAsia="Times New Roman" w:hAnsi="Times New Roman"/>
          <w:sz w:val="18"/>
          <w:szCs w:val="18"/>
          <w:u w:val="single" w:color="auto"/>
          <w:color w:val="auto"/>
        </w:rPr>
        <w:t>Section 8(e)(iii)</w:t>
      </w:r>
      <w:r>
        <w:rPr>
          <w:rFonts w:ascii="Times New Roman" w:cs="Times New Roman" w:eastAsia="Times New Roman" w:hAnsi="Times New Roman"/>
          <w:sz w:val="18"/>
          <w:szCs w:val="18"/>
          <w:color w:val="auto"/>
        </w:rPr>
        <w:t xml:space="preserve">, including the Separation Payment. The Company shall deduct, from all payments made under this </w:t>
      </w:r>
      <w:r>
        <w:rPr>
          <w:rFonts w:ascii="Times New Roman" w:cs="Times New Roman" w:eastAsia="Times New Roman" w:hAnsi="Times New Roman"/>
          <w:sz w:val="18"/>
          <w:szCs w:val="18"/>
          <w:u w:val="single" w:color="auto"/>
          <w:color w:val="auto"/>
        </w:rPr>
        <w:t>Section 8(g)</w:t>
      </w:r>
      <w:r>
        <w:rPr>
          <w:rFonts w:ascii="Times New Roman" w:cs="Times New Roman" w:eastAsia="Times New Roman" w:hAnsi="Times New Roman"/>
          <w:sz w:val="18"/>
          <w:szCs w:val="18"/>
          <w:color w:val="auto"/>
        </w:rPr>
        <w:t>, all applicable taxes, including income tax, FICA and FUTA, and other appropriate deductions.</w:t>
      </w:r>
    </w:p>
    <w:p>
      <w:pPr>
        <w:spacing w:after="0" w:line="187" w:lineRule="exact"/>
        <w:rPr>
          <w:rFonts w:ascii="Times New Roman" w:cs="Times New Roman" w:eastAsia="Times New Roman" w:hAnsi="Times New Roman"/>
          <w:sz w:val="18"/>
          <w:szCs w:val="18"/>
          <w:color w:val="auto"/>
        </w:rPr>
      </w:pPr>
    </w:p>
    <w:p>
      <w:pPr>
        <w:jc w:val="both"/>
        <w:ind w:firstLine="656"/>
        <w:spacing w:after="0" w:line="266" w:lineRule="auto"/>
        <w:tabs>
          <w:tab w:leader="none" w:pos="1478"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Upon Expiration of the Employment Period</w:t>
      </w:r>
      <w:r>
        <w:rPr>
          <w:rFonts w:ascii="Times New Roman" w:cs="Times New Roman" w:eastAsia="Times New Roman" w:hAnsi="Times New Roman"/>
          <w:sz w:val="18"/>
          <w:szCs w:val="18"/>
          <w:color w:val="auto"/>
        </w:rPr>
        <w:t xml:space="preserve">. If Executive’s employment terminates upon the expiration of the Employment Period set forth in </w:t>
      </w:r>
      <w:r>
        <w:rPr>
          <w:rFonts w:ascii="Times New Roman" w:cs="Times New Roman" w:eastAsia="Times New Roman" w:hAnsi="Times New Roman"/>
          <w:sz w:val="18"/>
          <w:szCs w:val="18"/>
          <w:u w:val="single" w:color="auto"/>
          <w:color w:val="auto"/>
        </w:rPr>
        <w:t>Section 1</w:t>
      </w:r>
      <w:r>
        <w:rPr>
          <w:rFonts w:ascii="Times New Roman" w:cs="Times New Roman" w:eastAsia="Times New Roman" w:hAnsi="Times New Roman"/>
          <w:sz w:val="18"/>
          <w:szCs w:val="18"/>
          <w:color w:val="auto"/>
        </w:rPr>
        <w:t>, the Company shall have no further obligations or liability to Executive or his heirs, administrators or executors with respect to compensation and benefits thereafter, except for the obligation to pay Executive the Accrued Obligations.</w:t>
      </w:r>
    </w:p>
    <w:p>
      <w:pPr>
        <w:spacing w:after="0" w:line="175" w:lineRule="exact"/>
        <w:rPr>
          <w:rFonts w:ascii="Times New Roman" w:cs="Times New Roman" w:eastAsia="Times New Roman" w:hAnsi="Times New Roman"/>
          <w:sz w:val="18"/>
          <w:szCs w:val="18"/>
          <w:color w:val="auto"/>
        </w:rPr>
      </w:pPr>
    </w:p>
    <w:p>
      <w:pPr>
        <w:jc w:val="both"/>
        <w:ind w:firstLine="656"/>
        <w:spacing w:after="0" w:line="261" w:lineRule="auto"/>
        <w:tabs>
          <w:tab w:leader="none" w:pos="1398"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Release of Claims</w:t>
      </w:r>
      <w:r>
        <w:rPr>
          <w:rFonts w:ascii="Times New Roman" w:cs="Times New Roman" w:eastAsia="Times New Roman" w:hAnsi="Times New Roman"/>
          <w:sz w:val="18"/>
          <w:szCs w:val="18"/>
          <w:color w:val="auto"/>
        </w:rPr>
        <w:t xml:space="preserve">. It is agreed that an express condition of the payment or provision by the Company of any severance amount or post-termination benefit called for under </w:t>
      </w:r>
      <w:r>
        <w:rPr>
          <w:rFonts w:ascii="Times New Roman" w:cs="Times New Roman" w:eastAsia="Times New Roman" w:hAnsi="Times New Roman"/>
          <w:sz w:val="18"/>
          <w:szCs w:val="18"/>
          <w:u w:val="single" w:color="auto"/>
          <w:color w:val="auto"/>
        </w:rPr>
        <w:t>Section 8(e)(iii)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8(g)</w:t>
      </w:r>
      <w:r>
        <w:rPr>
          <w:rFonts w:ascii="Times New Roman" w:cs="Times New Roman" w:eastAsia="Times New Roman" w:hAnsi="Times New Roman"/>
          <w:sz w:val="18"/>
          <w:szCs w:val="18"/>
          <w:color w:val="auto"/>
        </w:rPr>
        <w:t xml:space="preserve"> of this Agreement (other than the payment of any Accrued Obligations) shall be subject to the Company’s concurrent receipt of a general release of all claims in the form substantially set forth on </w:t>
      </w:r>
      <w:r>
        <w:rPr>
          <w:rFonts w:ascii="Times New Roman" w:cs="Times New Roman" w:eastAsia="Times New Roman" w:hAnsi="Times New Roman"/>
          <w:sz w:val="18"/>
          <w:szCs w:val="18"/>
          <w:b w:val="1"/>
          <w:bCs w:val="1"/>
          <w:u w:val="single" w:color="auto"/>
          <w:color w:val="auto"/>
        </w:rPr>
        <w:t>Exhibit C</w:t>
      </w:r>
      <w:r>
        <w:rPr>
          <w:rFonts w:ascii="Times New Roman" w:cs="Times New Roman" w:eastAsia="Times New Roman" w:hAnsi="Times New Roman"/>
          <w:sz w:val="18"/>
          <w:szCs w:val="18"/>
          <w:color w:val="auto"/>
        </w:rPr>
        <w:t>, which release must be effective, unrevoked and irrevocable prior to the ninetieth (90th) day following the termination of Executive’s employment (the “</w:t>
      </w:r>
      <w:r>
        <w:rPr>
          <w:rFonts w:ascii="Times New Roman" w:cs="Times New Roman" w:eastAsia="Times New Roman" w:hAnsi="Times New Roman"/>
          <w:sz w:val="18"/>
          <w:szCs w:val="18"/>
          <w:u w:val="single" w:color="auto"/>
          <w:color w:val="auto"/>
        </w:rPr>
        <w:t>Release</w:t>
      </w:r>
      <w:r>
        <w:rPr>
          <w:rFonts w:ascii="Times New Roman" w:cs="Times New Roman" w:eastAsia="Times New Roman" w:hAnsi="Times New Roman"/>
          <w:sz w:val="18"/>
          <w:szCs w:val="18"/>
          <w:color w:val="auto"/>
        </w:rPr>
        <w:t>”).</w:t>
      </w:r>
    </w:p>
    <w:p>
      <w:pPr>
        <w:spacing w:after="0" w:line="179" w:lineRule="exact"/>
        <w:rPr>
          <w:rFonts w:ascii="Times New Roman" w:cs="Times New Roman" w:eastAsia="Times New Roman" w:hAnsi="Times New Roman"/>
          <w:sz w:val="18"/>
          <w:szCs w:val="18"/>
          <w:color w:val="auto"/>
        </w:rPr>
      </w:pPr>
    </w:p>
    <w:p>
      <w:pPr>
        <w:ind w:left="1360" w:hanging="704"/>
        <w:spacing w:after="0"/>
        <w:tabs>
          <w:tab w:leader="none" w:pos="13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409A</w:t>
      </w:r>
      <w:r>
        <w:rPr>
          <w:rFonts w:ascii="Times New Roman" w:cs="Times New Roman" w:eastAsia="Times New Roman" w:hAnsi="Times New Roman"/>
          <w:sz w:val="18"/>
          <w:szCs w:val="18"/>
          <w:color w:val="auto"/>
        </w:rPr>
        <w:t>. Notwithstanding any provision in this Agreement to the contrary:</w:t>
      </w:r>
    </w:p>
    <w:p>
      <w:pPr>
        <w:spacing w:after="0" w:line="225" w:lineRule="exact"/>
        <w:rPr>
          <w:rFonts w:ascii="Times New Roman" w:cs="Times New Roman" w:eastAsia="Times New Roman" w:hAnsi="Times New Roman"/>
          <w:sz w:val="18"/>
          <w:szCs w:val="18"/>
          <w:color w:val="auto"/>
        </w:rPr>
      </w:pPr>
    </w:p>
    <w:p>
      <w:pPr>
        <w:jc w:val="both"/>
        <w:ind w:firstLine="1304"/>
        <w:spacing w:after="0" w:line="255" w:lineRule="auto"/>
        <w:tabs>
          <w:tab w:leader="none" w:pos="2316"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payments and benefits provided under this Agreement are intended to be exempt from Section 409A of the Code (“</w:t>
      </w:r>
      <w:r>
        <w:rPr>
          <w:rFonts w:ascii="Times New Roman" w:cs="Times New Roman" w:eastAsia="Times New Roman" w:hAnsi="Times New Roman"/>
          <w:sz w:val="18"/>
          <w:szCs w:val="18"/>
          <w:u w:val="single" w:color="auto"/>
          <w:color w:val="auto"/>
        </w:rPr>
        <w:t>Section 409A</w:t>
      </w:r>
      <w:r>
        <w:rPr>
          <w:rFonts w:ascii="Times New Roman" w:cs="Times New Roman" w:eastAsia="Times New Roman" w:hAnsi="Times New Roman"/>
          <w:sz w:val="18"/>
          <w:szCs w:val="18"/>
          <w:color w:val="auto"/>
        </w:rPr>
        <w:t>”) to the greatest extent possible; if not so exempt, this Agreement (and any definitions hereunder) are intended to comply with the requirements of Section 409A. Any amounts payable solely on account of Executive’s involuntary separation from service within the meaning of Section 409A shall be excludible from the requirements of Section 409A, either as involuntary separation pay (exempt from the provisions of Section 409A under Treas. Reg. Section 1.409A-1(b)(9)) or as short-term deferral amounts (as described in Treas. Reg. Section 1.409A-1(b)(4)), to the maximum possible extent. Deferrals of compensation subject to the restrictions set forth under Section 409A (hereinafter, “</w:t>
      </w:r>
      <w:r>
        <w:rPr>
          <w:rFonts w:ascii="Times New Roman" w:cs="Times New Roman" w:eastAsia="Times New Roman" w:hAnsi="Times New Roman"/>
          <w:sz w:val="18"/>
          <w:szCs w:val="18"/>
          <w:u w:val="single" w:color="auto"/>
          <w:color w:val="auto"/>
        </w:rPr>
        <w:t>Non-Qualified Deferred Compensation</w:t>
      </w:r>
      <w:r>
        <w:rPr>
          <w:rFonts w:ascii="Times New Roman" w:cs="Times New Roman" w:eastAsia="Times New Roman" w:hAnsi="Times New Roman"/>
          <w:sz w:val="18"/>
          <w:szCs w:val="18"/>
          <w:color w:val="auto"/>
        </w:rPr>
        <w:t>”) may only be made to Executive pursuant to this Agreement upon an event and in a manner permitted by Section 409A.</w:t>
      </w:r>
    </w:p>
    <w:p>
      <w:pPr>
        <w:spacing w:after="0" w:line="200" w:lineRule="exact"/>
        <w:rPr>
          <w:sz w:val="20"/>
          <w:szCs w:val="20"/>
          <w:color w:val="auto"/>
        </w:rPr>
      </w:pPr>
    </w:p>
    <w:p>
      <w:pPr>
        <w:spacing w:after="0" w:line="20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7" w:name="page18"/>
    <w:bookmarkEnd w:id="17"/>
    <w:p>
      <w:pPr>
        <w:ind w:left="2080" w:hanging="776"/>
        <w:spacing w:after="0"/>
        <w:tabs>
          <w:tab w:leader="none" w:pos="2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Section 409A, the right to a series of installment payments under this Agreement shall be treated as a right to a</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series of separate payments.</w:t>
      </w:r>
    </w:p>
    <w:p>
      <w:pPr>
        <w:spacing w:after="0" w:line="206" w:lineRule="exact"/>
        <w:rPr>
          <w:rFonts w:ascii="Times New Roman" w:cs="Times New Roman" w:eastAsia="Times New Roman" w:hAnsi="Times New Roman"/>
          <w:sz w:val="18"/>
          <w:szCs w:val="18"/>
          <w:color w:val="auto"/>
        </w:rPr>
      </w:pPr>
    </w:p>
    <w:p>
      <w:pPr>
        <w:jc w:val="both"/>
        <w:ind w:firstLine="1304"/>
        <w:spacing w:after="0" w:line="256" w:lineRule="auto"/>
        <w:tabs>
          <w:tab w:leader="none" w:pos="2088"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taxable reimbursements and in-kind benefits provided under this Agreement shall be made or provided in accordance with Section 409A including, where applicable, the requirement that (i) any reimbursement is for expenses incurred during the period of time specified in this Agreement, (ii) the amount of expenses available for reimbursement, or the in-kind benefits provided, during a calendar year may not affect the expenses eligible for reimbursement, or in-kind benefits provided, in any other calendar year, (iii) the reimbursement of an eligible expense will be made no later than the last day of the calendar year following the year in which the expense is incurred, and (iv) the right to reimbursement or in-kind benefits is not subject to liquidation or exchange for another benefit.</w:t>
      </w:r>
    </w:p>
    <w:p>
      <w:pPr>
        <w:spacing w:after="0" w:line="187" w:lineRule="exact"/>
        <w:rPr>
          <w:rFonts w:ascii="Times New Roman" w:cs="Times New Roman" w:eastAsia="Times New Roman" w:hAnsi="Times New Roman"/>
          <w:sz w:val="18"/>
          <w:szCs w:val="18"/>
          <w:color w:val="auto"/>
        </w:rPr>
      </w:pPr>
    </w:p>
    <w:p>
      <w:pPr>
        <w:jc w:val="both"/>
        <w:ind w:firstLine="1304"/>
        <w:spacing w:after="0" w:line="253" w:lineRule="auto"/>
        <w:tabs>
          <w:tab w:leader="none" w:pos="2293"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the extent required by Section 409A, and notwithstanding any other provision of this Agreement to the contrary, no payment of Non-Qualified Deferred Compensation will be provided to, or with respect to, Executive on account of his separation from service until the first to occur of (A) the date of Executive’s death or (B) the date which is one day after the six (6) month anniversary of his separation from service, but in either case only if he is a “specified employee” (as defined under Section 409A(a)(2)(B)(i) of the Code and the regulations promulgated thereunder) in the year of his separation from service. Any payment that is delayed pursuant to the provisions of the immediately preceding sentence shall instead be paid in a lump sum within thirty (30) days following the first to occur of the two dates specified in such immediately preceding sentence. Furthermore, any payments scheduled to be paid under </w:t>
      </w:r>
      <w:r>
        <w:rPr>
          <w:rFonts w:ascii="Times New Roman" w:cs="Times New Roman" w:eastAsia="Times New Roman" w:hAnsi="Times New Roman"/>
          <w:sz w:val="18"/>
          <w:szCs w:val="18"/>
          <w:u w:val="single" w:color="auto"/>
          <w:color w:val="auto"/>
        </w:rPr>
        <w:t>Sections 8(e)(iii)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8(g)</w:t>
      </w:r>
      <w:r>
        <w:rPr>
          <w:rFonts w:ascii="Times New Roman" w:cs="Times New Roman" w:eastAsia="Times New Roman" w:hAnsi="Times New Roman"/>
          <w:sz w:val="18"/>
          <w:szCs w:val="18"/>
          <w:color w:val="auto"/>
        </w:rPr>
        <w:t xml:space="preserve"> during the applicable ninety (90) day period pending the effectiveness of the Release referenced therein</w:t>
      </w:r>
    </w:p>
    <w:p>
      <w:pPr>
        <w:spacing w:after="0" w:line="3" w:lineRule="exact"/>
        <w:rPr>
          <w:sz w:val="20"/>
          <w:szCs w:val="20"/>
          <w:color w:val="auto"/>
        </w:rPr>
      </w:pPr>
    </w:p>
    <w:p>
      <w:pPr>
        <w:spacing w:after="0" w:line="209" w:lineRule="auto"/>
        <w:rPr>
          <w:sz w:val="20"/>
          <w:szCs w:val="20"/>
          <w:color w:val="auto"/>
        </w:rPr>
      </w:pPr>
      <w:r>
        <w:rPr>
          <w:rFonts w:ascii="Times New Roman" w:cs="Times New Roman" w:eastAsia="Times New Roman" w:hAnsi="Times New Roman"/>
          <w:sz w:val="18"/>
          <w:szCs w:val="18"/>
          <w:color w:val="auto"/>
        </w:rPr>
        <w:t xml:space="preserve">and in </w:t>
      </w:r>
      <w:r>
        <w:rPr>
          <w:rFonts w:ascii="Times New Roman" w:cs="Times New Roman" w:eastAsia="Times New Roman" w:hAnsi="Times New Roman"/>
          <w:sz w:val="18"/>
          <w:szCs w:val="18"/>
          <w:u w:val="single" w:color="auto"/>
          <w:color w:val="auto"/>
        </w:rPr>
        <w:t>Section 8(i)</w:t>
      </w:r>
      <w:r>
        <w:rPr>
          <w:rFonts w:ascii="Times New Roman" w:cs="Times New Roman" w:eastAsia="Times New Roman" w:hAnsi="Times New Roman"/>
          <w:sz w:val="18"/>
          <w:szCs w:val="18"/>
          <w:color w:val="auto"/>
        </w:rPr>
        <w:t xml:space="preserve">, will be accumulated and paid, subject to the other provisions of this </w:t>
      </w:r>
      <w:r>
        <w:rPr>
          <w:rFonts w:ascii="Times New Roman" w:cs="Times New Roman" w:eastAsia="Times New Roman" w:hAnsi="Times New Roman"/>
          <w:sz w:val="18"/>
          <w:szCs w:val="18"/>
          <w:u w:val="single" w:color="auto"/>
          <w:color w:val="auto"/>
        </w:rPr>
        <w:t>Section 8(j)</w:t>
      </w:r>
      <w:r>
        <w:rPr>
          <w:rFonts w:ascii="Times New Roman" w:cs="Times New Roman" w:eastAsia="Times New Roman" w:hAnsi="Times New Roman"/>
          <w:sz w:val="18"/>
          <w:szCs w:val="18"/>
          <w:color w:val="auto"/>
        </w:rPr>
        <w:t>, on such ninetieth (90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day or earlier following the effectiveness of such Release.</w:t>
      </w:r>
    </w:p>
    <w:p>
      <w:pPr>
        <w:spacing w:after="0" w:line="200" w:lineRule="exact"/>
        <w:rPr>
          <w:sz w:val="20"/>
          <w:szCs w:val="20"/>
          <w:color w:val="auto"/>
        </w:rPr>
      </w:pPr>
    </w:p>
    <w:p>
      <w:pPr>
        <w:jc w:val="both"/>
        <w:ind w:firstLine="1304"/>
        <w:spacing w:after="0" w:line="266" w:lineRule="auto"/>
        <w:tabs>
          <w:tab w:leader="none" w:pos="2441"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payment of Non-Qualified Deferred Compensation made pursuant to a voluntary or involuntary termination of employment shall be withheld until Executive incurs both (A) such a termination of employment and (B) a “separation from service” with the Company and all of its affiliates, as such term is defined in Treas. Reg. Section 1.409A-1(h).</w:t>
      </w:r>
    </w:p>
    <w:p>
      <w:pPr>
        <w:spacing w:after="0" w:line="175" w:lineRule="exact"/>
        <w:rPr>
          <w:rFonts w:ascii="Times New Roman" w:cs="Times New Roman" w:eastAsia="Times New Roman" w:hAnsi="Times New Roman"/>
          <w:sz w:val="18"/>
          <w:szCs w:val="18"/>
          <w:color w:val="auto"/>
        </w:rPr>
      </w:pPr>
    </w:p>
    <w:p>
      <w:pPr>
        <w:jc w:val="both"/>
        <w:ind w:firstLine="1304"/>
        <w:spacing w:after="0" w:line="258" w:lineRule="auto"/>
        <w:tabs>
          <w:tab w:leader="none" w:pos="2106"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the Agreement provides that Non-Qualified Deferred Compensation can be paid or commenced during a certain period (e.g., sixty (60) days) following a permissible payment or commencement event or trigger, the date of such payment or payment commencement shall be determined by the Company in its sole discretion (and by disregarding any desire of Executive) and, if the payment or commencement period exceeds ninety (90) days and spans two taxable years of Executive, then such Non-Qualified Deferred Compensation shall be paid and/or commenced during the second of such taxable years.</w:t>
      </w:r>
    </w:p>
    <w:p>
      <w:pPr>
        <w:spacing w:after="0" w:line="39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8" w:name="page19"/>
    <w:bookmarkEnd w:id="18"/>
    <w:p>
      <w:pPr>
        <w:jc w:val="both"/>
        <w:ind w:firstLine="1304"/>
        <w:spacing w:after="0" w:line="253" w:lineRule="auto"/>
        <w:tabs>
          <w:tab w:leader="none" w:pos="2080" w:val="left"/>
        </w:tabs>
        <w:numPr>
          <w:ilvl w:val="2"/>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preceding provisions of this section of the Agreement shall not be construed as a representation, covenant or guarantee by the Company or by any officer, director or affiliate of the Company of any particular tax effect to Executive under this Agreement. Neither the Company nor any of its officers, directors or affiliates shall be liable to Executive for any tax, penalty or interest imposed under Section 409A nor for reporting (or for failing to report) in good faith any payment made under this Agreement as an amount includible in gross income under Section 409A. Neither the Company nor any of its officers, directors or affiliates will have any liability to Executive or any other party if a payment or benefit under this Agreement is challenged by any taxing authority or is ultimately determined not to be exempt or compliant. Executive further understands and agrees that Executive will be entirely responsible for any and all taxes on any benefits payable to Executive as a result of this Agreement. In no event shall Executive be obligated to seek other employment or take any other action by way of mitigation of the amounts payable and/or benefits provided to Executive under this Agreement, and such amounts payable and/or benefits provided to Executive under this Agreement shall not be reduced because Executive obtains other employment, becomes self-employed and/or receives remuneration and/or benefits from a third party after the date of termination except with respect to COBRA continuation coverage as set forth in </w:t>
      </w:r>
      <w:r>
        <w:rPr>
          <w:rFonts w:ascii="Times New Roman" w:cs="Times New Roman" w:eastAsia="Times New Roman" w:hAnsi="Times New Roman"/>
          <w:sz w:val="18"/>
          <w:szCs w:val="18"/>
          <w:u w:val="single" w:color="auto"/>
          <w:color w:val="auto"/>
        </w:rPr>
        <w:t>Section 8(e)(iii)(C)</w:t>
      </w:r>
      <w:r>
        <w:rPr>
          <w:rFonts w:ascii="Times New Roman" w:cs="Times New Roman" w:eastAsia="Times New Roman" w:hAnsi="Times New Roman"/>
          <w:sz w:val="18"/>
          <w:szCs w:val="18"/>
          <w:color w:val="auto"/>
        </w:rPr>
        <w:t xml:space="preserve"> above.</w:t>
      </w:r>
    </w:p>
    <w:p>
      <w:pPr>
        <w:spacing w:after="0" w:line="191" w:lineRule="exact"/>
        <w:rPr>
          <w:rFonts w:ascii="Times New Roman" w:cs="Times New Roman" w:eastAsia="Times New Roman" w:hAnsi="Times New Roman"/>
          <w:sz w:val="18"/>
          <w:szCs w:val="18"/>
          <w:color w:val="auto"/>
        </w:rPr>
      </w:pPr>
    </w:p>
    <w:p>
      <w:pPr>
        <w:ind w:left="680" w:hanging="672"/>
        <w:spacing w:after="0"/>
        <w:tabs>
          <w:tab w:leader="none" w:pos="6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Covenant Not to Compete</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656"/>
        <w:spacing w:after="0" w:line="258" w:lineRule="auto"/>
        <w:tabs>
          <w:tab w:leader="none" w:pos="1414"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Executive recognizes that the services to be performed by him hereunder are special, unique and extraordinary. The parties confirm that it is reasonably necessary for the protection of the Company that Executive agree, and accordingly, Executive does hereby agree, that, he shall not, directly or indirectly, at any time during the “Restricted Period” within the “Restricted Area” engage in any “Restricted Business Activity” (as those terms are defined in </w:t>
      </w:r>
      <w:r>
        <w:rPr>
          <w:rFonts w:ascii="Times New Roman" w:cs="Times New Roman" w:eastAsia="Times New Roman" w:hAnsi="Times New Roman"/>
          <w:sz w:val="18"/>
          <w:szCs w:val="18"/>
          <w:u w:val="single" w:color="auto"/>
          <w:color w:val="auto"/>
        </w:rPr>
        <w:t>Sections 9(b)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(d)</w:t>
      </w:r>
      <w:r>
        <w:rPr>
          <w:rFonts w:ascii="Times New Roman" w:cs="Times New Roman" w:eastAsia="Times New Roman" w:hAnsi="Times New Roman"/>
          <w:sz w:val="18"/>
          <w:szCs w:val="18"/>
          <w:color w:val="auto"/>
        </w:rPr>
        <w:t xml:space="preserve"> below). In the event of any inconsistencies between the terms of this Agreement and the NDA, this Agreement shall control.</w:t>
      </w:r>
    </w:p>
    <w:p>
      <w:pPr>
        <w:spacing w:after="0" w:line="183" w:lineRule="exact"/>
        <w:rPr>
          <w:rFonts w:ascii="Times New Roman" w:cs="Times New Roman" w:eastAsia="Times New Roman" w:hAnsi="Times New Roman"/>
          <w:sz w:val="18"/>
          <w:szCs w:val="18"/>
          <w:color w:val="auto"/>
        </w:rPr>
      </w:pPr>
    </w:p>
    <w:p>
      <w:pPr>
        <w:ind w:left="1400" w:hanging="744"/>
        <w:spacing w:after="0"/>
        <w:tabs>
          <w:tab w:leader="none" w:pos="140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w:t>
      </w:r>
      <w:r>
        <w:rPr>
          <w:rFonts w:ascii="Times New Roman" w:cs="Times New Roman" w:eastAsia="Times New Roman" w:hAnsi="Times New Roman"/>
          <w:sz w:val="18"/>
          <w:szCs w:val="18"/>
          <w:u w:val="single" w:color="auto"/>
          <w:color w:val="auto"/>
        </w:rPr>
        <w:t>Restricted Business Activity</w:t>
      </w:r>
      <w:r>
        <w:rPr>
          <w:rFonts w:ascii="Times New Roman" w:cs="Times New Roman" w:eastAsia="Times New Roman" w:hAnsi="Times New Roman"/>
          <w:sz w:val="18"/>
          <w:szCs w:val="18"/>
          <w:color w:val="auto"/>
        </w:rPr>
        <w:t xml:space="preserve">” as used in this </w:t>
      </w:r>
      <w:r>
        <w:rPr>
          <w:rFonts w:ascii="Times New Roman" w:cs="Times New Roman" w:eastAsia="Times New Roman" w:hAnsi="Times New Roman"/>
          <w:sz w:val="18"/>
          <w:szCs w:val="18"/>
          <w:u w:val="single" w:color="auto"/>
          <w:color w:val="auto"/>
        </w:rPr>
        <w:t>Section 9</w:t>
      </w:r>
      <w:r>
        <w:rPr>
          <w:rFonts w:ascii="Times New Roman" w:cs="Times New Roman" w:eastAsia="Times New Roman" w:hAnsi="Times New Roman"/>
          <w:sz w:val="18"/>
          <w:szCs w:val="18"/>
          <w:color w:val="auto"/>
        </w:rPr>
        <w:t>, means that Executive shall not, directly or indirectly:</w:t>
      </w:r>
    </w:p>
    <w:p>
      <w:pPr>
        <w:spacing w:after="0" w:line="225" w:lineRule="exact"/>
        <w:rPr>
          <w:rFonts w:ascii="Times New Roman" w:cs="Times New Roman" w:eastAsia="Times New Roman" w:hAnsi="Times New Roman"/>
          <w:sz w:val="18"/>
          <w:szCs w:val="18"/>
          <w:color w:val="auto"/>
        </w:rPr>
      </w:pPr>
    </w:p>
    <w:p>
      <w:pPr>
        <w:jc w:val="both"/>
        <w:ind w:firstLine="1304"/>
        <w:spacing w:after="0" w:line="266" w:lineRule="auto"/>
        <w:tabs>
          <w:tab w:leader="none" w:pos="2190" w:val="left"/>
        </w:tabs>
        <w:numPr>
          <w:ilvl w:val="2"/>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services, either on his own behalf or as an officer, director, partner, consultant, associate, employee, owner, agent, independent contractor, or coventurer of any third party that sells products or services that are directly competitive in airports with the core products or services sold by the Company or any of its subsidiaries during the Employment Period; or</w:t>
      </w:r>
    </w:p>
    <w:p>
      <w:pPr>
        <w:spacing w:after="0" w:line="175" w:lineRule="exact"/>
        <w:rPr>
          <w:rFonts w:ascii="Times New Roman" w:cs="Times New Roman" w:eastAsia="Times New Roman" w:hAnsi="Times New Roman"/>
          <w:sz w:val="18"/>
          <w:szCs w:val="18"/>
          <w:color w:val="auto"/>
        </w:rPr>
      </w:pPr>
    </w:p>
    <w:p>
      <w:pPr>
        <w:ind w:firstLine="1304"/>
        <w:spacing w:after="0" w:line="282" w:lineRule="auto"/>
        <w:tabs>
          <w:tab w:leader="none" w:pos="2186" w:val="left"/>
        </w:tabs>
        <w:numPr>
          <w:ilvl w:val="2"/>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solicit any material commercial relationships of the Company or any of its subsidiaries, other than in the furtherance of the business of the Company or any of its subsidiaries during the Employment Period;</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provided however, that Restricted Business Activity shall not be construed to prevent and this Agreement shall not prevent Executive from</w:t>
      </w:r>
    </w:p>
    <w:p>
      <w:pPr>
        <w:spacing w:after="0" w:line="27" w:lineRule="exact"/>
        <w:rPr>
          <w:sz w:val="20"/>
          <w:szCs w:val="20"/>
          <w:color w:val="auto"/>
        </w:rPr>
      </w:pPr>
    </w:p>
    <w:p>
      <w:pPr>
        <w:jc w:val="both"/>
        <w:ind w:firstLine="8"/>
        <w:spacing w:after="0" w:line="253" w:lineRule="auto"/>
        <w:tabs>
          <w:tab w:leader="none" w:pos="216"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owning, directly or indirectly, in the aggregate, an amount not exceeding two percent (2%) of the issued and outstanding voting securities of any class of any company whose voting capital stock is traded or listed on a national securities exchange or in the over-the-counter market; or (ii) soliciting any material commercial relationships of the Company or any of its subsidiaries for the purpose of selling products or providing services that are not the same or substantially similar to the core products or services sold by the Company or any of its subsidiaries during the Employment Period.</w:t>
      </w:r>
    </w:p>
    <w:p>
      <w:pPr>
        <w:spacing w:after="0" w:line="18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9" w:name="page20"/>
    <w:bookmarkEnd w:id="19"/>
    <w:p>
      <w:pPr>
        <w:ind w:right="20" w:firstLine="656"/>
        <w:spacing w:after="0" w:line="282" w:lineRule="auto"/>
        <w:tabs>
          <w:tab w:leader="none" w:pos="1431"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w:t>
      </w:r>
      <w:r>
        <w:rPr>
          <w:rFonts w:ascii="Times New Roman" w:cs="Times New Roman" w:eastAsia="Times New Roman" w:hAnsi="Times New Roman"/>
          <w:sz w:val="18"/>
          <w:szCs w:val="18"/>
          <w:u w:val="single" w:color="auto"/>
          <w:color w:val="auto"/>
        </w:rPr>
        <w:t>Restricted Period</w:t>
      </w:r>
      <w:r>
        <w:rPr>
          <w:rFonts w:ascii="Times New Roman" w:cs="Times New Roman" w:eastAsia="Times New Roman" w:hAnsi="Times New Roman"/>
          <w:sz w:val="18"/>
          <w:szCs w:val="18"/>
          <w:color w:val="auto"/>
        </w:rPr>
        <w:t xml:space="preserve">,” as used in this </w:t>
      </w:r>
      <w:r>
        <w:rPr>
          <w:rFonts w:ascii="Times New Roman" w:cs="Times New Roman" w:eastAsia="Times New Roman" w:hAnsi="Times New Roman"/>
          <w:sz w:val="18"/>
          <w:szCs w:val="18"/>
          <w:u w:val="single" w:color="auto"/>
          <w:color w:val="auto"/>
        </w:rPr>
        <w:t>Section 9</w:t>
      </w:r>
      <w:r>
        <w:rPr>
          <w:rFonts w:ascii="Times New Roman" w:cs="Times New Roman" w:eastAsia="Times New Roman" w:hAnsi="Times New Roman"/>
          <w:sz w:val="18"/>
          <w:szCs w:val="18"/>
          <w:color w:val="auto"/>
        </w:rPr>
        <w:t>, shall mean during the Employment Period and for six (6) months after the date Executive is no longer employed by the Company.</w:t>
      </w:r>
    </w:p>
    <w:p>
      <w:pPr>
        <w:spacing w:after="0" w:line="161" w:lineRule="exact"/>
        <w:rPr>
          <w:rFonts w:ascii="Times New Roman" w:cs="Times New Roman" w:eastAsia="Times New Roman" w:hAnsi="Times New Roman"/>
          <w:sz w:val="18"/>
          <w:szCs w:val="18"/>
          <w:color w:val="auto"/>
        </w:rPr>
      </w:pPr>
    </w:p>
    <w:p>
      <w:pPr>
        <w:jc w:val="both"/>
        <w:ind w:firstLine="656"/>
        <w:spacing w:after="0" w:line="256" w:lineRule="auto"/>
        <w:tabs>
          <w:tab w:leader="none" w:pos="1498"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w:t>
      </w:r>
      <w:r>
        <w:rPr>
          <w:rFonts w:ascii="Times New Roman" w:cs="Times New Roman" w:eastAsia="Times New Roman" w:hAnsi="Times New Roman"/>
          <w:sz w:val="18"/>
          <w:szCs w:val="18"/>
          <w:u w:val="single" w:color="auto"/>
          <w:color w:val="auto"/>
        </w:rPr>
        <w:t>Restricted Area</w:t>
      </w:r>
      <w:r>
        <w:rPr>
          <w:rFonts w:ascii="Times New Roman" w:cs="Times New Roman" w:eastAsia="Times New Roman" w:hAnsi="Times New Roman"/>
          <w:sz w:val="18"/>
          <w:szCs w:val="18"/>
          <w:color w:val="auto"/>
        </w:rPr>
        <w:t xml:space="preserve">” as used in this </w:t>
      </w:r>
      <w:r>
        <w:rPr>
          <w:rFonts w:ascii="Times New Roman" w:cs="Times New Roman" w:eastAsia="Times New Roman" w:hAnsi="Times New Roman"/>
          <w:sz w:val="18"/>
          <w:szCs w:val="18"/>
          <w:u w:val="single" w:color="auto"/>
          <w:color w:val="auto"/>
        </w:rPr>
        <w:t>Section 9</w:t>
      </w:r>
      <w:r>
        <w:rPr>
          <w:rFonts w:ascii="Times New Roman" w:cs="Times New Roman" w:eastAsia="Times New Roman" w:hAnsi="Times New Roman"/>
          <w:sz w:val="18"/>
          <w:szCs w:val="18"/>
          <w:color w:val="auto"/>
        </w:rPr>
        <w:t xml:space="preserve"> shall mean the United States of America and every country outside the United States of America where the Company or any of its subsidiaries is directly or indirectly operating or Executive is aware that the Company or any of its subsidiaries is planning to operate, is actively evaluating operating in such country in the future, or is involved in any negotiations, discussions or other actions relating to such plans, including but not limited to submitting or responding to a Request For Proposal (“</w:t>
      </w:r>
      <w:r>
        <w:rPr>
          <w:rFonts w:ascii="Times New Roman" w:cs="Times New Roman" w:eastAsia="Times New Roman" w:hAnsi="Times New Roman"/>
          <w:sz w:val="18"/>
          <w:szCs w:val="18"/>
          <w:u w:val="single" w:color="auto"/>
          <w:color w:val="auto"/>
        </w:rPr>
        <w:t>RFP</w:t>
      </w:r>
      <w:r>
        <w:rPr>
          <w:rFonts w:ascii="Times New Roman" w:cs="Times New Roman" w:eastAsia="Times New Roman" w:hAnsi="Times New Roman"/>
          <w:sz w:val="18"/>
          <w:szCs w:val="18"/>
          <w:color w:val="auto"/>
        </w:rPr>
        <w:t>”); except for any country which the Company or any of its subsidiaries has abandoned such plans or has ceased, without any reason (such as waiting for responses from third parties), to pursue such plans or to respond to a RFP for a period exceeding sixty (60) days.</w:t>
      </w:r>
    </w:p>
    <w:p>
      <w:pPr>
        <w:spacing w:after="0" w:line="187" w:lineRule="exact"/>
        <w:rPr>
          <w:rFonts w:ascii="Times New Roman" w:cs="Times New Roman" w:eastAsia="Times New Roman" w:hAnsi="Times New Roman"/>
          <w:sz w:val="18"/>
          <w:szCs w:val="18"/>
          <w:color w:val="auto"/>
        </w:rPr>
      </w:pPr>
    </w:p>
    <w:p>
      <w:pPr>
        <w:jc w:val="both"/>
        <w:ind w:firstLine="656"/>
        <w:spacing w:after="0" w:line="261" w:lineRule="auto"/>
        <w:tabs>
          <w:tab w:leader="none" w:pos="1711"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any of the restrictions contained in this </w:t>
      </w:r>
      <w:r>
        <w:rPr>
          <w:rFonts w:ascii="Times New Roman" w:cs="Times New Roman" w:eastAsia="Times New Roman" w:hAnsi="Times New Roman"/>
          <w:sz w:val="18"/>
          <w:szCs w:val="18"/>
          <w:u w:val="single" w:color="auto"/>
          <w:color w:val="auto"/>
        </w:rPr>
        <w:t>Section 9</w:t>
      </w:r>
      <w:r>
        <w:rPr>
          <w:rFonts w:ascii="Times New Roman" w:cs="Times New Roman" w:eastAsia="Times New Roman" w:hAnsi="Times New Roman"/>
          <w:sz w:val="18"/>
          <w:szCs w:val="18"/>
          <w:color w:val="auto"/>
        </w:rPr>
        <w:t xml:space="preserve"> shall be deemed to be unenforceable by reason of the extent, duration or geographical scope thereof, or otherwise, then the court making such determination shall have the right to reduce, or authorize the Company to reduce, such extent, duration, geographical scope, or other provisions hereof, and in its reduced form this Section shall then be enforceable in the manner contemplated hereby.</w:t>
      </w:r>
    </w:p>
    <w:p>
      <w:pPr>
        <w:spacing w:after="0" w:line="179" w:lineRule="exact"/>
        <w:rPr>
          <w:rFonts w:ascii="Times New Roman" w:cs="Times New Roman" w:eastAsia="Times New Roman" w:hAnsi="Times New Roman"/>
          <w:sz w:val="18"/>
          <w:szCs w:val="18"/>
          <w:color w:val="auto"/>
        </w:rPr>
      </w:pPr>
    </w:p>
    <w:p>
      <w:pPr>
        <w:ind w:left="1440" w:hanging="784"/>
        <w:spacing w:after="0"/>
        <w:tabs>
          <w:tab w:leader="none" w:pos="144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provisions of this </w:t>
      </w:r>
      <w:r>
        <w:rPr>
          <w:rFonts w:ascii="Times New Roman" w:cs="Times New Roman" w:eastAsia="Times New Roman" w:hAnsi="Times New Roman"/>
          <w:sz w:val="18"/>
          <w:szCs w:val="18"/>
          <w:u w:val="single" w:color="auto"/>
          <w:color w:val="auto"/>
        </w:rPr>
        <w:t>Section 9</w:t>
      </w:r>
      <w:r>
        <w:rPr>
          <w:rFonts w:ascii="Times New Roman" w:cs="Times New Roman" w:eastAsia="Times New Roman" w:hAnsi="Times New Roman"/>
          <w:sz w:val="18"/>
          <w:szCs w:val="18"/>
          <w:color w:val="auto"/>
        </w:rPr>
        <w:t xml:space="preserve"> shall survive the termination of Executive’s employment hereunder and until the end of the Restricted</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Period.</w:t>
      </w:r>
    </w:p>
    <w:p>
      <w:pPr>
        <w:spacing w:after="0" w:line="206" w:lineRule="exact"/>
        <w:rPr>
          <w:rFonts w:ascii="Times New Roman" w:cs="Times New Roman" w:eastAsia="Times New Roman" w:hAnsi="Times New Roman"/>
          <w:sz w:val="18"/>
          <w:szCs w:val="18"/>
          <w:color w:val="auto"/>
        </w:rPr>
      </w:pPr>
    </w:p>
    <w:p>
      <w:pPr>
        <w:jc w:val="both"/>
        <w:ind w:firstLine="8"/>
        <w:spacing w:after="0" w:line="254" w:lineRule="auto"/>
        <w:tabs>
          <w:tab w:leader="none" w:pos="769"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Executive’s Representations</w:t>
      </w:r>
      <w:r>
        <w:rPr>
          <w:rFonts w:ascii="Times New Roman" w:cs="Times New Roman" w:eastAsia="Times New Roman" w:hAnsi="Times New Roman"/>
          <w:sz w:val="18"/>
          <w:szCs w:val="18"/>
          <w:color w:val="auto"/>
        </w:rPr>
        <w:t>. Executive hereby represents and warrants to the Company that (i) the execution, delivery and performance of this Agreement by Executive does not and shall not conflict with, breach, violate or cause a default under any contract, agreement, instrument, order, judgment or decree to which Executive is a party or by which Executive is bound, (ii) Executive is not a party to or bound by any employment agreement, noncompete agreement, non-solicitation agreement, covenants agreement, or confidentiality agreement with any other person or entity, (iii) Executive shall not use any confidential information or trade secrets of any third party in connection with the performance of Executive’s duties hereunder and (iv) this Agreement constitutes the valid and binding obligation of Executive, enforceable against Executive in accordance with its terms. Executive hereby acknowledges and represents that Executive has had the opportunity to consult with independent legal counsel regarding Executive’s rights and obligations under this Agreement and that Executive fully understands the terms and conditions contained herein.</w:t>
      </w:r>
    </w:p>
    <w:p>
      <w:pPr>
        <w:spacing w:after="0" w:line="191" w:lineRule="exact"/>
        <w:rPr>
          <w:rFonts w:ascii="Times New Roman" w:cs="Times New Roman" w:eastAsia="Times New Roman" w:hAnsi="Times New Roman"/>
          <w:sz w:val="18"/>
          <w:szCs w:val="18"/>
          <w:color w:val="auto"/>
        </w:rPr>
      </w:pPr>
    </w:p>
    <w:p>
      <w:pPr>
        <w:ind w:left="680" w:hanging="672"/>
        <w:spacing w:after="0"/>
        <w:tabs>
          <w:tab w:leader="none" w:pos="6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Dispute Resolution</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656"/>
        <w:spacing w:after="0" w:line="261" w:lineRule="auto"/>
        <w:tabs>
          <w:tab w:leader="none" w:pos="1392"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event of a breach or anticipated breach of the Agreement by either Party, the non-breaching Party shall inform the breaching Party by letter of the suspected or anticipated breach. The breaching Party shall have ten (10) days to cure said breach, if curable. In the event the breach has not been cured within ten (10) days, if curable, then, except as otherwise provided in </w:t>
      </w:r>
      <w:r>
        <w:rPr>
          <w:rFonts w:ascii="Times New Roman" w:cs="Times New Roman" w:eastAsia="Times New Roman" w:hAnsi="Times New Roman"/>
          <w:sz w:val="18"/>
          <w:szCs w:val="18"/>
          <w:u w:val="single" w:color="auto"/>
          <w:color w:val="auto"/>
        </w:rPr>
        <w:t>Section 13(a)</w:t>
      </w:r>
      <w:r>
        <w:rPr>
          <w:rFonts w:ascii="Times New Roman" w:cs="Times New Roman" w:eastAsia="Times New Roman" w:hAnsi="Times New Roman"/>
          <w:sz w:val="18"/>
          <w:szCs w:val="18"/>
          <w:color w:val="auto"/>
        </w:rPr>
        <w:t xml:space="preserve">, the non-breaching Party shall pursue a remedy or remedies through final and binding arbitration to which </w:t>
      </w:r>
      <w:r>
        <w:rPr>
          <w:rFonts w:ascii="Times New Roman" w:cs="Times New Roman" w:eastAsia="Times New Roman" w:hAnsi="Times New Roman"/>
          <w:sz w:val="18"/>
          <w:szCs w:val="18"/>
          <w:u w:val="single" w:color="auto"/>
          <w:color w:val="auto"/>
        </w:rPr>
        <w:t>Sections 11(b)</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xml:space="preserve"> below shall apply.</w:t>
      </w:r>
    </w:p>
    <w:p>
      <w:pPr>
        <w:spacing w:after="0" w:line="39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0" w:name="page21"/>
    <w:bookmarkEnd w:id="20"/>
    <w:p>
      <w:pPr>
        <w:jc w:val="both"/>
        <w:ind w:firstLine="656"/>
        <w:spacing w:after="0" w:line="253" w:lineRule="auto"/>
        <w:tabs>
          <w:tab w:leader="none" w:pos="1427"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dispute arising between the Parties under this Agreement or concerning Executive’s employment or the termination of Executive’s employment shall be submitted to final and binding arbitration before the American Arbitration Association (“AAA”). Such arbitration shall be conducted in New York, New York, and the arbitrator will apply New York law, including federal law as applied in New York courts. The arbitration shall be conducted in accordance with AAA Employment Arbitration Rules as modified herein. The arbitration shall be conducted by a single arbitrator and the award of the arbitrator shall be final and binding on the parties, and judgment on the award may be confirmed and entered in any state or federal court in the State and City of New York. The arbitration shall be conducted on a strictly confidential basis, and the Parties shall not disclose the existence of a claim, the nature of a claim, any documents, exhibits, or information exchanged or presented in connection with such a claim, or the result of any action (collectively, “</w:t>
      </w:r>
      <w:r>
        <w:rPr>
          <w:rFonts w:ascii="Times New Roman" w:cs="Times New Roman" w:eastAsia="Times New Roman" w:hAnsi="Times New Roman"/>
          <w:sz w:val="18"/>
          <w:szCs w:val="18"/>
          <w:u w:val="single" w:color="auto"/>
          <w:color w:val="auto"/>
        </w:rPr>
        <w:t>Arbitration Materials</w:t>
      </w:r>
      <w:r>
        <w:rPr>
          <w:rFonts w:ascii="Times New Roman" w:cs="Times New Roman" w:eastAsia="Times New Roman" w:hAnsi="Times New Roman"/>
          <w:sz w:val="18"/>
          <w:szCs w:val="18"/>
          <w:color w:val="auto"/>
        </w:rPr>
        <w:t>”) to any third party, with the sole exception of their respective legal counsel, who also shall be bound by these confidentiality terms. Nothing herein shall prevent either Party from seeking or obtaining an injunction in aid of arbitration, nor from confirming the award of the arbitrator in court.</w:t>
      </w:r>
    </w:p>
    <w:p>
      <w:pPr>
        <w:spacing w:after="0" w:line="194" w:lineRule="exact"/>
        <w:rPr>
          <w:rFonts w:ascii="Times New Roman" w:cs="Times New Roman" w:eastAsia="Times New Roman" w:hAnsi="Times New Roman"/>
          <w:sz w:val="18"/>
          <w:szCs w:val="18"/>
          <w:color w:val="auto"/>
        </w:rPr>
      </w:pPr>
    </w:p>
    <w:p>
      <w:pPr>
        <w:jc w:val="both"/>
        <w:ind w:firstLine="656"/>
        <w:spacing w:after="0" w:line="256" w:lineRule="auto"/>
        <w:tabs>
          <w:tab w:leader="none" w:pos="1565"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event of any court proceeding, including a court proceeding to challenge or enforce an arbitrator’s award, the parties hereby consent to the exclusive jurisdiction of the state and federal courts in New York, New York and agree to venue in that jurisdiction. Each Party hereby irrevocably waives personal service of process and consents to process being served in any such suit, action or proceeding by delivering a copy thereof to such Party in accordance with the notice provisions of </w:t>
      </w:r>
      <w:r>
        <w:rPr>
          <w:rFonts w:ascii="Times New Roman" w:cs="Times New Roman" w:eastAsia="Times New Roman" w:hAnsi="Times New Roman"/>
          <w:sz w:val="18"/>
          <w:szCs w:val="18"/>
          <w:u w:val="single" w:color="auto"/>
          <w:color w:val="auto"/>
        </w:rPr>
        <w:t>Section 13(h)</w:t>
      </w:r>
      <w:r>
        <w:rPr>
          <w:rFonts w:ascii="Times New Roman" w:cs="Times New Roman" w:eastAsia="Times New Roman" w:hAnsi="Times New Roman"/>
          <w:sz w:val="18"/>
          <w:szCs w:val="18"/>
          <w:color w:val="auto"/>
        </w:rPr>
        <w:t xml:space="preserve"> below. The Parties agree to take all steps necessary to protect the confidentiality of all confidential information, including the Arbitration Materials (if applicable), in connection with any such proceeding, agree to file all confidential information under seal, and agree to the entry of an appropriate protective order.</w:t>
      </w:r>
    </w:p>
    <w:p>
      <w:pPr>
        <w:spacing w:after="0" w:line="187" w:lineRule="exact"/>
        <w:rPr>
          <w:rFonts w:ascii="Times New Roman" w:cs="Times New Roman" w:eastAsia="Times New Roman" w:hAnsi="Times New Roman"/>
          <w:sz w:val="18"/>
          <w:szCs w:val="18"/>
          <w:color w:val="auto"/>
        </w:rPr>
      </w:pPr>
    </w:p>
    <w:p>
      <w:pPr>
        <w:jc w:val="both"/>
        <w:ind w:firstLine="8"/>
        <w:spacing w:after="0" w:line="254" w:lineRule="auto"/>
        <w:tabs>
          <w:tab w:leader="none" w:pos="67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Defend Trade Secrets Act of 2016 Notice</w:t>
      </w:r>
      <w:r>
        <w:rPr>
          <w:rFonts w:ascii="Times New Roman" w:cs="Times New Roman" w:eastAsia="Times New Roman" w:hAnsi="Times New Roman"/>
          <w:sz w:val="18"/>
          <w:szCs w:val="18"/>
          <w:color w:val="auto"/>
        </w:rPr>
        <w:t>. In accordance with the federal Defend Trade Secrets Act of 2016 (“</w:t>
      </w:r>
      <w:r>
        <w:rPr>
          <w:rFonts w:ascii="Times New Roman" w:cs="Times New Roman" w:eastAsia="Times New Roman" w:hAnsi="Times New Roman"/>
          <w:sz w:val="18"/>
          <w:szCs w:val="18"/>
          <w:u w:val="single" w:color="auto"/>
          <w:color w:val="auto"/>
        </w:rPr>
        <w:t>DTSA</w:t>
      </w:r>
      <w:r>
        <w:rPr>
          <w:rFonts w:ascii="Times New Roman" w:cs="Times New Roman" w:eastAsia="Times New Roman" w:hAnsi="Times New Roman"/>
          <w:sz w:val="18"/>
          <w:szCs w:val="18"/>
          <w:color w:val="auto"/>
        </w:rPr>
        <w:t>”), nothing in this Agreement is intended to interfere with or discourage Executive’s good faith disclosure of a trade secret or other confidential information to any governmental entity related to a suspected violation of law. Notwithstanding anything to the contrary in this Agreement, the DTSA provides that Executive cannot be held criminally or civilly liable under any federal or state trade secret law (a) if Executive discloses a trade secret or other confidential information (i) in confidence (A) to any federal, state, or local government official, either directly or indirectly, or (B) an attorney, and solely for the purpose of reporting or investigating a suspected violation of the law; or (ii) in a complaint or other document filed in a lawsuit or other proceeding, if such filing is made under seal; and does not disclose the trade secret, except pursuant to court order. Should Executive file a lawsuit for retaliation for reporting a suspected violation of law, he may disclose the trade secret to his attorney and use the trade secret information in the court proceeding, if Executive (y) files any document containing the trade secret under seal, and (z) does not disclose the trade secret, except pursuant to court order.</w:t>
      </w:r>
    </w:p>
    <w:p>
      <w:pPr>
        <w:spacing w:after="0" w:line="200" w:lineRule="exact"/>
        <w:rPr>
          <w:sz w:val="20"/>
          <w:szCs w:val="20"/>
          <w:color w:val="auto"/>
        </w:rPr>
      </w:pPr>
    </w:p>
    <w:p>
      <w:pPr>
        <w:spacing w:after="0" w:line="20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1" w:name="page22"/>
    <w:bookmarkEnd w:id="21"/>
    <w:p>
      <w:pPr>
        <w:ind w:left="680" w:hanging="672"/>
        <w:spacing w:after="0"/>
        <w:tabs>
          <w:tab w:leader="none" w:pos="6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Miscellaneous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656"/>
        <w:spacing w:after="0" w:line="253" w:lineRule="auto"/>
        <w:tabs>
          <w:tab w:leader="none" w:pos="1515"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 acknowledges that the services to be rendered by him under the provisions of this Agreement are of a special, unique and extraordinary character and that it would be difficult or impossible to replace such services. Furthermore, the parties acknowledge that monetary damages alone would not be an adequate remedy for any breach by Executive of this Agreement. Accordingly, Executive agrees that any breach or threatened breach by him of this Agreement or the NDA shall entitle the Company, in addition to all other legal remedies available to it, to apply to any court of competent jurisdiction to seek to enjoin such breach or threatened breach. The parties understand and intend that each restriction agreed to by Executive hereinabove shall be construed as separable and divisible from every other restriction, that the unenforceability of any restriction shall not limit the enforceability, in whole or in part, of any other restriction, and that one or more or all of such restrictions may be enforced in whole or in part as the circumstances warrant. In the event that any restriction in this Agreement is more restrictive than permitted by law in the jurisdiction in which the Company seeks enforcement thereof, such restriction shall be limited to the extent permitted by law. The remedy of injunctive relief herein set forth shall be in addition to, and not in lieu of, any other rights or remedies that the Company may have at law or in equity.</w:t>
      </w:r>
    </w:p>
    <w:p>
      <w:pPr>
        <w:spacing w:after="0" w:line="194" w:lineRule="exact"/>
        <w:rPr>
          <w:rFonts w:ascii="Times New Roman" w:cs="Times New Roman" w:eastAsia="Times New Roman" w:hAnsi="Times New Roman"/>
          <w:sz w:val="18"/>
          <w:szCs w:val="18"/>
          <w:color w:val="auto"/>
        </w:rPr>
      </w:pPr>
    </w:p>
    <w:p>
      <w:pPr>
        <w:jc w:val="both"/>
        <w:ind w:firstLine="656"/>
        <w:spacing w:after="0" w:line="254" w:lineRule="auto"/>
        <w:tabs>
          <w:tab w:leader="none" w:pos="1575"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 may not assign or delegate any of his rights or duties under this Agreement without the express written consent of the Company. The Company will require any successor (whether direct or indirect by purchase, merger, consolidation or otherwise) to all or substantially all of the business and/or assets of the Company to expressly assume and agree to perform this Agreement in the same manner and to the same extent that the Company would be required to perform it if no such succession had taken place. As used in this Agreement, the “Company” shall mean the Company as hereinbefore defined and any successor to its business and/or assets as aforesaid which executes and delivers the agreement provided for in this subsection</w:t>
      </w:r>
    </w:p>
    <w:p>
      <w:pPr>
        <w:spacing w:after="0" w:line="3"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 or which otherwise becomes bound by all of the terms and provisions of this Agreement by operation of law.</w:t>
      </w:r>
    </w:p>
    <w:p>
      <w:pPr>
        <w:spacing w:after="0" w:line="206" w:lineRule="exact"/>
        <w:rPr>
          <w:rFonts w:ascii="Times New Roman" w:cs="Times New Roman" w:eastAsia="Times New Roman" w:hAnsi="Times New Roman"/>
          <w:sz w:val="18"/>
          <w:szCs w:val="18"/>
          <w:color w:val="auto"/>
        </w:rPr>
      </w:pPr>
    </w:p>
    <w:p>
      <w:pPr>
        <w:jc w:val="both"/>
        <w:ind w:firstLine="656"/>
        <w:spacing w:after="0" w:line="255" w:lineRule="auto"/>
        <w:tabs>
          <w:tab w:leader="none" w:pos="1462"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together with the NDA and any indemnification agreement, equity plan, stock option agreement, restricted stock unit agreement or other stock-related agreement to which plaintiff is a party or otherwise subject to, constitutes and embodies the full and complete understanding and agreement of the parties with respect to Executive’s employment by the Company, and supersedes all prior understandings and agreements, whether oral or written, between Executive and the Company, and shall not be amended, modified or changed except by an instrument in writing executed by the party to be charged. The invalidity or partial invalidity of one or more provisions of this Agreement shall not invalidate any other provision of this Agreement. No waiver by either party of any provision or condition to be performed shall be deemed a waiver of similar or dissimilar provisions or conditions at the same time or any prior or subsequent time.</w:t>
      </w:r>
    </w:p>
    <w:p>
      <w:pPr>
        <w:spacing w:after="0" w:line="188" w:lineRule="exact"/>
        <w:rPr>
          <w:rFonts w:ascii="Times New Roman" w:cs="Times New Roman" w:eastAsia="Times New Roman" w:hAnsi="Times New Roman"/>
          <w:sz w:val="18"/>
          <w:szCs w:val="18"/>
          <w:color w:val="auto"/>
        </w:rPr>
      </w:pPr>
    </w:p>
    <w:p>
      <w:pPr>
        <w:jc w:val="both"/>
        <w:ind w:firstLine="656"/>
        <w:spacing w:after="0" w:line="258" w:lineRule="auto"/>
        <w:tabs>
          <w:tab w:leader="none" w:pos="1523"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 acknowledges that he has had the opportunity to be represented by separate independent counsel in the negotiation of this Agreement, has consulted with his attorney of choice, or voluntarily chose not to do so, concerning the execution and meaning of this Agreement, and has read this Agreement and fully understands the terms hereof, and is executing the same of his own free will. Executive warrants and represents that he has had sufficient time to consider whether to enter into this Agreement and that he is relying solely on his own judgment and the advice of his own counsel, if any, in deciding to execute this Agreement.</w:t>
      </w:r>
    </w:p>
    <w:p>
      <w:pPr>
        <w:spacing w:after="0" w:line="39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2" w:name="page23"/>
    <w:bookmarkEnd w:id="22"/>
    <w:p>
      <w:pPr>
        <w:ind w:firstLine="656"/>
        <w:spacing w:after="0" w:line="282" w:lineRule="auto"/>
        <w:tabs>
          <w:tab w:leader="none" w:pos="141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shall inure to the benefit of, be binding upon and enforceable against, the parties hereto and their respective successors, heirs, beneficiaries and permitted assigns including, any successor of the Company including a purchaser of all or substantially all of Company’s assets.</w:t>
      </w:r>
    </w:p>
    <w:p>
      <w:pPr>
        <w:spacing w:after="0" w:line="161" w:lineRule="exact"/>
        <w:rPr>
          <w:rFonts w:ascii="Times New Roman" w:cs="Times New Roman" w:eastAsia="Times New Roman" w:hAnsi="Times New Roman"/>
          <w:sz w:val="18"/>
          <w:szCs w:val="18"/>
          <w:color w:val="auto"/>
        </w:rPr>
      </w:pPr>
    </w:p>
    <w:p>
      <w:pPr>
        <w:ind w:firstLine="656"/>
        <w:spacing w:after="0" w:line="282" w:lineRule="auto"/>
        <w:tabs>
          <w:tab w:leader="none" w:pos="147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this Agreement or the Employment Period is terminated for any reason, the NDA, this Section 13 and </w:t>
      </w:r>
      <w:r>
        <w:rPr>
          <w:rFonts w:ascii="Times New Roman" w:cs="Times New Roman" w:eastAsia="Times New Roman" w:hAnsi="Times New Roman"/>
          <w:sz w:val="18"/>
          <w:szCs w:val="18"/>
          <w:u w:val="single" w:color="auto"/>
          <w:color w:val="auto"/>
        </w:rPr>
        <w:t>Sections 8</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9, 11 and 12</w:t>
      </w:r>
      <w:r>
        <w:rPr>
          <w:rFonts w:ascii="Times New Roman" w:cs="Times New Roman" w:eastAsia="Times New Roman" w:hAnsi="Times New Roman"/>
          <w:sz w:val="18"/>
          <w:szCs w:val="18"/>
          <w:color w:val="auto"/>
        </w:rPr>
        <w:t xml:space="preserve"> shall survive termination of this Agreement.</w:t>
      </w:r>
    </w:p>
    <w:p>
      <w:pPr>
        <w:spacing w:after="0" w:line="161" w:lineRule="exact"/>
        <w:rPr>
          <w:rFonts w:ascii="Times New Roman" w:cs="Times New Roman" w:eastAsia="Times New Roman" w:hAnsi="Times New Roman"/>
          <w:sz w:val="18"/>
          <w:szCs w:val="18"/>
          <w:color w:val="auto"/>
        </w:rPr>
      </w:pPr>
    </w:p>
    <w:p>
      <w:pPr>
        <w:ind w:right="20" w:firstLine="656"/>
        <w:spacing w:after="0" w:line="282" w:lineRule="auto"/>
        <w:tabs>
          <w:tab w:leader="none" w:pos="159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headings contained in this Agreement are for convenience of reference only and shall not affect in any way the meaning or interpretation of this Agreement.</w:t>
      </w:r>
    </w:p>
    <w:p>
      <w:pPr>
        <w:spacing w:after="0" w:line="161" w:lineRule="exact"/>
        <w:rPr>
          <w:rFonts w:ascii="Times New Roman" w:cs="Times New Roman" w:eastAsia="Times New Roman" w:hAnsi="Times New Roman"/>
          <w:sz w:val="18"/>
          <w:szCs w:val="18"/>
          <w:color w:val="auto"/>
        </w:rPr>
      </w:pPr>
    </w:p>
    <w:p>
      <w:pPr>
        <w:jc w:val="both"/>
        <w:ind w:firstLine="656"/>
        <w:spacing w:after="0" w:line="256" w:lineRule="auto"/>
        <w:tabs>
          <w:tab w:leader="none" w:pos="1484"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notices, requests, demands and other communications required or permitted to be given hereunder shall be in writing and shall be deemed to have been duly given when personally delivered, sent by registered or certified mail, return receipt requested, postage prepaid, or by reputable national overnight delivery service (e.g. FedEx) for overnight delivery to the party at the address set forth in the preamble to this Agreement, or to such other address as either party may hereafter give the other party notice of in accordance with the provisions hereof. Notices shall be deemed given on the sooner of the date actually received or the third business day after deposited in the mail or one business day after deposited with an overnight delivery service for overnight delivery.</w:t>
      </w:r>
    </w:p>
    <w:p>
      <w:pPr>
        <w:spacing w:after="0" w:line="187" w:lineRule="exact"/>
        <w:rPr>
          <w:rFonts w:ascii="Times New Roman" w:cs="Times New Roman" w:eastAsia="Times New Roman" w:hAnsi="Times New Roman"/>
          <w:sz w:val="18"/>
          <w:szCs w:val="18"/>
          <w:color w:val="auto"/>
        </w:rPr>
      </w:pPr>
    </w:p>
    <w:p>
      <w:pPr>
        <w:ind w:firstLine="656"/>
        <w:spacing w:after="0" w:line="282" w:lineRule="auto"/>
        <w:tabs>
          <w:tab w:leader="none" w:pos="1412"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shall be governed by and construed in accordance with the internal laws of the State of New York without reference to principles of conflicts of laws.</w:t>
      </w:r>
    </w:p>
    <w:p>
      <w:pPr>
        <w:spacing w:after="0" w:line="161" w:lineRule="exact"/>
        <w:rPr>
          <w:rFonts w:ascii="Times New Roman" w:cs="Times New Roman" w:eastAsia="Times New Roman" w:hAnsi="Times New Roman"/>
          <w:sz w:val="18"/>
          <w:szCs w:val="18"/>
          <w:color w:val="auto"/>
        </w:rPr>
      </w:pPr>
    </w:p>
    <w:p>
      <w:pPr>
        <w:ind w:right="20" w:firstLine="656"/>
        <w:spacing w:after="0" w:line="282" w:lineRule="auto"/>
        <w:tabs>
          <w:tab w:leader="none" w:pos="1507"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may be executed simultaneously in two or more counterparts, each of which shall be deemed an original, but all of which together shall constitute one of the same instrument. The parties hereto have executed this Agreement as of the date set forth above.</w:t>
      </w:r>
    </w:p>
    <w:p>
      <w:pPr>
        <w:spacing w:after="0" w:line="161" w:lineRule="exact"/>
        <w:rPr>
          <w:rFonts w:ascii="Times New Roman" w:cs="Times New Roman" w:eastAsia="Times New Roman" w:hAnsi="Times New Roman"/>
          <w:sz w:val="18"/>
          <w:szCs w:val="18"/>
          <w:color w:val="auto"/>
        </w:rPr>
      </w:pPr>
    </w:p>
    <w:p>
      <w:pPr>
        <w:ind w:left="1400" w:hanging="744"/>
        <w:spacing w:after="0"/>
        <w:tabs>
          <w:tab w:leader="none" w:pos="14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Party will pay its own costs and expenses related to the transactions contemplated by this Agreement.</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Remainder of Page Intentionally Left Blank;</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Signature Page Follows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2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3" w:name="page24"/>
    <w:bookmarkEnd w:id="23"/>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Executive Employment Agreement</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Executive and the Company have caused this Executive Employment Agreement to be executed as of the date first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above written.</w:t>
      </w:r>
    </w:p>
    <w:p>
      <w:pPr>
        <w:spacing w:after="0" w:line="37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COMPANY:</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XWELL, INC.</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Ezra Ernst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Name: Ezra Ernst</w:t>
      </w:r>
    </w:p>
    <w:p>
      <w:pPr>
        <w:spacing w:after="0" w:line="2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Title: CEO</w:t>
      </w:r>
    </w:p>
    <w:p>
      <w:pPr>
        <w:spacing w:after="0" w:line="20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b w:val="1"/>
          <w:bCs w:val="1"/>
          <w:color w:val="auto"/>
        </w:rPr>
        <w:t>EXECUTIVE:</w:t>
      </w:r>
    </w:p>
    <w:p>
      <w:pPr>
        <w:spacing w:after="0" w:line="22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/s/ Thomas Ian Brown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THOMAS IAN BROWN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24" w:name="page25"/>
    <w:bookmarkEnd w:id="24"/>
    <w:p>
      <w:pPr>
        <w:jc w:val="center"/>
        <w:spacing w:after="0"/>
        <w:rPr>
          <w:sz w:val="20"/>
          <w:szCs w:val="20"/>
          <w:color w:val="auto"/>
        </w:rPr>
      </w:pPr>
      <w:r>
        <w:rPr>
          <w:rFonts w:ascii="Times New Roman" w:cs="Times New Roman" w:eastAsia="Times New Roman" w:hAnsi="Times New Roman"/>
          <w:sz w:val="18"/>
          <w:szCs w:val="18"/>
          <w:b w:val="1"/>
          <w:bCs w:val="1"/>
          <w:color w:val="auto"/>
        </w:rPr>
        <w:t>EXHIBIT 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INCENTIVE COMPENSATION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Bonus: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Executive will be eligible to earn an annual bonus, the target amount of which shall be up to one hundred percent (100%) of Base Salary, based upon the achievement of performance goals and metrics established by the Board at its sole discretion. Any bonus will be determined as soon as reasonably practicable after the Company’s annual financial statements are finalized (such date of determination, the “</w:t>
      </w:r>
      <w:r>
        <w:rPr>
          <w:rFonts w:ascii="Times New Roman" w:cs="Times New Roman" w:eastAsia="Times New Roman" w:hAnsi="Times New Roman"/>
          <w:sz w:val="18"/>
          <w:szCs w:val="18"/>
          <w:u w:val="single" w:color="auto"/>
          <w:color w:val="auto"/>
        </w:rPr>
        <w:t>Bonus Determination Date</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bonus payment will be split 50/50 between cash and a grant of restricted stock units with respect to the Company’s common stock (the “</w:t>
      </w:r>
      <w:r>
        <w:rPr>
          <w:rFonts w:ascii="Times New Roman" w:cs="Times New Roman" w:eastAsia="Times New Roman" w:hAnsi="Times New Roman"/>
          <w:sz w:val="18"/>
          <w:szCs w:val="18"/>
          <w:u w:val="single" w:color="auto"/>
          <w:color w:val="auto"/>
        </w:rPr>
        <w:t>Bonus Stock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Award</w:t>
      </w:r>
      <w:r>
        <w:rPr>
          <w:rFonts w:ascii="Times New Roman" w:cs="Times New Roman" w:eastAsia="Times New Roman" w:hAnsi="Times New Roman"/>
          <w:sz w:val="18"/>
          <w:szCs w:val="18"/>
          <w:color w:val="auto"/>
        </w:rPr>
        <w:t>”). The cash portion of the bonus will be paid in a lump sum as soon as reasonably practicable following the Bonus Determination Date. The number of shares of Company common stock subject to the Bonus Stock Award will be computed by dividing (x) the value of the bonus payment attributable to the Bonus Stock Award by (y) the closing market price of the Company’s common stock on the Bonus Determination Date. The Bonus Stock Award will be subject to vesting based on Executive’s continued service with the Company through the first anniversary of the Bonus Determination Date, and shall be subject to the terms and conditions of the Company’s 2020 Equity Incentive Plan, as may be amended and/or restated from time to time.</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Payment of the bonus will be subject to Executive’s continued employment through the date that the cash bonus is paid or the Bonus Stock Award is granted, as applicable.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Awards: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As provided in </w:t>
      </w:r>
      <w:r>
        <w:rPr>
          <w:rFonts w:ascii="Times New Roman" w:cs="Times New Roman" w:eastAsia="Times New Roman" w:hAnsi="Times New Roman"/>
          <w:sz w:val="18"/>
          <w:szCs w:val="18"/>
          <w:u w:val="single" w:color="auto"/>
          <w:color w:val="auto"/>
        </w:rPr>
        <w:t>Section 5(c)</w:t>
      </w:r>
      <w:r>
        <w:rPr>
          <w:rFonts w:ascii="Times New Roman" w:cs="Times New Roman" w:eastAsia="Times New Roman" w:hAnsi="Times New Roman"/>
          <w:sz w:val="18"/>
          <w:szCs w:val="18"/>
          <w:color w:val="auto"/>
        </w:rPr>
        <w:t xml:space="preserve"> of the Agreement, following the Effective Date, as an inducement material to Executive entering into this Agreement, it will be recommended to the Board that Executive be granted stock options with respect to thirty-seven thousand (37,000) shares of the Company’s common stock (“Options”). Such Options shall vest in four quarterly installments of 25.0%, such that the 25.0% of such Options will vest on the first, second, third and fourth quarters after the grant date, subject to Executive’s continuous service with the Company through such dates.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All stock options will (i) have an exercise price equal to the fair market value of the Company’s common stock on the grant date, consistent with the requirements for an exemption from the application of Section 409A of the Code, (ii) have a 10-year term, and (iii) be subject to the terms and conditions of the form of option agreement to be provided by the Company, including shortened exercise periods following a termination of service as provided in the form of option agreement.</w:t>
      </w:r>
    </w:p>
    <w:p>
      <w:pPr>
        <w:spacing w:after="0" w:line="39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5" w:name="page26"/>
    <w:bookmarkEnd w:id="25"/>
    <w:p>
      <w:pPr>
        <w:jc w:val="center"/>
        <w:spacing w:after="0"/>
        <w:rPr>
          <w:sz w:val="20"/>
          <w:szCs w:val="20"/>
          <w:color w:val="auto"/>
        </w:rPr>
      </w:pPr>
      <w:r>
        <w:rPr>
          <w:rFonts w:ascii="Times New Roman" w:cs="Times New Roman" w:eastAsia="Times New Roman" w:hAnsi="Times New Roman"/>
          <w:sz w:val="18"/>
          <w:szCs w:val="18"/>
          <w:b w:val="1"/>
          <w:bCs w:val="1"/>
          <w:color w:val="auto"/>
        </w:rPr>
        <w:t>EXHIBIT B</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FORM OF NDA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MUTUAL NON-DISCLOSURE AGREEMENT</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This Mutual Non-Disclosure Agreement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is entered into as of the last date on the signature page hereto (the “</w:t>
      </w:r>
      <w:r>
        <w:rPr>
          <w:rFonts w:ascii="Times New Roman" w:cs="Times New Roman" w:eastAsia="Times New Roman" w:hAnsi="Times New Roman"/>
          <w:sz w:val="18"/>
          <w:szCs w:val="18"/>
          <w:u w:val="single" w:color="auto"/>
          <w:color w:val="auto"/>
        </w:rPr>
        <w:t>Effective Date</w:t>
      </w:r>
      <w:r>
        <w:rPr>
          <w:rFonts w:ascii="Times New Roman" w:cs="Times New Roman" w:eastAsia="Times New Roman" w:hAnsi="Times New Roman"/>
          <w:sz w:val="18"/>
          <w:szCs w:val="18"/>
          <w:color w:val="auto"/>
        </w:rPr>
        <w:t>”), by and among XWELL, Inc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and ____________________ (individually a “</w:t>
      </w:r>
      <w:r>
        <w:rPr>
          <w:rFonts w:ascii="Times New Roman" w:cs="Times New Roman" w:eastAsia="Times New Roman" w:hAnsi="Times New Roman"/>
          <w:sz w:val="18"/>
          <w:szCs w:val="18"/>
          <w:u w:val="single" w:color="auto"/>
          <w:color w:val="auto"/>
        </w:rPr>
        <w:t>Party</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u w:val="single" w:color="auto"/>
          <w:color w:val="auto"/>
        </w:rPr>
        <w:t>Parties</w:t>
      </w:r>
      <w:r>
        <w:rPr>
          <w:rFonts w:ascii="Times New Roman" w:cs="Times New Roman" w:eastAsia="Times New Roman" w:hAnsi="Times New Roman"/>
          <w:sz w:val="18"/>
          <w:szCs w:val="18"/>
          <w:color w:val="auto"/>
        </w:rPr>
        <w:t>”). The Parties have entered this Agreement to disclose to one another certain information, which the Parties consider to be confidential, for use by each Party.</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NOW, THEREFORE, the Parties agree as follows:</w:t>
      </w:r>
    </w:p>
    <w:p>
      <w:pPr>
        <w:spacing w:after="0" w:line="225" w:lineRule="exact"/>
        <w:rPr>
          <w:sz w:val="20"/>
          <w:szCs w:val="20"/>
          <w:color w:val="auto"/>
        </w:rPr>
      </w:pPr>
    </w:p>
    <w:p>
      <w:pPr>
        <w:jc w:val="both"/>
        <w:ind w:firstLine="8"/>
        <w:spacing w:after="0" w:line="254" w:lineRule="auto"/>
        <w:tabs>
          <w:tab w:leader="none" w:pos="823"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Confidential Information</w:t>
      </w:r>
      <w:r>
        <w:rPr>
          <w:rFonts w:ascii="Times New Roman" w:cs="Times New Roman" w:eastAsia="Times New Roman" w:hAnsi="Times New Roman"/>
          <w:sz w:val="18"/>
          <w:szCs w:val="18"/>
          <w:color w:val="auto"/>
        </w:rPr>
        <w:t>. The term “</w:t>
      </w:r>
      <w:r>
        <w:rPr>
          <w:rFonts w:ascii="Times New Roman" w:cs="Times New Roman" w:eastAsia="Times New Roman" w:hAnsi="Times New Roman"/>
          <w:sz w:val="18"/>
          <w:szCs w:val="18"/>
          <w:u w:val="single" w:color="auto"/>
          <w:color w:val="auto"/>
        </w:rPr>
        <w:t>Confidential Information</w:t>
      </w:r>
      <w:r>
        <w:rPr>
          <w:rFonts w:ascii="Times New Roman" w:cs="Times New Roman" w:eastAsia="Times New Roman" w:hAnsi="Times New Roman"/>
          <w:sz w:val="18"/>
          <w:szCs w:val="18"/>
          <w:color w:val="auto"/>
        </w:rPr>
        <w:t>” shall mean all materials, trade secrets or other information, including, without limitation, proprietary information and materials regarding a Party’s technology, products, business information and objectives, financial information, forecasts, strategies, projections, licenses, agreements and analyses which the Disclosing Party provides to the Receiving Party, whether or not marked, designated, or otherwise identified as “confidential” or “proprietary.” The term Confidential Information shall not include information that: (i) is or becomes generally available to the public other than as a result of a disclosure by the Receiving Party in breach of this Agreement; (ii) was already known by the Receiving Party or its Representatives (as hereinafter defined) prior to its receiving such information from the Disclosing Party; (iii) is received by or available to the Receiving Party or its Representatives on a non-confidential basis from a source other than the Disclosing Party that is not, to Receiving Party’s knowledge, prohibited from disclosing such information; (iv) is independently developed by the Receiving Party or its Representatives without reference to the Disclosing Party’s Confidential Information; or (v) is disclosed by the Disclosing Party to a third party without restriction.</w:t>
      </w:r>
    </w:p>
    <w:p>
      <w:pPr>
        <w:spacing w:after="0" w:line="188" w:lineRule="exact"/>
        <w:rPr>
          <w:rFonts w:ascii="Times New Roman" w:cs="Times New Roman" w:eastAsia="Times New Roman" w:hAnsi="Times New Roman"/>
          <w:sz w:val="18"/>
          <w:szCs w:val="18"/>
          <w:color w:val="auto"/>
        </w:rPr>
      </w:pPr>
    </w:p>
    <w:p>
      <w:pPr>
        <w:jc w:val="both"/>
        <w:ind w:firstLine="8"/>
        <w:spacing w:after="0" w:line="266" w:lineRule="auto"/>
        <w:tabs>
          <w:tab w:leader="none" w:pos="71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Confidentialit</w:t>
      </w:r>
      <w:r>
        <w:rPr>
          <w:rFonts w:ascii="Times New Roman" w:cs="Times New Roman" w:eastAsia="Times New Roman" w:hAnsi="Times New Roman"/>
          <w:sz w:val="18"/>
          <w:szCs w:val="18"/>
          <w:color w:val="auto"/>
        </w:rPr>
        <w:t>y. The Receiving Party shall not at any time during the term of this Agreement (i) use the Confidential Information for any purpose other than for the purposes of evaluating, discussing and/or negotiating a potential business relationship between the Parties and/or their affiliates or (ii) disclose the Confidential Information to any third party, except:</w:t>
      </w:r>
    </w:p>
    <w:p>
      <w:pPr>
        <w:spacing w:after="0" w:line="17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the prior written consent of the Disclosing Party;</w:t>
      </w:r>
    </w:p>
    <w:p>
      <w:pPr>
        <w:spacing w:after="0" w:line="22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governmental or regulatory body having jurisdiction and specifically requiring such disclosure; provided however, that the Receiving Party provides reasonable advanced notice to the Disclosing Party (where permissible) and makes reasonable efforts to provide for the confidentiality of the disclosure;</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56" w:lineRule="auto"/>
        <w:tabs>
          <w:tab w:leader="none" w:pos="98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response to a valid subpoena, discovery request, or as otherwise may be required by law, regulation or court order, subject (where permissible) to a protective order; provided however, to the extent permissible and commercially reasonable, that any production under a protective order would be protected under an “Outside Attorneys Eyes Only” or higher confidentiality designation; provided further that if the Disclosing Party files a motion seeking a protective order from a court against the disclosure of such documents or other information to a third party, and provides notice to the Receiving Party of such motion, the Receiving Party shall refrain from disclosing the subject documents and information pending an order from the court, unless it is otherwise required by the court to do so;</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Exhibit B – Page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6" w:name="page27"/>
    <w:bookmarkEnd w:id="26"/>
    <w:p>
      <w:pPr>
        <w:jc w:val="both"/>
        <w:ind w:left="980" w:hanging="324"/>
        <w:spacing w:after="0" w:line="266" w:lineRule="auto"/>
        <w:tabs>
          <w:tab w:leader="none" w:pos="98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the Securities and Exchange Act of 1934, as amended, the Securities Act of 1933, as amended, and any other reports filed with the Securities and Exchange Commission or any stock exchange rule, or any other filings, reports or disclosures that may be required under applicable law, regulations or rules; or</w:t>
      </w:r>
    </w:p>
    <w:p>
      <w:pPr>
        <w:spacing w:after="0" w:line="175" w:lineRule="exact"/>
        <w:rPr>
          <w:rFonts w:ascii="Times New Roman" w:cs="Times New Roman" w:eastAsia="Times New Roman" w:hAnsi="Times New Roman"/>
          <w:sz w:val="18"/>
          <w:szCs w:val="18"/>
          <w:color w:val="auto"/>
        </w:rPr>
      </w:pPr>
    </w:p>
    <w:p>
      <w:pPr>
        <w:jc w:val="both"/>
        <w:ind w:left="980" w:right="20" w:hanging="324"/>
        <w:spacing w:after="0" w:line="266" w:lineRule="auto"/>
        <w:tabs>
          <w:tab w:leader="none" w:pos="98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Receiving Party’s affiliates and its and their respective directors, officers, members, managers, employees, accountants, legal counsel, auditors, tax advisors, indemnitors, and other financial, legal and other professional advisors (collectively, “Representatives”), subject to obligations of confidentiality and/or privilege at least as stringent as those contained herein.</w:t>
      </w:r>
    </w:p>
    <w:p>
      <w:pPr>
        <w:spacing w:after="0" w:line="175" w:lineRule="exact"/>
        <w:rPr>
          <w:rFonts w:ascii="Times New Roman" w:cs="Times New Roman" w:eastAsia="Times New Roman" w:hAnsi="Times New Roman"/>
          <w:sz w:val="18"/>
          <w:szCs w:val="18"/>
          <w:color w:val="auto"/>
        </w:rPr>
      </w:pPr>
    </w:p>
    <w:p>
      <w:pPr>
        <w:jc w:val="both"/>
        <w:ind w:firstLine="8"/>
        <w:spacing w:after="0" w:line="266" w:lineRule="auto"/>
        <w:tabs>
          <w:tab w:leader="none" w:pos="71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Further Business Obli</w:t>
      </w:r>
      <w:r>
        <w:rPr>
          <w:rFonts w:ascii="Times New Roman" w:cs="Times New Roman" w:eastAsia="Times New Roman" w:hAnsi="Times New Roman"/>
          <w:sz w:val="18"/>
          <w:szCs w:val="18"/>
          <w:color w:val="auto"/>
        </w:rPr>
        <w:t>g</w:t>
      </w:r>
      <w:r>
        <w:rPr>
          <w:rFonts w:ascii="Times New Roman" w:cs="Times New Roman" w:eastAsia="Times New Roman" w:hAnsi="Times New Roman"/>
          <w:sz w:val="18"/>
          <w:szCs w:val="18"/>
          <w:u w:val="single" w:color="auto"/>
          <w:color w:val="auto"/>
        </w:rPr>
        <w:t>ations</w:t>
      </w:r>
      <w:r>
        <w:rPr>
          <w:rFonts w:ascii="Times New Roman" w:cs="Times New Roman" w:eastAsia="Times New Roman" w:hAnsi="Times New Roman"/>
          <w:sz w:val="18"/>
          <w:szCs w:val="18"/>
          <w:color w:val="auto"/>
        </w:rPr>
        <w:t>. The Parties agree that neither Party shall be under any legal obligation of any kind whatsoever, or otherwise be obligated to enter any business or contractual relationship, investment, or transaction, by virtue of this Agreement, except for the matters specifically agreed to herein. Either Party may, at any time, at its sole discretion with or without cause, terminate discussions and negotiations with the other Party.</w:t>
      </w:r>
    </w:p>
    <w:p>
      <w:pPr>
        <w:spacing w:after="0" w:line="175" w:lineRule="exact"/>
        <w:rPr>
          <w:rFonts w:ascii="Times New Roman" w:cs="Times New Roman" w:eastAsia="Times New Roman" w:hAnsi="Times New Roman"/>
          <w:sz w:val="18"/>
          <w:szCs w:val="18"/>
          <w:color w:val="auto"/>
        </w:rPr>
      </w:pPr>
    </w:p>
    <w:p>
      <w:pPr>
        <w:jc w:val="both"/>
        <w:ind w:firstLine="8"/>
        <w:spacing w:after="0" w:line="256" w:lineRule="auto"/>
        <w:tabs>
          <w:tab w:leader="none" w:pos="742"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Securities Compliance</w:t>
      </w:r>
      <w:r>
        <w:rPr>
          <w:rFonts w:ascii="Times New Roman" w:cs="Times New Roman" w:eastAsia="Times New Roman" w:hAnsi="Times New Roman"/>
          <w:sz w:val="18"/>
          <w:szCs w:val="18"/>
          <w:color w:val="auto"/>
        </w:rPr>
        <w:t>. The Parties hereby acknowledge that the Confidential Information it receives pursuant to this Agreement may constitute material non-public information within the meaning of Regulation FD (“</w:t>
      </w:r>
      <w:r>
        <w:rPr>
          <w:rFonts w:ascii="Times New Roman" w:cs="Times New Roman" w:eastAsia="Times New Roman" w:hAnsi="Times New Roman"/>
          <w:sz w:val="18"/>
          <w:szCs w:val="18"/>
          <w:u w:val="single" w:color="auto"/>
          <w:color w:val="auto"/>
        </w:rPr>
        <w:t>Regulation FD</w:t>
      </w:r>
      <w:r>
        <w:rPr>
          <w:rFonts w:ascii="Times New Roman" w:cs="Times New Roman" w:eastAsia="Times New Roman" w:hAnsi="Times New Roman"/>
          <w:sz w:val="18"/>
          <w:szCs w:val="18"/>
          <w:color w:val="auto"/>
        </w:rPr>
        <w:t>”) promulgated by the United States Securities and Exchange Commission. The Parties hereby acknowledge that they are aware and that they will advise their representatives that the federal and state securities laws, including Regulation FD, may restrict any person who has material, non- public information about a company from purchasing or selling securities of such company (including entering into hedge transactions involving such securities) or from communicating such information to any other person under circumstances in which it is reasonably foreseeable that such person is likely to purchase or sell such securities.</w:t>
      </w:r>
    </w:p>
    <w:p>
      <w:pPr>
        <w:spacing w:after="0" w:line="187" w:lineRule="exact"/>
        <w:rPr>
          <w:rFonts w:ascii="Times New Roman" w:cs="Times New Roman" w:eastAsia="Times New Roman" w:hAnsi="Times New Roman"/>
          <w:sz w:val="18"/>
          <w:szCs w:val="18"/>
          <w:color w:val="auto"/>
        </w:rPr>
      </w:pPr>
    </w:p>
    <w:p>
      <w:pPr>
        <w:jc w:val="both"/>
        <w:ind w:firstLine="8"/>
        <w:spacing w:after="0" w:line="258" w:lineRule="auto"/>
        <w:tabs>
          <w:tab w:leader="none" w:pos="742"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w:t>
      </w:r>
      <w:r>
        <w:rPr>
          <w:rFonts w:ascii="Times New Roman" w:cs="Times New Roman" w:eastAsia="Times New Roman" w:hAnsi="Times New Roman"/>
          <w:sz w:val="18"/>
          <w:szCs w:val="18"/>
          <w:color w:val="auto"/>
        </w:rPr>
        <w:t>. This Agreement shall be effective as of the Effective Date and shall remain in effect until the earlier of (i) one (1) year from the Effective Date or (ii) a definitive agreement is entered into between the parties hereto which governs the treatment of the Confidential Information. Notwithstanding the foregoing, in the case of termination/expiration pursuant to clause (i) hereof, with respect to any and all trade secrets of the Disclosing Party, the Receiving Party’s confidentiality obligations shall survive the expiration or termination of this Agreement for as long as such Confidential Information qualifies as a trade secret under applicable federal, state and/or local law.</w:t>
      </w:r>
    </w:p>
    <w:p>
      <w:pPr>
        <w:spacing w:after="0" w:line="183" w:lineRule="exact"/>
        <w:rPr>
          <w:rFonts w:ascii="Times New Roman" w:cs="Times New Roman" w:eastAsia="Times New Roman" w:hAnsi="Times New Roman"/>
          <w:sz w:val="18"/>
          <w:szCs w:val="18"/>
          <w:color w:val="auto"/>
        </w:rPr>
      </w:pPr>
    </w:p>
    <w:p>
      <w:pPr>
        <w:jc w:val="both"/>
        <w:ind w:firstLine="8"/>
        <w:spacing w:after="0" w:line="261" w:lineRule="auto"/>
        <w:tabs>
          <w:tab w:leader="none" w:pos="551"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 No Representations or Warranties</w:t>
      </w:r>
      <w:r>
        <w:rPr>
          <w:rFonts w:ascii="Times New Roman" w:cs="Times New Roman" w:eastAsia="Times New Roman" w:hAnsi="Times New Roman"/>
          <w:sz w:val="18"/>
          <w:szCs w:val="18"/>
          <w:color w:val="auto"/>
        </w:rPr>
        <w:t>.   The Disclosing Party makes no representation or warranty, express or implied, as to the accuracy or completeness of the Confidential Information disclosed to the Receiving Party under this Agreement. The Disclosing Party or its representatives shall not be liable to the Receiving Party or its representatives relating to or resulting from the Receiving Party’s use of any of the Information or any errors therein or omissions therefrom.</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Exhibit B – Page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7" w:name="page28"/>
    <w:bookmarkEnd w:id="27"/>
    <w:p>
      <w:pPr>
        <w:ind w:firstLine="8"/>
        <w:spacing w:after="0" w:line="282" w:lineRule="auto"/>
        <w:tabs>
          <w:tab w:leader="none" w:pos="909"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Equitable Remedies</w:t>
      </w:r>
      <w:r>
        <w:rPr>
          <w:rFonts w:ascii="Times New Roman" w:cs="Times New Roman" w:eastAsia="Times New Roman" w:hAnsi="Times New Roman"/>
          <w:sz w:val="18"/>
          <w:szCs w:val="18"/>
          <w:color w:val="auto"/>
        </w:rPr>
        <w:t>. In the event of any actual or threatened breach by the Receiving Party of this Agreement, the Disclosing Party will be entitled to seek immediate injunctive and other equitable relief.</w:t>
      </w:r>
    </w:p>
    <w:p>
      <w:pPr>
        <w:spacing w:after="0" w:line="161" w:lineRule="exact"/>
        <w:rPr>
          <w:rFonts w:ascii="Times New Roman" w:cs="Times New Roman" w:eastAsia="Times New Roman" w:hAnsi="Times New Roman"/>
          <w:sz w:val="18"/>
          <w:szCs w:val="18"/>
          <w:color w:val="auto"/>
        </w:rPr>
      </w:pPr>
    </w:p>
    <w:p>
      <w:pPr>
        <w:jc w:val="both"/>
        <w:ind w:firstLine="8"/>
        <w:spacing w:after="0" w:line="257" w:lineRule="auto"/>
        <w:tabs>
          <w:tab w:leader="none" w:pos="787"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Return of Informatio</w:t>
      </w:r>
      <w:r>
        <w:rPr>
          <w:rFonts w:ascii="Times New Roman" w:cs="Times New Roman" w:eastAsia="Times New Roman" w:hAnsi="Times New Roman"/>
          <w:sz w:val="18"/>
          <w:szCs w:val="18"/>
          <w:color w:val="auto"/>
        </w:rPr>
        <w:t>n. The Receiving Party will return or destroy all tangible material embodying Confidential Information at any such time as the Disclosing Party may so request. Notwithstanding the foregoing, Receiving Party (x) shall not be obligated to delete copies of emails or instant messages located on back-up tapes and similar storage mediums containing Confidential Information, (y) may retain copies of Confidential Information</w:t>
      </w:r>
    </w:p>
    <w:p>
      <w:pPr>
        <w:spacing w:after="0" w:line="1" w:lineRule="exact"/>
        <w:rPr>
          <w:rFonts w:ascii="Times New Roman" w:cs="Times New Roman" w:eastAsia="Times New Roman" w:hAnsi="Times New Roman"/>
          <w:sz w:val="18"/>
          <w:szCs w:val="18"/>
          <w:color w:val="auto"/>
        </w:rPr>
      </w:pPr>
    </w:p>
    <w:p>
      <w:pPr>
        <w:jc w:val="both"/>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to the extent required by the laws, rules and regulations of any governmental agency or self-regulatory organization to which the Receiving Party (or its affiliates) are subject, including without limitation, FINRA and the Securities and Exchange Commission, and/or (ii) in accordance with Receiving Party’s established internal compliance or document retention policies, and (z) may keep notes of what Confidential Information was provided for the sole purpose of any dispute that may arise under this Agreement; provided, however, that any Confidential Information retained and/or disclosed shall be subject to the terms and conditions of this Agreement.</w:t>
      </w:r>
    </w:p>
    <w:p>
      <w:pPr>
        <w:spacing w:after="0" w:line="186" w:lineRule="exact"/>
        <w:rPr>
          <w:rFonts w:ascii="Times New Roman" w:cs="Times New Roman" w:eastAsia="Times New Roman" w:hAnsi="Times New Roman"/>
          <w:sz w:val="18"/>
          <w:szCs w:val="18"/>
          <w:color w:val="auto"/>
        </w:rPr>
      </w:pPr>
    </w:p>
    <w:p>
      <w:pPr>
        <w:jc w:val="both"/>
        <w:ind w:firstLine="8"/>
        <w:spacing w:after="0" w:line="253" w:lineRule="auto"/>
        <w:tabs>
          <w:tab w:leader="none" w:pos="747"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w:t>
      </w:r>
      <w:r>
        <w:rPr>
          <w:rFonts w:ascii="Times New Roman" w:cs="Times New Roman" w:eastAsia="Times New Roman" w:hAnsi="Times New Roman"/>
          <w:sz w:val="18"/>
          <w:szCs w:val="18"/>
          <w:color w:val="auto"/>
        </w:rPr>
        <w:t>. Any notices or other communications required or permitted to be given under the terms of this Agreement must be in writing and will be deemed to have been delivered: (i) upon receipt, when delivered personally; (ii) upon receipt, when sent by facsimile (provided confirmation of transmission is mechanically or electronically generated and kept on file by the sending party); or (iii) one (1) business day after deposit with an overnight courier service with next day delivery specified, in each case, properly addressed to the party to receive the same. The addresses and facsimile numbers for such communications shall be as set forth on the signature page hereto, or to such other address and/or facsimile number /or to the attention of such other Person as the recipient party has specified by written notice given to each other party five (5) days prior to the effectiveness of such change. Written confirmation of receipt (A) given by the recipient of such notice, consent, waiver or other communication, (B) mechanically or electronically generated by the sender’s facsimile machine containing the time, date, recipient facsimile number and an image of the first page of such transmission or (C) provided by an overnight courier service shall be rebuttable evidence of personal service, receipt by facsimile or receipt from an overnight courier service in accordance with clause (i), (ii) or (iii) above, respectively.</w:t>
      </w:r>
    </w:p>
    <w:p>
      <w:pPr>
        <w:spacing w:after="0" w:line="194" w:lineRule="exact"/>
        <w:rPr>
          <w:rFonts w:ascii="Times New Roman" w:cs="Times New Roman" w:eastAsia="Times New Roman" w:hAnsi="Times New Roman"/>
          <w:sz w:val="18"/>
          <w:szCs w:val="18"/>
          <w:color w:val="auto"/>
        </w:rPr>
      </w:pPr>
    </w:p>
    <w:p>
      <w:pPr>
        <w:jc w:val="both"/>
        <w:ind w:firstLine="8"/>
        <w:spacing w:after="0" w:line="266" w:lineRule="auto"/>
        <w:tabs>
          <w:tab w:leader="none" w:pos="76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Choice of Law and Forum.</w:t>
      </w:r>
      <w:r>
        <w:rPr>
          <w:rFonts w:ascii="Times New Roman" w:cs="Times New Roman" w:eastAsia="Times New Roman" w:hAnsi="Times New Roman"/>
          <w:sz w:val="18"/>
          <w:szCs w:val="18"/>
          <w:color w:val="auto"/>
        </w:rPr>
        <w:t xml:space="preserve"> This Agreement is made under, and shall be construed according to, the laws of the State of New York without regard to its conflicts of laws principles. Each party irrevocably consents to the exclusive jurisdiction of the federal and/or local courts located in the State of New York, County of New York in connection with any action regarding this Agreement.</w:t>
      </w:r>
    </w:p>
    <w:p>
      <w:pPr>
        <w:spacing w:after="0" w:line="175" w:lineRule="exact"/>
        <w:rPr>
          <w:rFonts w:ascii="Times New Roman" w:cs="Times New Roman" w:eastAsia="Times New Roman" w:hAnsi="Times New Roman"/>
          <w:sz w:val="18"/>
          <w:szCs w:val="18"/>
          <w:color w:val="auto"/>
        </w:rPr>
      </w:pPr>
    </w:p>
    <w:p>
      <w:pPr>
        <w:jc w:val="both"/>
        <w:ind w:firstLine="8"/>
        <w:spacing w:after="0" w:line="266" w:lineRule="auto"/>
        <w:tabs>
          <w:tab w:leader="none" w:pos="9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Entire A</w:t>
      </w:r>
      <w:r>
        <w:rPr>
          <w:rFonts w:ascii="Times New Roman" w:cs="Times New Roman" w:eastAsia="Times New Roman" w:hAnsi="Times New Roman"/>
          <w:sz w:val="18"/>
          <w:szCs w:val="18"/>
          <w:color w:val="auto"/>
        </w:rPr>
        <w:t>g</w:t>
      </w:r>
      <w:r>
        <w:rPr>
          <w:rFonts w:ascii="Times New Roman" w:cs="Times New Roman" w:eastAsia="Times New Roman" w:hAnsi="Times New Roman"/>
          <w:sz w:val="18"/>
          <w:szCs w:val="18"/>
          <w:u w:val="single" w:color="auto"/>
          <w:color w:val="auto"/>
        </w:rPr>
        <w:t>reement.</w:t>
      </w:r>
      <w:r>
        <w:rPr>
          <w:rFonts w:ascii="Times New Roman" w:cs="Times New Roman" w:eastAsia="Times New Roman" w:hAnsi="Times New Roman"/>
          <w:sz w:val="18"/>
          <w:szCs w:val="18"/>
          <w:color w:val="auto"/>
        </w:rPr>
        <w:t xml:space="preserve"> This Agreement constitutes the entire agreement between the parties relating to the subject matter contained herein and terminates and supersedes all prior or contemporaneous representations, promises, warranties, covenants, undertakings, discussions, negotiations, and agreements, whether written or oral, other than those expressly contained in this Agreement.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Exhibit B – Page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8" w:name="page29"/>
    <w:bookmarkEnd w:id="28"/>
    <w:p>
      <w:pPr>
        <w:jc w:val="both"/>
        <w:ind w:left="-8" w:firstLine="8"/>
        <w:spacing w:after="0" w:line="258" w:lineRule="auto"/>
        <w:tabs>
          <w:tab w:leader="none" w:pos="869"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executed in counterparts, each of which shall be deemed an original, but all of which together shall constitute one and the same instrument. In the event that any signature is delivered by facsimile transmission or by an e- mail which contains a portable document format (.pdf) file of an executed signature page, such signature page shall create a valid and binding obligation of the party executing (or on whose behalf such signature is executed) with the same force and effect as if such signature page were an original thereof. A facsimile or electronic copy of an executed counterpart shall be valid and have the same force and effect as an original.</w:t>
      </w:r>
    </w:p>
    <w:p>
      <w:pPr>
        <w:spacing w:after="0" w:line="183" w:lineRule="exact"/>
        <w:rPr>
          <w:rFonts w:ascii="Times New Roman" w:cs="Times New Roman" w:eastAsia="Times New Roman" w:hAnsi="Times New Roman"/>
          <w:sz w:val="18"/>
          <w:szCs w:val="18"/>
          <w:color w:val="auto"/>
        </w:rPr>
      </w:pPr>
    </w:p>
    <w:p>
      <w:pPr>
        <w:jc w:val="both"/>
        <w:ind w:left="-8" w:firstLine="8"/>
        <w:spacing w:after="0" w:line="256" w:lineRule="auto"/>
        <w:tabs>
          <w:tab w:leader="none" w:pos="766"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Chan</w:t>
      </w:r>
      <w:r>
        <w:rPr>
          <w:rFonts w:ascii="Times New Roman" w:cs="Times New Roman" w:eastAsia="Times New Roman" w:hAnsi="Times New Roman"/>
          <w:sz w:val="18"/>
          <w:szCs w:val="18"/>
          <w:color w:val="auto"/>
        </w:rPr>
        <w:t>g</w:t>
      </w:r>
      <w:r>
        <w:rPr>
          <w:rFonts w:ascii="Times New Roman" w:cs="Times New Roman" w:eastAsia="Times New Roman" w:hAnsi="Times New Roman"/>
          <w:sz w:val="18"/>
          <w:szCs w:val="18"/>
          <w:u w:val="single" w:color="auto"/>
          <w:color w:val="auto"/>
        </w:rPr>
        <w:t>es to the A</w:t>
      </w:r>
      <w:r>
        <w:rPr>
          <w:rFonts w:ascii="Times New Roman" w:cs="Times New Roman" w:eastAsia="Times New Roman" w:hAnsi="Times New Roman"/>
          <w:sz w:val="18"/>
          <w:szCs w:val="18"/>
          <w:color w:val="auto"/>
        </w:rPr>
        <w:t>g</w:t>
      </w:r>
      <w:r>
        <w:rPr>
          <w:rFonts w:ascii="Times New Roman" w:cs="Times New Roman" w:eastAsia="Times New Roman" w:hAnsi="Times New Roman"/>
          <w:sz w:val="18"/>
          <w:szCs w:val="18"/>
          <w:u w:val="single" w:color="auto"/>
          <w:color w:val="auto"/>
        </w:rPr>
        <w:t>reement</w:t>
      </w:r>
      <w:r>
        <w:rPr>
          <w:rFonts w:ascii="Times New Roman" w:cs="Times New Roman" w:eastAsia="Times New Roman" w:hAnsi="Times New Roman"/>
          <w:sz w:val="18"/>
          <w:szCs w:val="18"/>
          <w:color w:val="auto"/>
        </w:rPr>
        <w:t>. This Agreement cannot be changed or terminated orally, and none of the terms hereof shall be deemed to be waived or modified except by an express agreement in writing signed by the party against whom such waiver or modification is sought to be enforced. Neither party shall assign or transfer any rights or obligations under this Agreement (including by operation of law) without the prior written consent of the other party. The provisions of this Agreement are severable, and if any clause or provision shall be held invalid or unenforceable, in whole or in part, the remaining terms and provisions shall be unimpaired and the unenforceable term or provision shall be replaced by such enforceable term or provision as comes closest to the intention underlying the unenforceable term or provision.</w:t>
      </w:r>
    </w:p>
    <w:p>
      <w:pPr>
        <w:spacing w:after="0" w:line="200" w:lineRule="exact"/>
        <w:rPr>
          <w:sz w:val="20"/>
          <w:szCs w:val="20"/>
          <w:color w:val="auto"/>
        </w:rPr>
      </w:pPr>
    </w:p>
    <w:p>
      <w:pPr>
        <w:spacing w:after="0" w:line="203"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Exhibit B – Page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13232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32"/>
          </w:cols>
          <w:pgMar w:left="328" w:top="904" w:right="339" w:bottom="1440" w:gutter="0" w:footer="0" w:header="0"/>
        </w:sectPr>
      </w:pPr>
    </w:p>
    <w:bookmarkStart w:id="29" w:name="page30"/>
    <w:bookmarkEnd w:id="29"/>
    <w:p>
      <w:pPr>
        <w:jc w:val="center"/>
        <w:ind w:right="-20"/>
        <w:spacing w:after="0"/>
        <w:rPr>
          <w:sz w:val="20"/>
          <w:szCs w:val="20"/>
          <w:color w:val="auto"/>
        </w:rPr>
      </w:pPr>
      <w:r>
        <w:rPr>
          <w:rFonts w:ascii="Times New Roman" w:cs="Times New Roman" w:eastAsia="Times New Roman" w:hAnsi="Times New Roman"/>
          <w:sz w:val="17"/>
          <w:szCs w:val="17"/>
          <w:color w:val="auto"/>
        </w:rPr>
        <w:t>IN WITNESS WHEREOF, the Parties have caused this Agreement to be executed by their duly authorized representatives.</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XWELL, INC.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17145</wp:posOffset>
            </wp:positionV>
            <wp:extent cx="330898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254 West 31st Street, 11th Floor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NY 10001</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17145</wp:posOffset>
            </wp:positionV>
            <wp:extent cx="312864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128645"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Individual: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-1905</wp:posOffset>
            </wp:positionV>
            <wp:extent cx="312864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128645" cy="8255"/>
                    </a:xfrm>
                    <a:prstGeom prst="rect">
                      <a:avLst/>
                    </a:prstGeom>
                    <a:noFill/>
                  </pic:spPr>
                </pic:pic>
              </a:graphicData>
            </a:graphic>
          </wp:anchor>
        </w:drawing>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17145</wp:posOffset>
            </wp:positionV>
            <wp:extent cx="312864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128645"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14605</wp:posOffset>
            </wp:positionV>
            <wp:extent cx="312864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128645"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14605</wp:posOffset>
            </wp:positionV>
            <wp:extent cx="312864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128645"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14605</wp:posOffset>
            </wp:positionV>
            <wp:extent cx="312864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128645"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Telephone: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14605</wp:posOffset>
            </wp:positionV>
            <wp:extent cx="312864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128645"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Facsimile: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14605</wp:posOffset>
            </wp:positionV>
            <wp:extent cx="312864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12864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14605</wp:posOffset>
            </wp:positionV>
            <wp:extent cx="312864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128645"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14605</wp:posOffset>
            </wp:positionV>
            <wp:extent cx="312864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128645" cy="8890"/>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904" w:right="1440" w:bottom="1440" w:gutter="0" w:footer="0" w:header="0"/>
        </w:sectPr>
      </w:pPr>
    </w:p>
    <w:bookmarkStart w:id="30" w:name="page31"/>
    <w:bookmarkEnd w:id="30"/>
    <w:p>
      <w:pPr>
        <w:jc w:val="center"/>
        <w:spacing w:after="0"/>
        <w:rPr>
          <w:sz w:val="20"/>
          <w:szCs w:val="20"/>
          <w:color w:val="auto"/>
        </w:rPr>
      </w:pPr>
      <w:r>
        <w:rPr>
          <w:rFonts w:ascii="Times New Roman" w:cs="Times New Roman" w:eastAsia="Times New Roman" w:hAnsi="Times New Roman"/>
          <w:sz w:val="18"/>
          <w:szCs w:val="18"/>
          <w:b w:val="1"/>
          <w:bCs w:val="1"/>
          <w:color w:val="auto"/>
        </w:rPr>
        <w:t>EXHIBIT C</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FORM OF SEPARATION AGREEMENT RELEASE</w:t>
      </w:r>
      <w:r>
        <w:rPr>
          <w:rFonts w:ascii="Times New Roman" w:cs="Times New Roman" w:eastAsia="Times New Roman" w:hAnsi="Times New Roman"/>
          <w:sz w:val="29"/>
          <w:szCs w:val="29"/>
          <w:b w:val="1"/>
          <w:bCs w:val="1"/>
          <w:color w:val="auto"/>
          <w:vertAlign w:val="superscript"/>
        </w:rPr>
        <w:t>1</w:t>
      </w:r>
    </w:p>
    <w:p>
      <w:pPr>
        <w:spacing w:after="0" w:line="139" w:lineRule="exact"/>
        <w:rPr>
          <w:sz w:val="20"/>
          <w:szCs w:val="20"/>
          <w:color w:val="auto"/>
        </w:rPr>
      </w:pPr>
    </w:p>
    <w:p>
      <w:pPr>
        <w:ind w:left="680" w:hanging="672"/>
        <w:spacing w:after="0"/>
        <w:tabs>
          <w:tab w:leader="none" w:pos="6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of Employment</w:t>
      </w:r>
      <w:r>
        <w:rPr>
          <w:rFonts w:ascii="Times New Roman" w:cs="Times New Roman" w:eastAsia="Times New Roman" w:hAnsi="Times New Roman"/>
          <w:sz w:val="18"/>
          <w:szCs w:val="18"/>
          <w:color w:val="auto"/>
        </w:rPr>
        <w:t>. My employment with XWELL, Inc.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terminated effective as of ________________________.</w:t>
      </w:r>
    </w:p>
    <w:p>
      <w:pPr>
        <w:spacing w:after="0" w:line="225" w:lineRule="exact"/>
        <w:rPr>
          <w:rFonts w:ascii="Times New Roman" w:cs="Times New Roman" w:eastAsia="Times New Roman" w:hAnsi="Times New Roman"/>
          <w:sz w:val="18"/>
          <w:szCs w:val="18"/>
          <w:color w:val="auto"/>
        </w:rPr>
      </w:pPr>
    </w:p>
    <w:p>
      <w:pPr>
        <w:jc w:val="both"/>
        <w:ind w:firstLine="8"/>
        <w:spacing w:after="0" w:line="266" w:lineRule="auto"/>
        <w:tabs>
          <w:tab w:leader="none" w:pos="688"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Consideration</w:t>
      </w:r>
      <w:r>
        <w:rPr>
          <w:rFonts w:ascii="Times New Roman" w:cs="Times New Roman" w:eastAsia="Times New Roman" w:hAnsi="Times New Roman"/>
          <w:sz w:val="18"/>
          <w:szCs w:val="18"/>
          <w:color w:val="auto"/>
        </w:rPr>
        <w:t>. I understand that in consideration for my execution of this Release (the “</w:t>
      </w:r>
      <w:r>
        <w:rPr>
          <w:rFonts w:ascii="Times New Roman" w:cs="Times New Roman" w:eastAsia="Times New Roman" w:hAnsi="Times New Roman"/>
          <w:sz w:val="18"/>
          <w:szCs w:val="18"/>
          <w:u w:val="single" w:color="auto"/>
          <w:color w:val="auto"/>
        </w:rPr>
        <w:t>Release</w:t>
      </w:r>
      <w:r>
        <w:rPr>
          <w:rFonts w:ascii="Times New Roman" w:cs="Times New Roman" w:eastAsia="Times New Roman" w:hAnsi="Times New Roman"/>
          <w:sz w:val="18"/>
          <w:szCs w:val="18"/>
          <w:color w:val="auto"/>
        </w:rPr>
        <w:t>”), and my fulfillment of the promises made in the Employment Agreement between Company and me dated as of ___________, 2024 (the “</w:t>
      </w:r>
      <w:r>
        <w:rPr>
          <w:rFonts w:ascii="Times New Roman" w:cs="Times New Roman" w:eastAsia="Times New Roman" w:hAnsi="Times New Roman"/>
          <w:sz w:val="18"/>
          <w:szCs w:val="18"/>
          <w:u w:val="single" w:color="auto"/>
          <w:color w:val="auto"/>
        </w:rPr>
        <w:t>Employment Agreement</w:t>
      </w:r>
      <w:r>
        <w:rPr>
          <w:rFonts w:ascii="Times New Roman" w:cs="Times New Roman" w:eastAsia="Times New Roman" w:hAnsi="Times New Roman"/>
          <w:sz w:val="18"/>
          <w:szCs w:val="18"/>
          <w:color w:val="auto"/>
        </w:rPr>
        <w:t>”), the Company agrees to provide me with the compensation and benefits set forth in the Employment Agreement.</w:t>
      </w:r>
    </w:p>
    <w:p>
      <w:pPr>
        <w:spacing w:after="0" w:line="175" w:lineRule="exact"/>
        <w:rPr>
          <w:rFonts w:ascii="Times New Roman" w:cs="Times New Roman" w:eastAsia="Times New Roman" w:hAnsi="Times New Roman"/>
          <w:sz w:val="18"/>
          <w:szCs w:val="18"/>
          <w:color w:val="auto"/>
        </w:rPr>
      </w:pPr>
    </w:p>
    <w:p>
      <w:pPr>
        <w:ind w:firstLine="8"/>
        <w:spacing w:after="0" w:line="282" w:lineRule="auto"/>
        <w:tabs>
          <w:tab w:leader="none" w:pos="837"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Conditions Applying to Payment of Benefits</w:t>
      </w:r>
      <w:r>
        <w:rPr>
          <w:rFonts w:ascii="Times New Roman" w:cs="Times New Roman" w:eastAsia="Times New Roman" w:hAnsi="Times New Roman"/>
          <w:sz w:val="18"/>
          <w:szCs w:val="18"/>
          <w:color w:val="auto"/>
        </w:rPr>
        <w:t xml:space="preserve">. I understand and agree that the compensation and benefits payable to me pursuant to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above are subject to my compliance with the terms and conditions set forth in this Separation Agreement and the Employment Agreement.</w:t>
      </w:r>
    </w:p>
    <w:p>
      <w:pPr>
        <w:spacing w:after="0" w:line="161" w:lineRule="exact"/>
        <w:rPr>
          <w:rFonts w:ascii="Times New Roman" w:cs="Times New Roman" w:eastAsia="Times New Roman" w:hAnsi="Times New Roman"/>
          <w:sz w:val="18"/>
          <w:szCs w:val="18"/>
          <w:color w:val="auto"/>
        </w:rPr>
      </w:pPr>
    </w:p>
    <w:p>
      <w:pPr>
        <w:jc w:val="both"/>
        <w:ind w:firstLine="8"/>
        <w:spacing w:after="0" w:line="252" w:lineRule="auto"/>
        <w:tabs>
          <w:tab w:leader="none" w:pos="85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General Release of Claims</w:t>
      </w:r>
      <w:r>
        <w:rPr>
          <w:rFonts w:ascii="Times New Roman" w:cs="Times New Roman" w:eastAsia="Times New Roman" w:hAnsi="Times New Roman"/>
          <w:sz w:val="18"/>
          <w:szCs w:val="18"/>
          <w:color w:val="auto"/>
        </w:rPr>
        <w:t xml:space="preserve">. I hereby voluntarily release Company, and its subsidiaries, partners, affiliates, owners, agents, officers, directors, employees, successors and assigns, and all related persons, individually and in their official capacities (hereinafter collectively referred to as the “Released Parties”), of and from any and all claims, known and unknown, relating to my employment or cessation of employment that I, my heirs, executors, administrators, successors, and assigns, have or may have as of the date of execution of this Release, including, but not limited to, any alleged violation of any of (a)The National Labor Relations Act; Title VII of the Civil Rights Act of 1964; Sections 1981 through 1988 of Title 42 of the United States Code; Civil Rights Act of 1991; The Employee Retirement Income Security Act of 1974 (“ERISA”); The Age Discrimination in Employment Act of 1967; The Americans with Disabilities Act of 1990; The Fair Credit Reporting Act; The Fair Labor Standards Act; The Occupational Safety and Health Act; The Family and Medical Leave Act of 1993; Executive Order 11246; The New York Equal Pay Law; The New York Human Rights Law; The New York Civil Rights Law; The New York State Wage and Hour Laws; The New York Labor Law, The New York Executive Law, The New York Occupational Safety and Health Laws, The New York City Administrative Code, The New York City Human Rights Law, and the New York City Earned Safe and Sick Time Act; including any amendment, consolidation or re-enactment of any of the foregoing, or (b) any other federal, state or local civil or human rights law or any other local, state or federal law, regulation or ordinance; (c) any public policy, contract, tort, or common law; or (d) any claims for vacation, sick or personal leave, pay or payment pursuant to any practice, policy, handbook, or manual of Company; or any allegation for costs, fees or other expenses including attorneys’ fees and expert’s fees incurred in these matters. Notwithstanding the foregoing, the release set forth in this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shall not apply to any vested employee benefits accrued by me prior to the effective date of this Release under any compensation or benefit plans, programs and arrangements maintained by Company for the benefit of its employees and subject to ERISA.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178308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0"/>
          <w:szCs w:val="20"/>
          <w:color w:val="auto"/>
        </w:rPr>
      </w:pPr>
    </w:p>
    <w:p>
      <w:pPr>
        <w:spacing w:after="0" w:line="366" w:lineRule="exact"/>
        <w:rPr>
          <w:sz w:val="20"/>
          <w:szCs w:val="20"/>
          <w:color w:val="auto"/>
        </w:rPr>
      </w:pPr>
    </w:p>
    <w:p>
      <w:pPr>
        <w:ind w:firstLine="8"/>
        <w:spacing w:after="0" w:line="195" w:lineRule="auto"/>
        <w:tabs>
          <w:tab w:leader="none" w:pos="128" w:val="left"/>
        </w:tabs>
        <w:numPr>
          <w:ilvl w:val="0"/>
          <w:numId w:val="38"/>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The Company reserves the right to modify this Release to the extent that the Company reasonably determines necessary or advisable to help ensure that this Release is enforceable to the fullest extent permissible under applicable law and to reflect the applicable circumstances and payments.</w:t>
      </w:r>
    </w:p>
    <w:p>
      <w:pPr>
        <w:spacing w:after="0" w:line="200" w:lineRule="exact"/>
        <w:rPr>
          <w:sz w:val="20"/>
          <w:szCs w:val="20"/>
          <w:color w:val="auto"/>
        </w:rPr>
      </w:pPr>
    </w:p>
    <w:p>
      <w:pPr>
        <w:spacing w:after="0" w:line="21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C-1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1" w:name="page32"/>
    <w:bookmarkEnd w:id="31"/>
    <w:p>
      <w:pPr>
        <w:ind w:firstLine="8"/>
        <w:spacing w:after="0" w:line="282" w:lineRule="auto"/>
        <w:tabs>
          <w:tab w:leader="none" w:pos="769"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Existing Claims</w:t>
      </w:r>
      <w:r>
        <w:rPr>
          <w:rFonts w:ascii="Times New Roman" w:cs="Times New Roman" w:eastAsia="Times New Roman" w:hAnsi="Times New Roman"/>
          <w:sz w:val="18"/>
          <w:szCs w:val="18"/>
          <w:color w:val="auto"/>
        </w:rPr>
        <w:t>. I confirm that no claim, charge, or complaint against the Released Parties exists before any federal, state, or local court or administrative agency.</w:t>
      </w:r>
    </w:p>
    <w:p>
      <w:pPr>
        <w:spacing w:after="0" w:line="161" w:lineRule="exact"/>
        <w:rPr>
          <w:rFonts w:ascii="Times New Roman" w:cs="Times New Roman" w:eastAsia="Times New Roman" w:hAnsi="Times New Roman"/>
          <w:sz w:val="18"/>
          <w:szCs w:val="18"/>
          <w:color w:val="auto"/>
        </w:rPr>
      </w:pPr>
    </w:p>
    <w:p>
      <w:pPr>
        <w:jc w:val="both"/>
        <w:ind w:firstLine="8"/>
        <w:spacing w:after="0" w:line="266" w:lineRule="auto"/>
        <w:tabs>
          <w:tab w:leader="none" w:pos="837"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Participation In Claims</w:t>
      </w:r>
      <w:r>
        <w:rPr>
          <w:rFonts w:ascii="Times New Roman" w:cs="Times New Roman" w:eastAsia="Times New Roman" w:hAnsi="Times New Roman"/>
          <w:sz w:val="18"/>
          <w:szCs w:val="18"/>
          <w:color w:val="auto"/>
        </w:rPr>
        <w:t>. I understand that if this Release were not signed, I would have the right to voluntarily assist other individuals in bringing claims against the Released Parties. I hereby waive that right and shall not provide any such assistance other than assistance in an investigation or proceeding conducted by an agency of the United States government.</w:t>
      </w:r>
    </w:p>
    <w:p>
      <w:pPr>
        <w:spacing w:after="0" w:line="175" w:lineRule="exact"/>
        <w:rPr>
          <w:rFonts w:ascii="Times New Roman" w:cs="Times New Roman" w:eastAsia="Times New Roman" w:hAnsi="Times New Roman"/>
          <w:sz w:val="18"/>
          <w:szCs w:val="18"/>
          <w:color w:val="auto"/>
        </w:rPr>
      </w:pPr>
    </w:p>
    <w:p>
      <w:pPr>
        <w:ind w:right="20" w:firstLine="8"/>
        <w:spacing w:after="0" w:line="282" w:lineRule="auto"/>
        <w:tabs>
          <w:tab w:leader="none" w:pos="877"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Non-admission of Wrongdoing</w:t>
      </w:r>
      <w:r>
        <w:rPr>
          <w:rFonts w:ascii="Times New Roman" w:cs="Times New Roman" w:eastAsia="Times New Roman" w:hAnsi="Times New Roman"/>
          <w:sz w:val="18"/>
          <w:szCs w:val="18"/>
          <w:color w:val="auto"/>
        </w:rPr>
        <w:t>. I agree that neither this Release nor the furnishing of the consideration for this Release shall be deemed or construed at any time for any purpose as an admission by the Released Parties of any liability or unlawful conduct of any kind.</w:t>
      </w:r>
    </w:p>
    <w:p>
      <w:pPr>
        <w:spacing w:after="0" w:line="161" w:lineRule="exact"/>
        <w:rPr>
          <w:rFonts w:ascii="Times New Roman" w:cs="Times New Roman" w:eastAsia="Times New Roman" w:hAnsi="Times New Roman"/>
          <w:sz w:val="18"/>
          <w:szCs w:val="18"/>
          <w:color w:val="auto"/>
        </w:rPr>
      </w:pPr>
    </w:p>
    <w:p>
      <w:pPr>
        <w:ind w:left="680" w:hanging="672"/>
        <w:spacing w:after="0"/>
        <w:tabs>
          <w:tab w:leader="none" w:pos="6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Covenants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656"/>
        <w:spacing w:after="0" w:line="261" w:lineRule="auto"/>
        <w:tabs>
          <w:tab w:leader="none" w:pos="1475"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shall abide by the provisions of the Mutual Non-Disclosure Agreement dated _____________ (the “</w:t>
      </w:r>
      <w:r>
        <w:rPr>
          <w:rFonts w:ascii="Times New Roman" w:cs="Times New Roman" w:eastAsia="Times New Roman" w:hAnsi="Times New Roman"/>
          <w:sz w:val="18"/>
          <w:szCs w:val="18"/>
          <w:u w:val="single" w:color="auto"/>
          <w:color w:val="auto"/>
        </w:rPr>
        <w:t>NDA</w:t>
      </w:r>
      <w:r>
        <w:rPr>
          <w:rFonts w:ascii="Times New Roman" w:cs="Times New Roman" w:eastAsia="Times New Roman" w:hAnsi="Times New Roman"/>
          <w:sz w:val="18"/>
          <w:szCs w:val="18"/>
          <w:color w:val="auto"/>
        </w:rPr>
        <w:t>”) the terms of which shall survive the signing of this Release. The term “Termination Date” as that term is used in the NDA shall be the date of this Release. Further, I agree that I will abide by any and all common law and/or statutory obligations relating to protection and non-disclosure of the Company’s trade secrets and/or confidential and proprietary documents and information.</w:t>
      </w:r>
    </w:p>
    <w:p>
      <w:pPr>
        <w:spacing w:after="0" w:line="179" w:lineRule="exact"/>
        <w:rPr>
          <w:rFonts w:ascii="Times New Roman" w:cs="Times New Roman" w:eastAsia="Times New Roman" w:hAnsi="Times New Roman"/>
          <w:sz w:val="18"/>
          <w:szCs w:val="18"/>
          <w:color w:val="auto"/>
        </w:rPr>
      </w:pPr>
    </w:p>
    <w:p>
      <w:pPr>
        <w:jc w:val="both"/>
        <w:ind w:firstLine="656"/>
        <w:spacing w:after="0" w:line="258" w:lineRule="auto"/>
        <w:tabs>
          <w:tab w:leader="none" w:pos="1509"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agree that all non-public information relating in any way to this Release, including the terms and amount of financial consideration provided for in this Release, shall be held confidential by me and shall not be publicized or disclosed to any person (other than an immediate family member, legal counsel or financial advisor, provided that any such individual to whom disclosure is made agrees to be bound by these confidentiality obligations), business entity or government agency (except as mandated by state or federal law), except that nothing in this paragraph shall prohibit me from participating in an investigation with a state or federal agency if requested by the agency to do so;</w:t>
      </w:r>
    </w:p>
    <w:p>
      <w:pPr>
        <w:spacing w:after="0" w:line="183" w:lineRule="exact"/>
        <w:rPr>
          <w:rFonts w:ascii="Times New Roman" w:cs="Times New Roman" w:eastAsia="Times New Roman" w:hAnsi="Times New Roman"/>
          <w:sz w:val="18"/>
          <w:szCs w:val="18"/>
          <w:color w:val="auto"/>
        </w:rPr>
      </w:pPr>
    </w:p>
    <w:p>
      <w:pPr>
        <w:jc w:val="both"/>
        <w:ind w:firstLine="656"/>
        <w:spacing w:after="0" w:line="261" w:lineRule="auto"/>
        <w:tabs>
          <w:tab w:leader="none" w:pos="1392"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will not make any statements that are professionally or personally disparaging about, or adverse to, the interests of the Released Parties including, but not limited to, any statements that disparage any person, service, finances, financial condition, capability or any other aspect of the business of the Company, and that I will not engage in any conduct which could reasonably be expected to harm professionally or personally the reputation of the Released Parties; and</w:t>
      </w:r>
    </w:p>
    <w:p>
      <w:pPr>
        <w:spacing w:after="0" w:line="179" w:lineRule="exact"/>
        <w:rPr>
          <w:rFonts w:ascii="Times New Roman" w:cs="Times New Roman" w:eastAsia="Times New Roman" w:hAnsi="Times New Roman"/>
          <w:sz w:val="18"/>
          <w:szCs w:val="18"/>
          <w:color w:val="auto"/>
        </w:rPr>
      </w:pPr>
    </w:p>
    <w:p>
      <w:pPr>
        <w:jc w:val="both"/>
        <w:ind w:firstLine="656"/>
        <w:spacing w:after="0" w:line="266" w:lineRule="auto"/>
        <w:tabs>
          <w:tab w:leader="none" w:pos="1476"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the Separation Date, I will make myself reasonably available and cooperate with reasonable requests from the Company to help with requests for information concerning any business or legal matters (including, without limitation, testimony in any litigation matters) involving facts or events relating to the Company that may be within my knowledge.</w:t>
      </w:r>
    </w:p>
    <w:p>
      <w:pPr>
        <w:spacing w:after="0" w:line="175" w:lineRule="exact"/>
        <w:rPr>
          <w:rFonts w:ascii="Times New Roman" w:cs="Times New Roman" w:eastAsia="Times New Roman" w:hAnsi="Times New Roman"/>
          <w:sz w:val="18"/>
          <w:szCs w:val="18"/>
          <w:color w:val="auto"/>
        </w:rPr>
      </w:pPr>
    </w:p>
    <w:p>
      <w:pPr>
        <w:jc w:val="both"/>
        <w:ind w:firstLine="8"/>
        <w:spacing w:after="0" w:line="266" w:lineRule="auto"/>
        <w:tabs>
          <w:tab w:leader="none" w:pos="729"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Breach of Agreement</w:t>
      </w:r>
      <w:r>
        <w:rPr>
          <w:rFonts w:ascii="Times New Roman" w:cs="Times New Roman" w:eastAsia="Times New Roman" w:hAnsi="Times New Roman"/>
          <w:sz w:val="18"/>
          <w:szCs w:val="18"/>
          <w:color w:val="auto"/>
        </w:rPr>
        <w:t>. I agree that if I breach any of the promises set forth in this Release or if I challenge this Release, Company shall have the right to terminate the benefits payable under the Employment Agreement and to require me to return all monies paid by Company in consideration for my signing this Release.</w:t>
      </w:r>
    </w:p>
    <w:p>
      <w:pPr>
        <w:spacing w:after="0" w:line="39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C-2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2" w:name="page33"/>
    <w:bookmarkEnd w:id="32"/>
    <w:p>
      <w:pPr>
        <w:jc w:val="both"/>
        <w:ind w:firstLine="8"/>
        <w:spacing w:after="0" w:line="261" w:lineRule="auto"/>
        <w:tabs>
          <w:tab w:leader="none" w:pos="9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 and Interpretation</w:t>
      </w:r>
      <w:r>
        <w:rPr>
          <w:rFonts w:ascii="Times New Roman" w:cs="Times New Roman" w:eastAsia="Times New Roman" w:hAnsi="Times New Roman"/>
          <w:sz w:val="18"/>
          <w:szCs w:val="18"/>
          <w:color w:val="auto"/>
        </w:rPr>
        <w:t>. This Release shall be governed by and construed in accordance with the laws of the State of New York without regard to its conflict of laws provisions. If any portion of this Release is declared to be unenforceable by a court of competent jurisdiction in any action in which I participate or join, I agree that all consideration paid to me under the Employment Agreement shall be offset against any monies that I may receive in connection with any such action.</w:t>
      </w:r>
    </w:p>
    <w:p>
      <w:pPr>
        <w:spacing w:after="0" w:line="179" w:lineRule="exact"/>
        <w:rPr>
          <w:rFonts w:ascii="Times New Roman" w:cs="Times New Roman" w:eastAsia="Times New Roman" w:hAnsi="Times New Roman"/>
          <w:sz w:val="18"/>
          <w:szCs w:val="18"/>
          <w:color w:val="auto"/>
        </w:rPr>
      </w:pPr>
    </w:p>
    <w:p>
      <w:pPr>
        <w:ind w:firstLine="8"/>
        <w:spacing w:after="0" w:line="282" w:lineRule="auto"/>
        <w:tabs>
          <w:tab w:leader="none" w:pos="839"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I acknowledge that I have not relied on any representations, promises, or agreements of any kind made to me in connection with my decision to sign this Release, except for those set forth in the Employment Agreement.</w:t>
      </w:r>
    </w:p>
    <w:p>
      <w:pPr>
        <w:spacing w:after="0" w:line="161" w:lineRule="exact"/>
        <w:rPr>
          <w:rFonts w:ascii="Times New Roman" w:cs="Times New Roman" w:eastAsia="Times New Roman" w:hAnsi="Times New Roman"/>
          <w:sz w:val="18"/>
          <w:szCs w:val="18"/>
          <w:color w:val="auto"/>
        </w:rPr>
      </w:pPr>
    </w:p>
    <w:p>
      <w:pPr>
        <w:ind w:left="780" w:hanging="772"/>
        <w:spacing w:after="0"/>
        <w:tabs>
          <w:tab w:leader="none" w:pos="7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This Release may not be amended except by a written agreement signed by both parties which specifically refers to this Release.</w:t>
      </w:r>
    </w:p>
    <w:p>
      <w:pPr>
        <w:spacing w:after="0" w:line="225" w:lineRule="exact"/>
        <w:rPr>
          <w:rFonts w:ascii="Times New Roman" w:cs="Times New Roman" w:eastAsia="Times New Roman" w:hAnsi="Times New Roman"/>
          <w:sz w:val="18"/>
          <w:szCs w:val="18"/>
          <w:color w:val="auto"/>
        </w:rPr>
      </w:pPr>
    </w:p>
    <w:p>
      <w:pPr>
        <w:jc w:val="both"/>
        <w:ind w:firstLine="8"/>
        <w:spacing w:after="0" w:line="266" w:lineRule="auto"/>
        <w:tabs>
          <w:tab w:leader="none" w:pos="733"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Right to Revoke</w:t>
      </w:r>
      <w:r>
        <w:rPr>
          <w:rFonts w:ascii="Times New Roman" w:cs="Times New Roman" w:eastAsia="Times New Roman" w:hAnsi="Times New Roman"/>
          <w:sz w:val="18"/>
          <w:szCs w:val="18"/>
          <w:color w:val="auto"/>
        </w:rPr>
        <w:t>. I understand that I have the right to revoke this Release at any time during the seven (7) day period following the date on which I first sign the Release. If I want to revoke, I must make a revocation in writing which states: “I hereby revoke my Release.” This written revocation must be received by [ ] of the Company before the end of the seven-day revocation period; otherwise, such revocation shall not be effective.</w:t>
      </w:r>
    </w:p>
    <w:p>
      <w:pPr>
        <w:spacing w:after="0" w:line="175" w:lineRule="exact"/>
        <w:rPr>
          <w:rFonts w:ascii="Times New Roman" w:cs="Times New Roman" w:eastAsia="Times New Roman" w:hAnsi="Times New Roman"/>
          <w:sz w:val="18"/>
          <w:szCs w:val="18"/>
          <w:color w:val="auto"/>
        </w:rPr>
      </w:pPr>
    </w:p>
    <w:p>
      <w:pPr>
        <w:ind w:left="720" w:hanging="712"/>
        <w:spacing w:after="0"/>
        <w:tabs>
          <w:tab w:leader="none" w:pos="7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Waiver of Claims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656"/>
        <w:spacing w:after="0" w:line="258" w:lineRule="auto"/>
        <w:tabs>
          <w:tab w:leader="none" w:pos="1432"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consideration of the terms of this Release and the monies paid by the Company, as described in Paragraph 1 of this Release (which I agree constitute consideration in addition to anything of value to which I am already entitled), I agree that this Release constitutes a knowing and voluntary waiver of all waivable rights or claims I may have against the Released Parties, or any of them, including, but not limited to, all rights or claims arising under the Age Discrimination in Employment Act of 1967, as amended (the “</w:t>
      </w:r>
      <w:r>
        <w:rPr>
          <w:rFonts w:ascii="Times New Roman" w:cs="Times New Roman" w:eastAsia="Times New Roman" w:hAnsi="Times New Roman"/>
          <w:sz w:val="18"/>
          <w:szCs w:val="18"/>
          <w:u w:val="single" w:color="auto"/>
          <w:color w:val="auto"/>
        </w:rPr>
        <w:t>ADEA</w:t>
      </w:r>
      <w:r>
        <w:rPr>
          <w:rFonts w:ascii="Times New Roman" w:cs="Times New Roman" w:eastAsia="Times New Roman" w:hAnsi="Times New Roman"/>
          <w:sz w:val="18"/>
          <w:szCs w:val="18"/>
          <w:color w:val="auto"/>
        </w:rPr>
        <w:t>”), including, but not limited to, all claims of age discrimination in employment and all claims of retaliation in violation of the ADEA.</w:t>
      </w:r>
    </w:p>
    <w:p>
      <w:pPr>
        <w:spacing w:after="0" w:line="183" w:lineRule="exact"/>
        <w:rPr>
          <w:rFonts w:ascii="Times New Roman" w:cs="Times New Roman" w:eastAsia="Times New Roman" w:hAnsi="Times New Roman"/>
          <w:sz w:val="18"/>
          <w:szCs w:val="18"/>
          <w:color w:val="auto"/>
        </w:rPr>
      </w:pPr>
    </w:p>
    <w:p>
      <w:pPr>
        <w:ind w:left="1400" w:hanging="744"/>
        <w:spacing w:after="0"/>
        <w:tabs>
          <w:tab w:leader="none" w:pos="140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understand that, by entering into this Release, I do not waive rights or claims that may arise after the date this Release is executed.</w:t>
      </w:r>
    </w:p>
    <w:p>
      <w:pPr>
        <w:spacing w:after="0" w:line="225" w:lineRule="exact"/>
        <w:rPr>
          <w:rFonts w:ascii="Times New Roman" w:cs="Times New Roman" w:eastAsia="Times New Roman" w:hAnsi="Times New Roman"/>
          <w:sz w:val="18"/>
          <w:szCs w:val="18"/>
          <w:color w:val="auto"/>
        </w:rPr>
      </w:pPr>
    </w:p>
    <w:p>
      <w:pPr>
        <w:jc w:val="both"/>
        <w:ind w:firstLine="656"/>
        <w:spacing w:after="0" w:line="255" w:lineRule="auto"/>
        <w:tabs>
          <w:tab w:leader="none" w:pos="1568"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understand that this Release will not affect the rights and responsibilities of the U.S. Equal Employment Opportunity Commission (“</w:t>
      </w:r>
      <w:r>
        <w:rPr>
          <w:rFonts w:ascii="Times New Roman" w:cs="Times New Roman" w:eastAsia="Times New Roman" w:hAnsi="Times New Roman"/>
          <w:sz w:val="18"/>
          <w:szCs w:val="18"/>
          <w:u w:val="single" w:color="auto"/>
          <w:color w:val="auto"/>
        </w:rPr>
        <w:t>EEOC</w:t>
      </w:r>
      <w:r>
        <w:rPr>
          <w:rFonts w:ascii="Times New Roman" w:cs="Times New Roman" w:eastAsia="Times New Roman" w:hAnsi="Times New Roman"/>
          <w:sz w:val="18"/>
          <w:szCs w:val="18"/>
          <w:color w:val="auto"/>
        </w:rPr>
        <w:t>”) to enforce the ADEA, and further understand that this Release will not be used to justify interfering with my protected right to file a charge or participate in an investigation or proceeding conducted by the EEOC, the National Labor Relations Board, the Securities and Exchange Commission, the Occupational Safety and Health Administration, or any similar federal, state, or local agency. I knowingly and voluntarily waive all rights or claims (that arose prior to my execution of this Release) that I may have against the Released Parties, or any of them, to receive any benefit or remedial relief (including, but not limited to, reinstatement, back pay, front pay, damages, and attorneys’ and experts’ fees) as a consequence of any charge or compliant filed with the EEOC or any other agency, and of any litigation concerning any facts alleged in any such charge or complaint.</w:t>
      </w:r>
    </w:p>
    <w:p>
      <w:pPr>
        <w:spacing w:after="0" w:line="188" w:lineRule="exact"/>
        <w:rPr>
          <w:rFonts w:ascii="Times New Roman" w:cs="Times New Roman" w:eastAsia="Times New Roman" w:hAnsi="Times New Roman"/>
          <w:sz w:val="18"/>
          <w:szCs w:val="18"/>
          <w:color w:val="auto"/>
        </w:rPr>
      </w:pPr>
    </w:p>
    <w:p>
      <w:pPr>
        <w:ind w:left="780" w:hanging="772"/>
        <w:spacing w:after="0"/>
        <w:tabs>
          <w:tab w:leader="none" w:pos="7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Effective Date</w:t>
      </w:r>
      <w:r>
        <w:rPr>
          <w:rFonts w:ascii="Times New Roman" w:cs="Times New Roman" w:eastAsia="Times New Roman" w:hAnsi="Times New Roman"/>
          <w:sz w:val="18"/>
          <w:szCs w:val="18"/>
          <w:color w:val="auto"/>
        </w:rPr>
        <w:t xml:space="preserve">. This Release shall not become effective or enforceable until the expiration of the 7-day revocation period described in </w:t>
      </w:r>
      <w:r>
        <w:rPr>
          <w:rFonts w:ascii="Times New Roman" w:cs="Times New Roman" w:eastAsia="Times New Roman" w:hAnsi="Times New Roman"/>
          <w:sz w:val="18"/>
          <w:szCs w:val="18"/>
          <w:u w:val="single" w:color="auto"/>
          <w:color w:val="auto"/>
        </w:rPr>
        <w:t>Section 13</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above.</w:t>
      </w:r>
    </w:p>
    <w:p>
      <w:pPr>
        <w:spacing w:after="0" w:line="200" w:lineRule="exact"/>
        <w:rPr>
          <w:sz w:val="20"/>
          <w:szCs w:val="20"/>
          <w:color w:val="auto"/>
        </w:rPr>
      </w:pPr>
    </w:p>
    <w:p>
      <w:pPr>
        <w:spacing w:after="0" w:line="22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C-3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color w:val="auto"/>
        </w:rPr>
        <w:t>I HAVE READ THIS AGREEMENT IN ITS ENTIRETY.</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 UNDERSTAND THAT BY SIGNING THIS RELEASE, I SHALL BE GIVING UP IMPORTANT RIGHTS, AND SHALL BE WAIVING MY RIGHTS UNDER FEDERAL, STATE AND LOCAL LAW TO BRING ANY CLAIMS THAT I HAVE OR MIGHT HAVE AGAINST THE RELEASED PARTIES INCLUDING BUT NOT LIMITED TO THE ACTS, STATUTES, CODES, ORDINANCES, RULES AND LAWS SET FORTH IN THIS RELEASE, AND ANY OTHER CONSTITUTIONAL, STATUTORY COMMON LAW RIGHTS AND PRIVILEGES.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 UNDERSTAND THAT MY RIGHT TO RECEIVE SEPARATION PAYMENTS SET FORTH IN SECTION 8 OF THE EMPLOYMENT AGREEMENT IS SUBJECT TO THE TERMS AND CONDITIONS SET FORTH IN THIS RELEASE AND THAT I WOULD NOT RECEIVE SUCH BENEFITS BUT FOR MY EXECUTION OF THIS RELEASE.</w:t>
      </w:r>
    </w:p>
    <w:p>
      <w:pPr>
        <w:spacing w:after="0" w:line="176" w:lineRule="exact"/>
        <w:rPr>
          <w:sz w:val="20"/>
          <w:szCs w:val="20"/>
          <w:color w:val="auto"/>
        </w:rPr>
      </w:pPr>
    </w:p>
    <w:p>
      <w:pPr>
        <w:jc w:val="both"/>
        <w:spacing w:after="0" w:line="312" w:lineRule="auto"/>
        <w:rPr>
          <w:sz w:val="20"/>
          <w:szCs w:val="20"/>
          <w:color w:val="auto"/>
        </w:rPr>
      </w:pPr>
      <w:r>
        <w:rPr>
          <w:rFonts w:ascii="Times New Roman" w:cs="Times New Roman" w:eastAsia="Times New Roman" w:hAnsi="Times New Roman"/>
          <w:sz w:val="17"/>
          <w:szCs w:val="17"/>
          <w:color w:val="auto"/>
        </w:rPr>
        <w:t>I HAVE BEEN ADVISED IN WRITING TO CONSULT WITH AN ATTORNEY PRIOR TO SIGNING THIS RELEASE. I HAVE HAD A REASONABLE OPPORTUNITY TO RETAIN AND CONSULT WITH AN ATTORNEY BEFORE SIGNING THIS RELEASE AND HAVE DONE SO.</w:t>
      </w:r>
    </w:p>
    <w:p>
      <w:pPr>
        <w:spacing w:after="0" w:line="14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 ALSO HAVE BEEN ADVISED IN WRITING BY COMPANY THAT I HAVE TWENTY-ONE (21) DAYS TO CONSIDER THIS RELEASE. I AGREE THAT ANY MODIFICATIONS, MATERIAL OR OTHERWISE, MADE TO THIS SEPARATION AGREEMENT DO NOT RESTART OR AFFECT IN ANY MANNER THE ORIGINAL TWENTY-ONE (21) DAY CONSIDERATION PERIOD.</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 AGREE TO EVERYTHING CONTAINED IN THIS RELEASE AND AM SIGNING THIS RELEASE KNOWINGLY, VOLUNTARILY, AND FREE OF ANY DURESS.</w:t>
      </w:r>
    </w:p>
    <w:p>
      <w:pPr>
        <w:spacing w:after="0" w:line="37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C-4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color w:val="auto"/>
        </w:rPr>
        <w:t>IN WITNESS WHEREOF, I have executed this Release as of the date set forth below.</w:t>
      </w:r>
    </w:p>
    <w:p>
      <w:pPr>
        <w:spacing w:after="0" w:line="200" w:lineRule="exact"/>
        <w:rPr>
          <w:sz w:val="20"/>
          <w:szCs w:val="20"/>
          <w:color w:val="auto"/>
        </w:rPr>
      </w:pPr>
    </w:p>
    <w:p>
      <w:pPr>
        <w:spacing w:after="0" w:line="24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7"/>
          <w:szCs w:val="17"/>
          <w:color w:val="auto"/>
        </w:rPr>
        <w:t>THOMAS IAN BROWN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3545205</wp:posOffset>
            </wp:positionH>
            <wp:positionV relativeFrom="paragraph">
              <wp:posOffset>-120650</wp:posOffset>
            </wp:positionV>
            <wp:extent cx="359156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591560" cy="8255"/>
                    </a:xfrm>
                    <a:prstGeom prst="rect">
                      <a:avLst/>
                    </a:prstGeom>
                    <a:noFill/>
                  </pic:spPr>
                </pic:pic>
              </a:graphicData>
            </a:graphic>
          </wp:anchor>
        </w:drawing>
      </w:r>
    </w:p>
    <w:p>
      <w:pPr>
        <w:spacing w:after="0" w:line="21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334327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C-5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904" w:right="1440" w:bottom="1440" w:gutter="0" w:footer="0" w:header="0"/>
        </w:sectPr>
      </w:pPr>
    </w:p>
    <w:bookmarkStart w:id="35" w:name="page36"/>
    <w:bookmarkEnd w:id="35"/>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1873885</wp:posOffset>
            </wp:positionH>
            <wp:positionV relativeFrom="paragraph">
              <wp:posOffset>156845</wp:posOffset>
            </wp:positionV>
            <wp:extent cx="3394710" cy="50609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394710" cy="5060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25"/>
          <w:szCs w:val="25"/>
          <w:b w:val="1"/>
          <w:bCs w:val="1"/>
          <w:color w:val="auto"/>
        </w:rPr>
        <w:t>XWELL Announces Senior Leadership Appointments and Changes</w:t>
      </w:r>
    </w:p>
    <w:p>
      <w:pPr>
        <w:spacing w:after="0" w:line="4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i w:val="1"/>
          <w:iCs w:val="1"/>
          <w:color w:val="auto"/>
        </w:rPr>
        <w:t>Ian Brown Appointed XWELL’s CFO Succeeding Suzanne Scrabis</w:t>
      </w:r>
    </w:p>
    <w:p>
      <w:pPr>
        <w:spacing w:after="0" w:line="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i w:val="1"/>
          <w:iCs w:val="1"/>
          <w:color w:val="auto"/>
        </w:rPr>
        <w:t>Peter Vermeulen Joins XWELL as its New Head of Human Resources</w:t>
      </w:r>
    </w:p>
    <w:p>
      <w:pPr>
        <w:spacing w:after="0" w:line="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i w:val="1"/>
          <w:iCs w:val="1"/>
          <w:color w:val="auto"/>
        </w:rPr>
        <w:t>Mike Heronime Joins XWELL as its New Marketing Director</w:t>
      </w:r>
    </w:p>
    <w:p>
      <w:pPr>
        <w:spacing w:after="0" w:line="200" w:lineRule="exact"/>
        <w:rPr>
          <w:sz w:val="20"/>
          <w:szCs w:val="20"/>
          <w:color w:val="auto"/>
        </w:rPr>
      </w:pPr>
    </w:p>
    <w:p>
      <w:pPr>
        <w:spacing w:after="0" w:line="22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NEW YORK, January 7, 2025 -- XWELL, Inc. (Nasdaq: XWEL) ("XWELL" or the "Company"), an authority in wellness solutions for people on the go, today announced new senior leadership appointments to support the Company’s strategic growth and business objectives. Ian Brown joined the Company as its new Chief Financial Officer on January 6, 2025, succeeding Suzanne Scrabis, whose separation is effective as of January 8, 2025. Mr. Brown has deep financial expertise and a proven track record in operational excellence, business operations and mergers and acquisitions.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XWELL announced that in connection with Mr. Brown’s employment with the Company and as material inducement into entering into an employment agreement with the Company, pursuant to NASDAQ Listing Rule 5635(c)(4), Mr. Brown will be granted stock options to purchase up to 37,000 shares of common stock at an exercise price equal to the fair market value on the date of the grant, which shall be the closing price on January 6, 2025. The stock options will vest in four quarterly installments of 25% each on the first, second, third and fourth quarters after the grant date, subject to Mr. Brown’s continued employment with the Company on the appliable vesting dates.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Additionally, the Company announced the appointments of Peter Vermeulen as its new head of Human Resources and Mike Heronime as its new Marketing Director. In alignment with the Company’s strategy to remain agile while working toward profitability, both Mr. Vermeulen and Mr. Heronime are joining XWELL on a fractional basis.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thrilled to accelerate XWELL’s next phase of growth with the announcement of these new senior leadership appointments,” said XWELL CEO Ezra Ernst. “These extremely talented leaders bring a compelling combination of expertise and experience that we believe will help support plans to unify XWELL's brands, enhance our company culture, and drive improvements in our financial and operational performance. I’m excited to collaborate with my new colleagues on XWELL’s journey to drive growth and liberate wellness.”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425450</wp:posOffset>
            </wp:positionV>
            <wp:extent cx="713232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6" w:name="page37"/>
    <w:bookmarkEnd w:id="36"/>
    <w:p>
      <w:pPr>
        <w:jc w:val="both"/>
        <w:spacing w:after="0" w:line="282" w:lineRule="auto"/>
        <w:rPr>
          <w:sz w:val="20"/>
          <w:szCs w:val="20"/>
          <w:color w:val="auto"/>
        </w:rPr>
      </w:pPr>
      <w:r>
        <w:rPr>
          <w:rFonts w:ascii="Times New Roman" w:cs="Times New Roman" w:eastAsia="Times New Roman" w:hAnsi="Times New Roman"/>
          <w:sz w:val="18"/>
          <w:szCs w:val="18"/>
          <w:color w:val="auto"/>
        </w:rPr>
        <w:t>Mr. Ernst added, "I also want to sincerely thank Suzanne for her contributions as CFO during an important period of strategic transformation at XWELL. We wish her continued success in future endeavors.”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E101A"/>
        </w:rPr>
        <w:t>Senior Leadership Backgrounds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Ian Brown has more than 25 years of experience in operational finance. He has expertise in systems transformation, financial operations, and back-office process improvement. He recently was a Managing Director of the Strategic FP&amp;A Group at Accordion. Prior to that role, he served at FTI Consulting in their Technology Transformation group. Prior, he was Senior Director Business Planning, Customer Operations at Charter Communications, and a Director of Operational Finance for Insight Communications. Before this, Ian was the CFO of two early-stage companies, was a colleague of Ezra Ernst at Wolters Kluwer, and also worked in media investment banking. He holds an M.B.A from The Tuck School of Business at Dartmouth and a B.A. from Vassar College.</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Peter Vermeulen brings over 25 years of global HR experience, including senior roles at TeleSign, Amazon, and Johnson &amp; Johnson. At TeleSign, he served as Chief People Officer, leading the company’s cultural transformation during a period of steep growth and international expansion. At Amazon, he led HR for global customer service teams, and at Johnson &amp; Johnson, he held key leadership roles in talent management and supply chain HR. A dual citizen of Belgium and the U.S., Peter holds advanced degrees in Business Economics and European Studies and is a Certified Global Professional in Human Resources (GPHR) and a Certified Executive Coach.</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Mike Heronime has more than 25 years of strategic marketing experience. As President and Executive Director of Creative Solutions for Positive Brand, Mike has helped companies and organizations large and small from Fortune 500 companies and non-profit organizations to startups grow their revenue through insight-based, integrated strategic and creative marketing solutions. Prior to joining Positive Brand in 2004, Mike served as Chief Creative Officer for RKD Group, as a Creative Director for Tribal DDB and as a Creative Director for Bozell. He has a B.S. from University of North Texas.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color w:val="0E101A"/>
        </w:rPr>
        <w:t>About XWELL, Inc.</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XWELL, Inc. (Nasdaq: XWEL) is a leading global wellness holding company operating multiple brands: XpresSpa®, Treat™, Naples Wax Center®, XpresCheck® and HyperPointe™.</w:t>
      </w:r>
    </w:p>
    <w:p>
      <w:pPr>
        <w:spacing w:after="0" w:line="162" w:lineRule="exact"/>
        <w:rPr>
          <w:sz w:val="20"/>
          <w:szCs w:val="20"/>
          <w:color w:val="auto"/>
        </w:rPr>
      </w:pPr>
    </w:p>
    <w:p>
      <w:pPr>
        <w:ind w:left="660" w:hanging="328"/>
        <w:spacing w:after="0"/>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XpresSpa is a leading retailer of wellness services and related products.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Naples Wax Center is a group of upscale skin care boutiques.</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XpresCheck, in partnership with the CDC and Ginkgo Biosecurity, conducts biosurveillance monitoring in its airport locations to identify new SARS-CoV-2 variants of interest and concern as well as other pathogens entering the country from across the world.</w:t>
      </w:r>
    </w:p>
    <w:p>
      <w:pPr>
        <w:ind w:left="660" w:hanging="328"/>
        <w:spacing w:after="0"/>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HyperPointe is a leading digital healthcare and data analytics relationship company serving the global healthcare industry.</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E101A"/>
        </w:rPr>
        <w:t>Forward-Looking Statements</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This press release may contain "forward-looking" statements within the meaning of the Private Securities Litigation Reform Act of 1995, Section 27A of the Securities Act of 1933, as amended, and Section 21E of the Securities Exchange Act of 1934, as amended. These include statements preceded by, followed by or that otherwise include the words "believes," "expects," "anticipates," "estimates," "projects," "intends," "should," "seeks," "future," "continue," or the negative of such terms, or other comparable terminology. Forward-looking statements relating to expectations about future results or events are based upon information available to XWELL as of the date of this press release, and are not guarantees of the future performance of the Company, and actual results may vary materially from the results and expectations discussed. Additional information concerning these and other risks is contained in the Company’s Annual Report on Form 10-K, as amended, Quarterly Reports on Form 10-Q and Current Reports on Form 8-K, and other Securities and Exchange Commission filings. All subsequent written and oral forward-looking statements concerning XWELL, or other matters and attributable to XWELL or any person acting on its behalf are expressly qualified in their entirety by the cautionary statements above. XWELL does not undertake any obligation to publicly update any of these forward-looking statements to reflect events or circumstances that may arise after the date hereof.</w:t>
      </w: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Maria Kucinski</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MWW</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mkucinski@mww.com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8C895D"/>
    <w:multiLevelType w:val="hybridMultilevel"/>
    <w:lvl w:ilvl="0">
      <w:lvlJc w:val="left"/>
      <w:lvlText w:val="☐"/>
      <w:numFmt w:val="bullet"/>
      <w:start w:val="1"/>
    </w:lvl>
  </w:abstractNum>
  <w:abstractNum w:abstractNumId="1">
    <w:nsid w:val="333AB105"/>
    <w:multiLevelType w:val="hybridMultilevel"/>
    <w:lvl w:ilvl="0">
      <w:lvlJc w:val="left"/>
      <w:lvlText w:val="%1."/>
      <w:numFmt w:val="decimal"/>
      <w:start w:val="1"/>
    </w:lvl>
  </w:abstractNum>
  <w:abstractNum w:abstractNumId="2">
    <w:nsid w:val="721DA317"/>
    <w:multiLevelType w:val="hybridMultilevel"/>
    <w:lvl w:ilvl="0">
      <w:lvlJc w:val="left"/>
      <w:lvlText w:val="%1"/>
      <w:numFmt w:val="decimal"/>
      <w:start w:val="1"/>
    </w:lvl>
    <w:lvl w:ilvl="1">
      <w:lvlJc w:val="left"/>
      <w:lvlText w:val="%2"/>
      <w:numFmt w:val="lowerRoman"/>
      <w:start w:val="1"/>
    </w:lvl>
    <w:lvl w:ilvl="2">
      <w:lvlJc w:val="left"/>
      <w:lvlText w:val="(%3)"/>
      <w:numFmt w:val="upperLetter"/>
      <w:start w:val="2"/>
    </w:lvl>
  </w:abstractNum>
  <w:abstractNum w:abstractNumId="3">
    <w:nsid w:val="2443A858"/>
    <w:multiLevelType w:val="hybridMultilevel"/>
    <w:lvl w:ilvl="0">
      <w:lvlJc w:val="left"/>
      <w:lvlText w:val="%1"/>
      <w:numFmt w:val="decimal"/>
      <w:start w:val="1"/>
    </w:lvl>
    <w:lvl w:ilvl="1">
      <w:lvlJc w:val="left"/>
      <w:lvlText w:val="(%2)"/>
      <w:numFmt w:val="lowerRoman"/>
      <w:start w:val="1"/>
    </w:lvl>
    <w:lvl w:ilvl="2">
      <w:lvlJc w:val="left"/>
      <w:lvlText w:val="%3"/>
      <w:numFmt w:val="upperLetter"/>
      <w:start w:val="1"/>
    </w:lvl>
  </w:abstractNum>
  <w:abstractNum w:abstractNumId="4">
    <w:nsid w:val="2D1D5AE9"/>
    <w:multiLevelType w:val="hybridMultilevel"/>
    <w:lvl w:ilvl="0">
      <w:lvlJc w:val="left"/>
      <w:lvlText w:val="%1."/>
      <w:numFmt w:val="decimal"/>
      <w:start w:val="5"/>
    </w:lvl>
    <w:lvl w:ilvl="1">
      <w:lvlJc w:val="left"/>
      <w:lvlText w:val="%2"/>
      <w:numFmt w:val="lowerRoman"/>
      <w:start w:val="1"/>
    </w:lvl>
    <w:lvl w:ilvl="2">
      <w:lvlJc w:val="left"/>
      <w:lvlText w:val="%3"/>
      <w:numFmt w:val="upperLetter"/>
      <w:start w:val="1"/>
    </w:lvl>
  </w:abstractNum>
  <w:abstractNum w:abstractNumId="5">
    <w:nsid w:val="6763845E"/>
    <w:multiLevelType w:val="hybridMultilevel"/>
    <w:lvl w:ilvl="0">
      <w:lvlJc w:val="left"/>
      <w:lvlText w:val="%1."/>
      <w:numFmt w:val="decimal"/>
      <w:start w:val="6"/>
    </w:lvl>
  </w:abstractNum>
  <w:abstractNum w:abstractNumId="6">
    <w:nsid w:val="75A2A8D4"/>
    <w:multiLevelType w:val="hybridMultilevel"/>
    <w:lvl w:ilvl="0">
      <w:lvlJc w:val="left"/>
      <w:lvlText w:val="%1."/>
      <w:numFmt w:val="decimal"/>
      <w:start w:val="10"/>
    </w:lvl>
  </w:abstractNum>
  <w:abstractNum w:abstractNumId="7">
    <w:nsid w:val="8EDBDAB"/>
    <w:multiLevelType w:val="hybridMultilevel"/>
    <w:lvl w:ilvl="0">
      <w:lvlJc w:val="left"/>
      <w:lvlText w:val="%1."/>
      <w:numFmt w:val="decimal"/>
      <w:start w:val="17"/>
    </w:lvl>
    <w:lvl w:ilvl="1">
      <w:lvlJc w:val="left"/>
      <w:lvlText w:val="(%2)"/>
      <w:numFmt w:val="lowerLetter"/>
      <w:start w:val="1"/>
    </w:lvl>
  </w:abstractNum>
  <w:abstractNum w:abstractNumId="8">
    <w:nsid w:val="79838CB2"/>
    <w:multiLevelType w:val="hybridMultilevel"/>
    <w:lvl w:ilvl="0">
      <w:lvlJc w:val="left"/>
      <w:lvlText w:val="%1."/>
      <w:numFmt w:val="decimal"/>
      <w:start w:val="16"/>
    </w:lvl>
  </w:abstractNum>
  <w:abstractNum w:abstractNumId="9">
    <w:nsid w:val="4353D0CD"/>
    <w:multiLevelType w:val="hybridMultilevel"/>
    <w:lvl w:ilvl="0">
      <w:lvlJc w:val="left"/>
      <w:lvlText w:val="%1."/>
      <w:numFmt w:val="decimal"/>
      <w:start w:val="1"/>
    </w:lvl>
    <w:lvl w:ilvl="1">
      <w:lvlJc w:val="left"/>
      <w:lvlText w:val="(%2)"/>
      <w:numFmt w:val="lowerLetter"/>
      <w:start w:val="1"/>
    </w:lvl>
  </w:abstractNum>
  <w:abstractNum w:abstractNumId="10">
    <w:nsid w:val="B03E0C6"/>
    <w:multiLevelType w:val="hybridMultilevel"/>
    <w:lvl w:ilvl="0">
      <w:lvlJc w:val="left"/>
      <w:lvlText w:val="%1."/>
      <w:numFmt w:val="decimal"/>
      <w:start w:val="2"/>
    </w:lvl>
    <w:lvl w:ilvl="1">
      <w:lvlJc w:val="left"/>
      <w:lvlText w:val="(%2)"/>
      <w:numFmt w:val="lowerLetter"/>
      <w:start w:val="1"/>
    </w:lvl>
  </w:abstractNum>
  <w:abstractNum w:abstractNumId="11">
    <w:nsid w:val="189A769B"/>
    <w:multiLevelType w:val="hybridMultilevel"/>
    <w:lvl w:ilvl="0">
      <w:lvlJc w:val="left"/>
      <w:lvlText w:val="%1"/>
      <w:numFmt w:val="decimal"/>
      <w:start w:val="254"/>
    </w:lvl>
    <w:lvl w:ilvl="1">
      <w:lvlJc w:val="left"/>
      <w:lvlText w:val="%2"/>
      <w:numFmt w:val="lowerLetter"/>
      <w:start w:val="1"/>
    </w:lvl>
  </w:abstractNum>
  <w:abstractNum w:abstractNumId="12">
    <w:nsid w:val="54E49EB4"/>
    <w:multiLevelType w:val="hybridMultilevel"/>
    <w:lvl w:ilvl="0">
      <w:lvlJc w:val="left"/>
      <w:lvlText w:val="%1."/>
      <w:numFmt w:val="decimal"/>
      <w:start w:val="4"/>
    </w:lvl>
    <w:lvl w:ilvl="1">
      <w:lvlJc w:val="left"/>
      <w:lvlText w:val="(%2)"/>
      <w:numFmt w:val="lowerLetter"/>
      <w:start w:val="1"/>
    </w:lvl>
  </w:abstractNum>
  <w:abstractNum w:abstractNumId="13">
    <w:nsid w:val="71F32454"/>
    <w:multiLevelType w:val="hybridMultilevel"/>
    <w:lvl w:ilvl="0">
      <w:lvlJc w:val="left"/>
      <w:lvlText w:val="%1"/>
      <w:numFmt w:val="decimal"/>
      <w:start w:val="1"/>
    </w:lvl>
    <w:lvl w:ilvl="1">
      <w:lvlJc w:val="left"/>
      <w:lvlText w:val="(%2)"/>
      <w:numFmt w:val="lowerLetter"/>
      <w:start w:val="4"/>
    </w:lvl>
  </w:abstractNum>
  <w:abstractNum w:abstractNumId="14">
    <w:nsid w:val="2CA88611"/>
    <w:multiLevelType w:val="hybridMultilevel"/>
    <w:lvl w:ilvl="0">
      <w:lvlJc w:val="left"/>
      <w:lvlText w:val="%1."/>
      <w:numFmt w:val="decimal"/>
      <w:start w:val="6"/>
    </w:lvl>
    <w:lvl w:ilvl="1">
      <w:lvlJc w:val="left"/>
      <w:lvlText w:val="%2"/>
      <w:numFmt w:val="lowerLetter"/>
      <w:start w:val="1"/>
    </w:lvl>
  </w:abstractNum>
  <w:abstractNum w:abstractNumId="15">
    <w:nsid w:val="836C40E"/>
    <w:multiLevelType w:val="hybridMultilevel"/>
    <w:lvl w:ilvl="0">
      <w:lvlJc w:val="left"/>
      <w:lvlText w:val="%1."/>
      <w:numFmt w:val="decimal"/>
      <w:start w:val="8"/>
    </w:lvl>
    <w:lvl w:ilvl="1">
      <w:lvlJc w:val="left"/>
      <w:lvlText w:val="(%2)"/>
      <w:numFmt w:val="lowerLetter"/>
      <w:start w:val="1"/>
    </w:lvl>
    <w:lvl w:ilvl="2">
      <w:lvlJc w:val="left"/>
      <w:lvlText w:val="(%3)"/>
      <w:numFmt w:val="lowerLetter"/>
      <w:start w:val="9"/>
    </w:lvl>
  </w:abstractNum>
  <w:abstractNum w:abstractNumId="16">
    <w:nsid w:val="2901D82"/>
    <w:multiLevelType w:val="hybridMultilevel"/>
    <w:lvl w:ilvl="0">
      <w:lvlJc w:val="left"/>
      <w:lvlText w:val="%1"/>
      <w:numFmt w:val="lowerLetter"/>
      <w:start w:val="1"/>
    </w:lvl>
    <w:lvl w:ilvl="1">
      <w:lvlJc w:val="left"/>
      <w:lvlText w:val="(%2)"/>
      <w:numFmt w:val="lowerRoman"/>
      <w:start w:val="2"/>
    </w:lvl>
  </w:abstractNum>
  <w:abstractNum w:abstractNumId="17">
    <w:nsid w:val="3A95F874"/>
    <w:multiLevelType w:val="hybridMultilevel"/>
    <w:lvl w:ilvl="0">
      <w:lvlJc w:val="left"/>
      <w:lvlText w:val="(%1)"/>
      <w:numFmt w:val="lowerLetter"/>
      <w:start w:val="5"/>
    </w:lvl>
    <w:lvl w:ilvl="1">
      <w:lvlJc w:val="left"/>
      <w:lvlText w:val="(%2)"/>
      <w:numFmt w:val="lowerRoman"/>
      <w:start w:val="1"/>
    </w:lvl>
  </w:abstractNum>
  <w:abstractNum w:abstractNumId="18">
    <w:nsid w:val="8138641"/>
    <w:multiLevelType w:val="hybridMultilevel"/>
    <w:lvl w:ilvl="0">
      <w:lvlJc w:val="left"/>
      <w:lvlText w:val="(%1)"/>
      <w:numFmt w:val="lowerRoman"/>
      <w:start w:val="2"/>
    </w:lvl>
    <w:lvl w:ilvl="1">
      <w:lvlJc w:val="left"/>
      <w:lvlText w:val="(%2)"/>
      <w:numFmt w:val="upperLetter"/>
      <w:start w:val="1"/>
    </w:lvl>
  </w:abstractNum>
  <w:abstractNum w:abstractNumId="19">
    <w:nsid w:val="1E7FF521"/>
    <w:multiLevelType w:val="hybridMultilevel"/>
    <w:lvl w:ilvl="0">
      <w:lvlJc w:val="left"/>
      <w:lvlText w:val="(%1)"/>
      <w:numFmt w:val="lowerLetter"/>
      <w:start w:val="6"/>
    </w:lvl>
    <w:lvl w:ilvl="1">
      <w:lvlJc w:val="left"/>
      <w:lvlText w:val="(%2)"/>
      <w:numFmt w:val="lowerLetter"/>
      <w:start w:val="9"/>
    </w:lvl>
  </w:abstractNum>
  <w:abstractNum w:abstractNumId="20">
    <w:nsid w:val="7C3DBD3D"/>
    <w:multiLevelType w:val="hybridMultilevel"/>
    <w:lvl w:ilvl="0">
      <w:lvlJc w:val="left"/>
      <w:lvlText w:val="(%1)"/>
      <w:numFmt w:val="lowerRoman"/>
      <w:start w:val="2"/>
    </w:lvl>
  </w:abstractNum>
  <w:abstractNum w:abstractNumId="21">
    <w:nsid w:val="737B8DDC"/>
    <w:multiLevelType w:val="hybridMultilevel"/>
    <w:lvl w:ilvl="0">
      <w:lvlJc w:val="left"/>
      <w:lvlText w:val="(%1)"/>
      <w:numFmt w:val="lowerRoman"/>
      <w:start w:val="5"/>
    </w:lvl>
  </w:abstractNum>
  <w:abstractNum w:abstractNumId="22">
    <w:nsid w:val="6CEAF087"/>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7"/>
    </w:lvl>
  </w:abstractNum>
  <w:abstractNum w:abstractNumId="23">
    <w:nsid w:val="22221A70"/>
    <w:multiLevelType w:val="hybridMultilevel"/>
    <w:lvl w:ilvl="0">
      <w:lvlJc w:val="left"/>
      <w:lvlText w:val="%1."/>
      <w:numFmt w:val="decimal"/>
      <w:start w:val="9"/>
    </w:lvl>
    <w:lvl w:ilvl="1">
      <w:lvlJc w:val="left"/>
      <w:lvlText w:val="(%2)"/>
      <w:numFmt w:val="lowerLetter"/>
      <w:start w:val="1"/>
    </w:lvl>
    <w:lvl w:ilvl="2">
      <w:lvlJc w:val="left"/>
      <w:lvlText w:val="(%3)"/>
      <w:numFmt w:val="lowerRoman"/>
      <w:start w:val="1"/>
    </w:lvl>
  </w:abstractNum>
  <w:abstractNum w:abstractNumId="24">
    <w:nsid w:val="4516DDE9"/>
    <w:multiLevelType w:val="hybridMultilevel"/>
    <w:lvl w:ilvl="0">
      <w:lvlJc w:val="left"/>
      <w:lvlText w:val="(%1)"/>
      <w:numFmt w:val="lowerRoman"/>
      <w:start w:val="1"/>
    </w:lvl>
  </w:abstractNum>
  <w:abstractNum w:abstractNumId="25">
    <w:nsid w:val="3006C83E"/>
    <w:multiLevelType w:val="hybridMultilevel"/>
    <w:lvl w:ilvl="0">
      <w:lvlJc w:val="left"/>
      <w:lvlText w:val="%1"/>
      <w:numFmt w:val="decimal"/>
      <w:start w:val="1"/>
    </w:lvl>
    <w:lvl w:ilvl="1">
      <w:lvlJc w:val="left"/>
      <w:lvlText w:val="(%2)"/>
      <w:numFmt w:val="lowerLetter"/>
      <w:start w:val="3"/>
    </w:lvl>
  </w:abstractNum>
  <w:abstractNum w:abstractNumId="26">
    <w:nsid w:val="614FD4A1"/>
    <w:multiLevelType w:val="hybridMultilevel"/>
    <w:lvl w:ilvl="0">
      <w:lvlJc w:val="left"/>
      <w:lvlText w:val="%1."/>
      <w:numFmt w:val="decimal"/>
      <w:start w:val="10"/>
    </w:lvl>
    <w:lvl w:ilvl="1">
      <w:lvlJc w:val="left"/>
      <w:lvlText w:val="(%2)"/>
      <w:numFmt w:val="lowerLetter"/>
      <w:start w:val="1"/>
    </w:lvl>
  </w:abstractNum>
  <w:abstractNum w:abstractNumId="27">
    <w:nsid w:val="419AC241"/>
    <w:multiLevelType w:val="hybridMultilevel"/>
    <w:lvl w:ilvl="0">
      <w:lvlJc w:val="left"/>
      <w:lvlText w:val="%1"/>
      <w:numFmt w:val="decimal"/>
      <w:start w:val="1"/>
    </w:lvl>
    <w:lvl w:ilvl="1">
      <w:lvlJc w:val="left"/>
      <w:lvlText w:val="(%2)"/>
      <w:numFmt w:val="lowerLetter"/>
      <w:start w:val="2"/>
    </w:lvl>
  </w:abstractNum>
  <w:abstractNum w:abstractNumId="28">
    <w:nsid w:val="5577F8E1"/>
    <w:multiLevelType w:val="hybridMultilevel"/>
    <w:lvl w:ilvl="0">
      <w:lvlJc w:val="left"/>
      <w:lvlText w:val="%1."/>
      <w:numFmt w:val="decimal"/>
      <w:start w:val="12"/>
    </w:lvl>
    <w:lvl w:ilvl="1">
      <w:lvlJc w:val="left"/>
      <w:lvlText w:val="%2"/>
      <w:numFmt w:val="lowerLetter"/>
      <w:start w:val="1"/>
    </w:lvl>
  </w:abstractNum>
  <w:abstractNum w:abstractNumId="29">
    <w:nsid w:val="440BADFC"/>
    <w:multiLevelType w:val="hybridMultilevel"/>
    <w:lvl w:ilvl="0">
      <w:lvlJc w:val="left"/>
      <w:lvlText w:val="%1."/>
      <w:numFmt w:val="decimal"/>
      <w:start w:val="13"/>
    </w:lvl>
    <w:lvl w:ilvl="1">
      <w:lvlJc w:val="left"/>
      <w:lvlText w:val="(%2)"/>
      <w:numFmt w:val="lowerLetter"/>
      <w:start w:val="1"/>
    </w:lvl>
  </w:abstractNum>
  <w:abstractNum w:abstractNumId="30">
    <w:nsid w:val="5072367"/>
    <w:multiLevelType w:val="hybridMultilevel"/>
    <w:lvl w:ilvl="0">
      <w:lvlJc w:val="left"/>
      <w:lvlText w:val="(%1)"/>
      <w:numFmt w:val="lowerLetter"/>
      <w:start w:val="5"/>
    </w:lvl>
  </w:abstractNum>
  <w:abstractNum w:abstractNumId="31">
    <w:nsid w:val="3804823E"/>
    <w:multiLevelType w:val="hybridMultilevel"/>
    <w:lvl w:ilvl="0">
      <w:lvlJc w:val="left"/>
      <w:lvlText w:val="%1."/>
      <w:numFmt w:val="decimal"/>
      <w:start w:val="1"/>
    </w:lvl>
    <w:lvl w:ilvl="1">
      <w:lvlJc w:val="left"/>
      <w:lvlText w:val="%2."/>
      <w:numFmt w:val="lowerLetter"/>
      <w:start w:val="1"/>
    </w:lvl>
  </w:abstractNum>
  <w:abstractNum w:abstractNumId="32">
    <w:nsid w:val="77465F01"/>
    <w:multiLevelType w:val="hybridMultilevel"/>
    <w:lvl w:ilvl="0">
      <w:lvlJc w:val="left"/>
      <w:lvlText w:val="%1"/>
      <w:numFmt w:val="decimal"/>
      <w:start w:val="1"/>
    </w:lvl>
    <w:lvl w:ilvl="1">
      <w:lvlJc w:val="left"/>
      <w:lvlText w:val="%2."/>
      <w:numFmt w:val="lowerLetter"/>
      <w:start w:val="4"/>
    </w:lvl>
  </w:abstractNum>
  <w:abstractNum w:abstractNumId="33">
    <w:nsid w:val="7724C67E"/>
    <w:multiLevelType w:val="hybridMultilevel"/>
    <w:lvl w:ilvl="0">
      <w:lvlJc w:val="left"/>
      <w:lvlText w:val="%1."/>
      <w:numFmt w:val="decimal"/>
      <w:start w:val="3"/>
    </w:lvl>
    <w:lvl w:ilvl="1">
      <w:lvlJc w:val="left"/>
      <w:lvlText w:val="%2"/>
      <w:numFmt w:val="lowerLetter"/>
      <w:start w:val="1"/>
    </w:lvl>
  </w:abstractNum>
  <w:abstractNum w:abstractNumId="34">
    <w:nsid w:val="5C482A97"/>
    <w:multiLevelType w:val="hybridMultilevel"/>
    <w:lvl w:ilvl="0">
      <w:lvlJc w:val="left"/>
      <w:lvlText w:val="%1."/>
      <w:numFmt w:val="decimal"/>
      <w:start w:val="7"/>
    </w:lvl>
  </w:abstractNum>
  <w:abstractNum w:abstractNumId="35">
    <w:nsid w:val="2463B9EA"/>
    <w:multiLevelType w:val="hybridMultilevel"/>
    <w:lvl w:ilvl="0">
      <w:lvlJc w:val="left"/>
      <w:lvlText w:val="%1."/>
      <w:numFmt w:val="decimal"/>
      <w:start w:val="12"/>
    </w:lvl>
  </w:abstractNum>
  <w:abstractNum w:abstractNumId="36">
    <w:nsid w:val="5E884ADC"/>
    <w:multiLevelType w:val="hybridMultilevel"/>
    <w:lvl w:ilvl="0">
      <w:lvlJc w:val="left"/>
      <w:lvlText w:val="%1."/>
      <w:numFmt w:val="decimal"/>
      <w:start w:val="1"/>
    </w:lvl>
  </w:abstractNum>
  <w:abstractNum w:abstractNumId="37">
    <w:nsid w:val="51EAD36B"/>
    <w:multiLevelType w:val="hybridMultilevel"/>
    <w:lvl w:ilvl="0">
      <w:lvlJc w:val="left"/>
      <w:lvlText w:val="1"/>
      <w:numFmt w:val="bullet"/>
      <w:start w:val="1"/>
    </w:lvl>
  </w:abstractNum>
  <w:abstractNum w:abstractNumId="38">
    <w:nsid w:val="2D517796"/>
    <w:multiLevelType w:val="hybridMultilevel"/>
    <w:lvl w:ilvl="0">
      <w:lvlJc w:val="left"/>
      <w:lvlText w:val="%1."/>
      <w:numFmt w:val="decimal"/>
      <w:start w:val="5"/>
    </w:lvl>
    <w:lvl w:ilvl="1">
      <w:lvlJc w:val="left"/>
      <w:lvlText w:val="(%2)"/>
      <w:numFmt w:val="lowerLetter"/>
      <w:start w:val="1"/>
    </w:lvl>
  </w:abstractNum>
  <w:abstractNum w:abstractNumId="39">
    <w:nsid w:val="580BD78F"/>
    <w:multiLevelType w:val="hybridMultilevel"/>
    <w:lvl w:ilvl="0">
      <w:lvlJc w:val="left"/>
      <w:lvlText w:val="%1."/>
      <w:numFmt w:val="decimal"/>
      <w:start w:val="10"/>
    </w:lvl>
    <w:lvl w:ilvl="1">
      <w:lvlJc w:val="left"/>
      <w:lvlText w:val="(%2)"/>
      <w:numFmt w:val="lowerLetter"/>
      <w:start w:val="1"/>
    </w:lvl>
  </w:abstractNum>
  <w:abstractNum w:abstractNumId="40">
    <w:nsid w:val="153EA43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jpe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2025-01-07T08:14:45Z</dcterms:created>
  <dcterms:modified xsi:type="dcterms:W3CDTF">2025-01-07T08:14:45Z</dcterms:modified>
</cp:coreProperties>
</file>