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62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Date of Report (Date of earliest event reported): November 28, 2016</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right="920" w:firstLine="648"/>
        <w:spacing w:after="0" w:line="264" w:lineRule="auto"/>
        <w:rPr>
          <w:sz w:val="20"/>
          <w:szCs w:val="20"/>
          <w:color w:val="auto"/>
        </w:rPr>
      </w:pPr>
      <w:r>
        <w:rPr>
          <w:rFonts w:ascii="Arial" w:cs="Arial" w:eastAsia="Arial" w:hAnsi="Arial"/>
          <w:sz w:val="18"/>
          <w:szCs w:val="18"/>
          <w:color w:val="auto"/>
        </w:rPr>
        <w:t>On November 28, 2016, FORM Holdings Corp. (“</w:t>
      </w:r>
      <w:r>
        <w:rPr>
          <w:rFonts w:ascii="Arial" w:cs="Arial" w:eastAsia="Arial" w:hAnsi="Arial"/>
          <w:sz w:val="18"/>
          <w:szCs w:val="18"/>
          <w:u w:val="single" w:color="auto"/>
          <w:color w:val="auto"/>
        </w:rPr>
        <w:t>FORM</w:t>
      </w:r>
      <w:r>
        <w:rPr>
          <w:rFonts w:ascii="Arial" w:cs="Arial" w:eastAsia="Arial" w:hAnsi="Arial"/>
          <w:sz w:val="18"/>
          <w:szCs w:val="18"/>
          <w:color w:val="auto"/>
        </w:rPr>
        <w:t>”) filed a Certificate of Amendment to its Amended and Restated Certificate of Incorporation, as amended, with the Secretary of State of the State of Delaware to remove “only-for-cause” director removal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foregoing description of the Certificate of Amendment is not complete and is subject to, and qualified in its entirety by, the full text of the Certificate of Amendment, which is attached to this Current Report as Exhibit 3.1 and is incorporated herein by reference.</w:t>
      </w:r>
    </w:p>
    <w:p>
      <w:pPr>
        <w:spacing w:after="0" w:line="16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November 28, 2016, at FORM’s 2016 annual meeting of stockholders (the “Annual Meeting”), FORM’s stockholders approved an amendment to FORM’s 2012 Employee, Director and Consultant Equity Incentive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to increase the number of shares of FORM’s common stock, par value $0.01 per share (“</w:t>
      </w:r>
      <w:r>
        <w:rPr>
          <w:rFonts w:ascii="Arial" w:cs="Arial" w:eastAsia="Arial" w:hAnsi="Arial"/>
          <w:sz w:val="17"/>
          <w:szCs w:val="17"/>
          <w:u w:val="single" w:color="auto"/>
          <w:color w:val="auto"/>
        </w:rPr>
        <w:t>FORM Common Stock</w:t>
      </w:r>
      <w:r>
        <w:rPr>
          <w:rFonts w:ascii="Arial" w:cs="Arial" w:eastAsia="Arial" w:hAnsi="Arial"/>
          <w:sz w:val="17"/>
          <w:szCs w:val="17"/>
          <w:color w:val="auto"/>
        </w:rPr>
        <w:t>”) reserved for issuance under the Plan to up to a maximum of 7,573,568 shares and to increase the maximum number of shares available for grant to a single participant in any fiscal year from 400,000 to 1,000,000.</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 of the Plan is not complete and is subject to, and qualified in its entirety by, the full text of the Plan, which is attached to this Current Report as Exhibit 10.1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20" w:firstLine="8"/>
        <w:spacing w:after="0" w:line="264" w:lineRule="auto"/>
        <w:tabs>
          <w:tab w:leader="none" w:pos="5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28, 2016, FORM held the Annual Meeting. At the Annual Meeting, the holders of 11,756,821 shares of FORM Common Stock were present in person or represented by proxy, which represents 74.41% of the total shares of outstanding FORM Common Stock entitled to vote as of the record date of October 18, 2016.</w:t>
      </w:r>
    </w:p>
    <w:p>
      <w:pPr>
        <w:spacing w:after="0" w:line="181"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00" w:right="140" w:hanging="292"/>
        <w:spacing w:after="0" w:line="273"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merger of FHXMS, LLC (“Merger Sub”), a Delaware limited liability company and wholly-owned subsidiary of FORM, with and into XpresSpa Holdings LLC, a Delaware limited liability company (“XpresSpa”), with XpresSpa being the surviving entity and a wholly-owned subsidiary of FORM, pursuant to the terms and conditions of the previously announced Agreement and Plan of Merger, dated as of August 8, 2016, as subsequently amended on September 8, 2016 and October 25, 2016 (collectively, the “Merger Agreement”), by and among FORM, Merger Sub, XpresSpa, the unitholders of XpresSpa who are parties thereto or who become parties thereto (the “Unitholders”) and Mistral XH Representative, LLC, as representative of the Unitholders (the “Representative”) (the “Merger”) was approved, based on the following votes: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ind w:left="860"/>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4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5,030,246</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154,107</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28,815</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6,543,653</w:t>
            </w:r>
          </w:p>
        </w:tc>
      </w:tr>
    </w:tbl>
    <w:p>
      <w:pPr>
        <w:spacing w:after="0" w:line="202" w:lineRule="exact"/>
        <w:rPr>
          <w:sz w:val="20"/>
          <w:szCs w:val="20"/>
          <w:color w:val="auto"/>
        </w:rPr>
      </w:pPr>
    </w:p>
    <w:p>
      <w:pPr>
        <w:ind w:left="300" w:right="1000" w:hanging="29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a Section 382 Rights Agreement, adopted by the board of directors of FORM (the “Board”) on March 18, 2016 (the “</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700" w:type="dxa"/>
            <w:vAlign w:val="bottom"/>
            <w:gridSpan w:val="2"/>
          </w:tcPr>
          <w:p>
            <w:pPr>
              <w:ind w:left="860"/>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5,130,234</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72,737</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10,197</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6,543,653</w:t>
            </w:r>
          </w:p>
        </w:tc>
        <w:tc>
          <w:tcPr>
            <w:tcW w:w="560" w:type="dxa"/>
            <w:vAlign w:val="bottom"/>
          </w:tcPr>
          <w:p>
            <w:pPr>
              <w:spacing w:after="0"/>
              <w:rPr>
                <w:sz w:val="18"/>
                <w:szCs w:val="18"/>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ind w:left="300" w:right="200" w:hanging="29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six nominees were elected or reelected to serve on the Board until FORM’s 2017 annual meeting of stockholders or until their respective successors have been elected and qualified, or until their earlier resignation or removal:</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4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 of Director Nominees</w:t>
            </w:r>
          </w:p>
        </w:tc>
        <w:tc>
          <w:tcPr>
            <w:tcW w:w="1980" w:type="dxa"/>
            <w:vAlign w:val="bottom"/>
            <w:gridSpan w:val="2"/>
          </w:tcPr>
          <w:p>
            <w:pPr>
              <w:ind w:left="460"/>
              <w:spacing w:after="0"/>
              <w:rPr>
                <w:sz w:val="20"/>
                <w:szCs w:val="20"/>
                <w:color w:val="auto"/>
              </w:rPr>
            </w:pPr>
            <w:r>
              <w:rPr>
                <w:rFonts w:ascii="Arial" w:cs="Arial" w:eastAsia="Arial" w:hAnsi="Arial"/>
                <w:sz w:val="18"/>
                <w:szCs w:val="18"/>
                <w:b w:val="1"/>
                <w:bCs w:val="1"/>
                <w:color w:val="auto"/>
              </w:rPr>
              <w:t>Votes For</w:t>
            </w: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Votes Withheld</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Broker Non-Vote</w:t>
            </w: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5,053,812</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159,356</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John Engleman</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5,113,958</w:t>
            </w:r>
          </w:p>
        </w:tc>
        <w:tc>
          <w:tcPr>
            <w:tcW w:w="3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99,210</w:t>
            </w:r>
          </w:p>
        </w:tc>
        <w:tc>
          <w:tcPr>
            <w:tcW w:w="30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Stout</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4,821,630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391,538</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Salvatore Giardina</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5,105,727</w:t>
            </w:r>
          </w:p>
        </w:tc>
        <w:tc>
          <w:tcPr>
            <w:tcW w:w="3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107,441</w:t>
            </w:r>
          </w:p>
        </w:tc>
        <w:tc>
          <w:tcPr>
            <w:tcW w:w="30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T. Bernstein</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5,096,298</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116,870</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shd w:val="clear" w:color="auto" w:fill="CCEEFF"/>
          </w:tcPr>
          <w:p>
            <w:pPr>
              <w:spacing w:after="0"/>
              <w:rPr>
                <w:sz w:val="18"/>
                <w:szCs w:val="18"/>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Richard K. Abbe</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5,105,548</w:t>
            </w:r>
          </w:p>
        </w:tc>
        <w:tc>
          <w:tcPr>
            <w:tcW w:w="3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107,620</w:t>
            </w:r>
          </w:p>
        </w:tc>
        <w:tc>
          <w:tcPr>
            <w:tcW w:w="30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6,543,653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00" w:right="240" w:hanging="292"/>
        <w:spacing w:after="0" w:line="264"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amendment to the Plan to increase the number of shares of FORM Common Stock reserved for issuance under the Plan to up to a maximum of 7,573,568 shares and to increase the maximum number of shares available for grant to a single participant in any fiscal year from 400,000 to 1,000,000 was approved, based on the following votes: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ind w:left="860"/>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4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3,348,264</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1,468,087</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396,817</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6,543,653</w:t>
            </w:r>
          </w:p>
        </w:tc>
      </w:tr>
    </w:tbl>
    <w:p>
      <w:pPr>
        <w:spacing w:after="0" w:line="202" w:lineRule="exact"/>
        <w:rPr>
          <w:sz w:val="20"/>
          <w:szCs w:val="20"/>
          <w:color w:val="auto"/>
        </w:rPr>
      </w:pPr>
    </w:p>
    <w:p>
      <w:pPr>
        <w:ind w:left="300" w:hanging="29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selection of Cohn Reznick LLP as FORM’s independent registered public accounting firm for the fiscal year ending December 31, 2016, was ratified,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11,410,795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135,969</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210,057</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(6) The Certificate of Amendment to remove “only-for-cause” director removal was approved, based on the following votes: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10,802,811</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874,998</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79,012</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300" w:right="520" w:hanging="29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of FORM’s named executive officers, as disclosed in FORM’s proxy statement, was approved by an advisory vote,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ind w:left="860"/>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Votes Against</w:t>
            </w:r>
          </w:p>
        </w:tc>
        <w:tc>
          <w:tcPr>
            <w:tcW w:w="2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Votes Abstain</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24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3,731,645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1,410,971</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70,552</w:t>
            </w: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6,543,653</w:t>
            </w:r>
          </w:p>
        </w:tc>
      </w:tr>
    </w:tbl>
    <w:p>
      <w:pPr>
        <w:spacing w:after="0" w:line="202" w:lineRule="exact"/>
        <w:rPr>
          <w:sz w:val="20"/>
          <w:szCs w:val="20"/>
          <w:color w:val="auto"/>
        </w:rPr>
      </w:pPr>
    </w:p>
    <w:p>
      <w:pPr>
        <w:ind w:left="300" w:right="140" w:hanging="29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proposal to adjourn the Annual Meeting, if necessary, to solicit additional proxies if there are not sufficient votes in favor of FORM’s Proposal Nos. 1, 2, 3, 4, 5, 6 or 7,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ind w:left="60"/>
              <w:spacing w:after="0"/>
              <w:rPr>
                <w:sz w:val="20"/>
                <w:szCs w:val="20"/>
                <w:color w:val="auto"/>
              </w:rPr>
            </w:pPr>
            <w:r>
              <w:rPr>
                <w:rFonts w:ascii="Arial" w:cs="Arial" w:eastAsia="Arial" w:hAnsi="Arial"/>
                <w:sz w:val="18"/>
                <w:szCs w:val="18"/>
                <w:b w:val="1"/>
                <w:bCs w:val="1"/>
                <w:color w:val="auto"/>
              </w:rPr>
              <w:t>Votes For</w:t>
            </w: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6"/>
              </w:rPr>
              <w:t>Votes Against</w:t>
            </w:r>
          </w:p>
        </w:tc>
        <w:tc>
          <w:tcPr>
            <w:tcW w:w="28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Votes Abstain</w:t>
            </w: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Broker Non-Vote</w:t>
            </w:r>
          </w:p>
        </w:tc>
        <w:tc>
          <w:tcPr>
            <w:tcW w:w="5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9,298,385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2,124,186</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334,250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r>
      <w:tr>
        <w:trPr>
          <w:trHeight w:val="432"/>
        </w:trPr>
        <w:tc>
          <w:tcPr>
            <w:tcW w:w="3800" w:type="dxa"/>
            <w:vAlign w:val="bottom"/>
            <w:gridSpan w:val="7"/>
          </w:tcPr>
          <w:p>
            <w:pPr>
              <w:spacing w:after="0"/>
              <w:rPr>
                <w:sz w:val="20"/>
                <w:szCs w:val="20"/>
                <w:color w:val="auto"/>
              </w:rPr>
            </w:pPr>
            <w:r>
              <w:rPr>
                <w:rFonts w:ascii="Arial" w:cs="Arial" w:eastAsia="Arial" w:hAnsi="Arial"/>
                <w:sz w:val="18"/>
                <w:szCs w:val="18"/>
                <w:b w:val="1"/>
                <w:bCs w:val="1"/>
                <w:color w:val="auto"/>
                <w:w w:val="98"/>
              </w:rPr>
              <w:t>Item 9.01   Financial Statements and Exhibits</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8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w w:val="91"/>
              </w:rPr>
              <w:t>Certificate of Amendment to Amended and Restated Certificate of Incorporation, as amended, to remove “only-for-cause” director</w:t>
            </w:r>
          </w:p>
        </w:tc>
        <w:tc>
          <w:tcPr>
            <w:tcW w:w="5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removal</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40" w:type="dxa"/>
            <w:vAlign w:val="bottom"/>
            <w:gridSpan w:val="8"/>
          </w:tcPr>
          <w:p>
            <w:pPr>
              <w:spacing w:after="0"/>
              <w:rPr>
                <w:sz w:val="20"/>
                <w:szCs w:val="20"/>
                <w:color w:val="auto"/>
              </w:rPr>
            </w:pPr>
            <w:r>
              <w:rPr>
                <w:rFonts w:ascii="Arial" w:cs="Arial" w:eastAsia="Arial" w:hAnsi="Arial"/>
                <w:sz w:val="18"/>
                <w:szCs w:val="18"/>
                <w:color w:val="auto"/>
                <w:w w:val="93"/>
              </w:rPr>
              <w:t>FORM Holdings Corp. 2012 Employee, Director and Consultant Equity Incentive Plan, as amended.</w:t>
            </w:r>
          </w:p>
        </w:tc>
        <w:tc>
          <w:tcPr>
            <w:tcW w:w="2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November 28, 2016</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 CORP.</w:t>
      </w:r>
      <w:r>
        <w:rPr>
          <w:rFonts w:ascii="Arial" w:cs="Arial" w:eastAsia="Arial" w:hAnsi="Arial"/>
          <w:sz w:val="18"/>
          <w:szCs w:val="18"/>
          <w:color w:val="auto"/>
        </w:rPr>
        <w:t>, a Delaware corporation (the “Corporation”), does hereby certify that:</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is FORM HOLDINGS CORP.</w:t>
      </w:r>
    </w:p>
    <w:p>
      <w:pPr>
        <w:spacing w:after="0" w:line="218" w:lineRule="exact"/>
        <w:rPr>
          <w:sz w:val="20"/>
          <w:szCs w:val="20"/>
          <w:color w:val="auto"/>
        </w:rPr>
      </w:pPr>
    </w:p>
    <w:p>
      <w:pPr>
        <w:sectPr>
          <w:pgSz w:w="11900" w:h="16838" w:orient="portrait"/>
          <w:cols w:equalWidth="0" w:num="2">
            <w:col w:w="1360" w:space="720"/>
            <w:col w:w="9340"/>
          </w:cols>
          <w:pgMar w:left="240" w:top="36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and on May 5, 2016.</w:t>
      </w:r>
    </w:p>
    <w:p>
      <w:pPr>
        <w:spacing w:after="0" w:line="167" w:lineRule="exact"/>
        <w:rPr>
          <w:sz w:val="20"/>
          <w:szCs w:val="20"/>
          <w:color w:val="auto"/>
        </w:rPr>
      </w:pPr>
    </w:p>
    <w:p>
      <w:pPr>
        <w:sectPr>
          <w:pgSz w:w="11900" w:h="16838" w:orient="portrait"/>
          <w:cols w:equalWidth="0" w:num="2">
            <w:col w:w="1360" w:space="720"/>
            <w:col w:w="9340"/>
          </w:cols>
          <w:pgMar w:left="240" w:top="36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THIRD:</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1" w:lineRule="exact"/>
        <w:rPr>
          <w:sz w:val="20"/>
          <w:szCs w:val="20"/>
          <w:color w:val="auto"/>
        </w:rPr>
      </w:pPr>
    </w:p>
    <w:p>
      <w:pPr>
        <w:sectPr>
          <w:pgSz w:w="11900" w:h="16838" w:orient="portrait"/>
          <w:cols w:equalWidth="0" w:num="2">
            <w:col w:w="1360" w:space="720"/>
            <w:col w:w="9340"/>
          </w:cols>
          <w:pgMar w:left="240" w:top="364" w:right="239" w:bottom="1440" w:gutter="0" w:footer="0" w:header="0"/>
          <w:type w:val="continuous"/>
        </w:sectPr>
      </w:pPr>
    </w:p>
    <w:p>
      <w:pPr>
        <w:ind w:left="2080"/>
        <w:spacing w:after="0" w:line="277" w:lineRule="auto"/>
        <w:rPr>
          <w:sz w:val="20"/>
          <w:szCs w:val="20"/>
          <w:color w:val="auto"/>
        </w:rPr>
      </w:pPr>
      <w:r>
        <w:rPr>
          <w:rFonts w:ascii="Arial" w:cs="Arial" w:eastAsia="Arial" w:hAnsi="Arial"/>
          <w:sz w:val="18"/>
          <w:szCs w:val="18"/>
          <w:color w:val="auto"/>
        </w:rPr>
        <w:t>Article Fifth, Section (2) of the Corporation’s Amended and Restated Certificate of Incorporation is hereby deleted in its entirety and replaced with the following:</w:t>
      </w:r>
    </w:p>
    <w:p>
      <w:pPr>
        <w:spacing w:after="0" w:line="170" w:lineRule="exact"/>
        <w:rPr>
          <w:sz w:val="20"/>
          <w:szCs w:val="20"/>
          <w:color w:val="auto"/>
        </w:rPr>
      </w:pPr>
    </w:p>
    <w:p>
      <w:pPr>
        <w:jc w:val="both"/>
        <w:ind w:left="2080"/>
        <w:spacing w:after="0" w:line="259" w:lineRule="auto"/>
        <w:rPr>
          <w:sz w:val="20"/>
          <w:szCs w:val="20"/>
          <w:color w:val="auto"/>
        </w:rPr>
      </w:pPr>
      <w:r>
        <w:rPr>
          <w:rFonts w:ascii="Arial" w:cs="Arial" w:eastAsia="Arial" w:hAnsi="Arial"/>
          <w:sz w:val="18"/>
          <w:szCs w:val="18"/>
          <w:color w:val="auto"/>
        </w:rPr>
        <w:t>“(2) 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Corporation entitled to vote generally in the election of directors, voting together as a single class.”</w:t>
      </w:r>
    </w:p>
    <w:p>
      <w:pPr>
        <w:sectPr>
          <w:pgSz w:w="11900" w:h="16838" w:orient="portrait"/>
          <w:cols w:equalWidth="0" w:num="1">
            <w:col w:w="11420"/>
          </w:cols>
          <w:pgMar w:left="240" w:top="364"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120" w:lineRule="exact"/>
        <w:rPr>
          <w:sz w:val="20"/>
          <w:szCs w:val="20"/>
          <w:color w:val="auto"/>
        </w:rPr>
      </w:pPr>
    </w:p>
    <w:p>
      <w:pPr>
        <w:sectPr>
          <w:pgSz w:w="11900" w:h="16838" w:orient="portrait"/>
          <w:cols w:equalWidth="0" w:num="2">
            <w:col w:w="1360" w:space="720"/>
            <w:col w:w="9340"/>
          </w:cols>
          <w:pgMar w:left="240" w:top="364" w:right="239" w:bottom="1440" w:gutter="0" w:footer="0" w:header="0"/>
          <w:type w:val="continuous"/>
        </w:sectPr>
      </w:pPr>
    </w:p>
    <w:p>
      <w:pPr>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Anastasia Nyrkovskaya,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the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2016.</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170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c>
          <w:tcPr>
            <w:tcW w:w="170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700" w:type="dxa"/>
            <w:vAlign w:val="bottom"/>
          </w:tcPr>
          <w:p>
            <w:pPr>
              <w:spacing w:after="0"/>
              <w:rPr>
                <w:sz w:val="20"/>
                <w:szCs w:val="20"/>
                <w:color w:val="auto"/>
              </w:rPr>
            </w:pPr>
          </w:p>
        </w:tc>
      </w:tr>
      <w:tr>
        <w:trPr>
          <w:trHeight w:val="891"/>
        </w:trPr>
        <w:tc>
          <w:tcPr>
            <w:tcW w:w="6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November 28, 2016)</w:t>
      </w:r>
    </w:p>
    <w:p>
      <w:pPr>
        <w:spacing w:after="0" w:line="211" w:lineRule="exact"/>
        <w:rPr>
          <w:sz w:val="20"/>
          <w:szCs w:val="20"/>
          <w:color w:val="auto"/>
        </w:rPr>
      </w:pPr>
    </w:p>
    <w:p>
      <w:pPr>
        <w:ind w:left="460" w:hanging="18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FORM Holdings Corp. 2012 Employee, Director and Consultant Equity Incentive Plan, have the following meanings:</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79" w:lineRule="exact"/>
        <w:rPr>
          <w:sz w:val="20"/>
          <w:szCs w:val="20"/>
          <w:color w:val="auto"/>
        </w:rPr>
      </w:pPr>
    </w:p>
    <w:p>
      <w:pPr>
        <w:jc w:val="both"/>
        <w:ind w:left="620" w:hanging="328"/>
        <w:spacing w:after="0" w:line="257" w:lineRule="auto"/>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 “Beneficial Owner”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42" w:lineRule="exact"/>
        <w:rPr>
          <w:rFonts w:ascii="Arial" w:cs="Arial" w:eastAsia="Arial" w:hAnsi="Arial"/>
          <w:sz w:val="18"/>
          <w:szCs w:val="18"/>
          <w:b w:val="1"/>
          <w:bCs w:val="1"/>
          <w:color w:val="auto"/>
        </w:rPr>
      </w:pPr>
    </w:p>
    <w:p>
      <w:pPr>
        <w:jc w:val="both"/>
        <w:ind w:left="620" w:hanging="328"/>
        <w:spacing w:after="0" w:line="255" w:lineRule="auto"/>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Merger/Sale of Assets</w:t>
      </w:r>
      <w:r>
        <w:rPr>
          <w:rFonts w:ascii="Arial" w:cs="Arial" w:eastAsia="Arial" w:hAnsi="Arial"/>
          <w:sz w:val="18"/>
          <w:szCs w:val="18"/>
          <w:color w:val="auto"/>
        </w:rPr>
        <w:t>. (A) A merger or consolidation of the Company whether or not approved by the Board of Directors, other than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247" w:lineRule="exact"/>
        <w:rPr>
          <w:rFonts w:ascii="Arial" w:cs="Arial" w:eastAsia="Arial" w:hAnsi="Arial"/>
          <w:sz w:val="18"/>
          <w:szCs w:val="18"/>
          <w:b w:val="1"/>
          <w:bCs w:val="1"/>
          <w:color w:val="auto"/>
        </w:rPr>
      </w:pPr>
    </w:p>
    <w:p>
      <w:pPr>
        <w:jc w:val="both"/>
        <w:ind w:left="620" w:hanging="328"/>
        <w:spacing w:after="0" w:line="297" w:lineRule="auto"/>
        <w:tabs>
          <w:tab w:leader="none" w:pos="62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Change in Board Composition</w:t>
      </w:r>
      <w:r>
        <w:rPr>
          <w:rFonts w:ascii="Arial" w:cs="Arial" w:eastAsia="Arial" w:hAnsi="Arial"/>
          <w:sz w:val="16"/>
          <w:szCs w:val="16"/>
          <w:color w:val="auto"/>
        </w:rPr>
        <w:t>. A change in the composition of the Board of Directors, as a result of which fewer than a majority of the directors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20" w:lineRule="exact"/>
        <w:rPr>
          <w:rFonts w:ascii="Arial" w:cs="Arial" w:eastAsia="Arial" w:hAnsi="Arial"/>
          <w:sz w:val="16"/>
          <w:szCs w:val="16"/>
          <w:b w:val="1"/>
          <w:bCs w:val="1"/>
          <w:color w:val="auto"/>
        </w:rPr>
      </w:pPr>
    </w:p>
    <w:p>
      <w:pPr>
        <w:ind w:left="620" w:hanging="328"/>
        <w:spacing w:after="0" w:line="277" w:lineRule="auto"/>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280"/>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237" w:lineRule="exact"/>
        <w:rPr>
          <w:sz w:val="20"/>
          <w:szCs w:val="20"/>
          <w:color w:val="auto"/>
        </w:rPr>
      </w:pPr>
    </w:p>
    <w:p>
      <w:pPr>
        <w:jc w:val="both"/>
        <w:ind w:firstLine="270"/>
        <w:spacing w:after="0" w:line="28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FORM Holdings Corp., a Delaware corporation.</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5" w:lineRule="exact"/>
        <w:rPr>
          <w:sz w:val="20"/>
          <w:szCs w:val="20"/>
          <w:color w:val="auto"/>
        </w:rPr>
      </w:pPr>
    </w:p>
    <w:p>
      <w:pPr>
        <w:jc w:val="both"/>
        <w:ind w:firstLine="278"/>
        <w:spacing w:after="0" w:line="286" w:lineRule="auto"/>
        <w:tabs>
          <w:tab w:leader="none" w:pos="5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65" w:lineRule="exact"/>
        <w:rPr>
          <w:rFonts w:ascii="Arial" w:cs="Arial" w:eastAsia="Arial" w:hAnsi="Arial"/>
          <w:sz w:val="17"/>
          <w:szCs w:val="17"/>
          <w:color w:val="auto"/>
        </w:rPr>
      </w:pPr>
    </w:p>
    <w:p>
      <w:pPr>
        <w:jc w:val="both"/>
        <w:ind w:firstLine="278"/>
        <w:spacing w:after="0" w:line="302" w:lineRule="auto"/>
        <w:tabs>
          <w:tab w:leader="none" w:pos="5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54" w:lineRule="exact"/>
        <w:rPr>
          <w:rFonts w:ascii="Arial" w:cs="Arial" w:eastAsia="Arial" w:hAnsi="Arial"/>
          <w:sz w:val="16"/>
          <w:szCs w:val="16"/>
          <w:color w:val="auto"/>
        </w:rPr>
      </w:pPr>
    </w:p>
    <w:p>
      <w:pPr>
        <w:ind w:firstLine="278"/>
        <w:spacing w:after="0" w:line="342"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8" w:lineRule="exact"/>
        <w:rPr>
          <w:sz w:val="20"/>
          <w:szCs w:val="20"/>
          <w:color w:val="auto"/>
        </w:rPr>
      </w:pPr>
    </w:p>
    <w:p>
      <w:pPr>
        <w:ind w:right="460" w:firstLine="8"/>
        <w:spacing w:after="0" w:line="194" w:lineRule="auto"/>
        <w:tabs>
          <w:tab w:leader="none" w:pos="12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28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FORM Holdings Corp. 2012 Employee, Director and Consultant Equity Incentive Plan.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5" w:lineRule="exact"/>
        <w:rPr>
          <w:sz w:val="20"/>
          <w:szCs w:val="20"/>
          <w:color w:val="auto"/>
        </w:rPr>
      </w:pPr>
    </w:p>
    <w:p>
      <w:pPr>
        <w:jc w:val="both"/>
        <w:ind w:firstLine="272"/>
        <w:spacing w:after="0" w:line="264"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Stock-Based Award</w:t>
      </w:r>
      <w:r>
        <w:rPr>
          <w:rFonts w:ascii="Arial" w:cs="Arial" w:eastAsia="Arial" w:hAnsi="Arial"/>
          <w:sz w:val="16"/>
          <w:szCs w:val="16"/>
          <w:color w:val="auto"/>
        </w:rPr>
        <w:t xml:space="preserve"> means a grant by the Company under the Plan of an equity award or an equity based award which is not an Option or a Stock Grant.</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ind w:left="460" w:hanging="18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7" w:lineRule="exact"/>
        <w:rPr>
          <w:sz w:val="20"/>
          <w:szCs w:val="20"/>
          <w:color w:val="auto"/>
        </w:rPr>
      </w:pPr>
    </w:p>
    <w:p>
      <w:pPr>
        <w:ind w:left="460" w:hanging="18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left="520" w:hanging="24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which may be issued from time to time pursuant to this Plan shall be 7,573,568.</w:t>
      </w:r>
    </w:p>
    <w:p>
      <w:pPr>
        <w:spacing w:after="0" w:line="225" w:lineRule="exact"/>
        <w:rPr>
          <w:rFonts w:ascii="Arial" w:cs="Arial" w:eastAsia="Arial" w:hAnsi="Arial"/>
          <w:sz w:val="18"/>
          <w:szCs w:val="18"/>
          <w:color w:val="auto"/>
        </w:rPr>
      </w:pPr>
    </w:p>
    <w:p>
      <w:pPr>
        <w:jc w:val="both"/>
        <w:ind w:left="280" w:hanging="2"/>
        <w:spacing w:after="0" w:line="254" w:lineRule="auto"/>
        <w:tabs>
          <w:tab w:leader="none" w:pos="5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460" w:hanging="18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278"/>
        <w:spacing w:after="0" w:line="277" w:lineRule="auto"/>
        <w:tabs>
          <w:tab w:leader="none" w:pos="5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firstLine="278"/>
        <w:spacing w:after="0" w:line="277" w:lineRule="auto"/>
        <w:tabs>
          <w:tab w:leader="none" w:pos="5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1.0 mm Shares be granted to any Participant in any fiscal year;</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5" w:lineRule="exact"/>
        <w:rPr>
          <w:rFonts w:ascii="Arial" w:cs="Arial" w:eastAsia="Arial" w:hAnsi="Arial"/>
          <w:sz w:val="18"/>
          <w:szCs w:val="18"/>
          <w:color w:val="auto"/>
        </w:rPr>
      </w:pPr>
    </w:p>
    <w:p>
      <w:pPr>
        <w:jc w:val="both"/>
        <w:ind w:firstLine="278"/>
        <w:spacing w:after="0" w:line="273" w:lineRule="auto"/>
        <w:tabs>
          <w:tab w:leader="none" w:pos="51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78" w:lineRule="exact"/>
        <w:rPr>
          <w:rFonts w:ascii="Arial" w:cs="Arial" w:eastAsia="Arial" w:hAnsi="Arial"/>
          <w:sz w:val="17"/>
          <w:szCs w:val="17"/>
          <w:color w:val="auto"/>
        </w:rPr>
      </w:pPr>
    </w:p>
    <w:p>
      <w:pPr>
        <w:jc w:val="both"/>
        <w:ind w:firstLine="278"/>
        <w:spacing w:after="0" w:line="271" w:lineRule="auto"/>
        <w:tabs>
          <w:tab w:leader="none" w:pos="5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460" w:hanging="18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22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460" w:hanging="18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54" w:lineRule="exact"/>
        <w:rPr>
          <w:sz w:val="20"/>
          <w:szCs w:val="20"/>
          <w:color w:val="auto"/>
        </w:rPr>
      </w:pPr>
    </w:p>
    <w:p>
      <w:pPr>
        <w:ind w:firstLine="278"/>
        <w:spacing w:after="0" w:line="308" w:lineRule="auto"/>
        <w:tabs>
          <w:tab w:leader="none" w:pos="52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Non-Qualified Options</w:t>
      </w:r>
      <w:r>
        <w:rPr>
          <w:rFonts w:ascii="Arial" w:cs="Arial" w:eastAsia="Arial" w:hAnsi="Arial"/>
          <w:sz w:val="17"/>
          <w:szCs w:val="17"/>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46" w:lineRule="exact"/>
        <w:rPr>
          <w:rFonts w:ascii="Arial" w:cs="Arial" w:eastAsia="Arial" w:hAnsi="Arial"/>
          <w:sz w:val="17"/>
          <w:szCs w:val="17"/>
          <w:color w:val="auto"/>
        </w:rPr>
      </w:pPr>
    </w:p>
    <w:p>
      <w:pPr>
        <w:jc w:val="both"/>
        <w:ind w:left="840" w:hanging="278"/>
        <w:spacing w:after="0" w:line="302" w:lineRule="auto"/>
        <w:tabs>
          <w:tab w:leader="none" w:pos="84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208" w:lineRule="exact"/>
        <w:rPr>
          <w:rFonts w:ascii="Arial" w:cs="Arial" w:eastAsia="Arial" w:hAnsi="Arial"/>
          <w:sz w:val="16"/>
          <w:szCs w:val="16"/>
          <w:color w:val="auto"/>
        </w:rPr>
      </w:pPr>
    </w:p>
    <w:p>
      <w:pPr>
        <w:ind w:left="840" w:hanging="278"/>
        <w:spacing w:after="0"/>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333" w:lineRule="exact"/>
        <w:rPr>
          <w:sz w:val="20"/>
          <w:szCs w:val="20"/>
          <w:color w:val="auto"/>
        </w:rPr>
      </w:pPr>
    </w:p>
    <w:p>
      <w:pPr>
        <w:jc w:val="both"/>
        <w:ind w:left="840" w:hanging="269"/>
        <w:spacing w:after="0" w:line="264"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235" w:lineRule="exact"/>
        <w:rPr>
          <w:sz w:val="20"/>
          <w:szCs w:val="20"/>
          <w:color w:val="auto"/>
        </w:rPr>
      </w:pPr>
    </w:p>
    <w:p>
      <w:pPr>
        <w:ind w:left="840" w:hanging="278"/>
        <w:spacing w:after="0" w:line="308" w:lineRule="auto"/>
        <w:tabs>
          <w:tab w:leader="none" w:pos="84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Option Conditions</w:t>
      </w:r>
      <w:r>
        <w:rPr>
          <w:rFonts w:ascii="Arial" w:cs="Arial" w:eastAsia="Arial" w:hAnsi="Arial"/>
          <w:sz w:val="17"/>
          <w:szCs w:val="17"/>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200" w:lineRule="exact"/>
        <w:rPr>
          <w:rFonts w:ascii="Arial" w:cs="Arial" w:eastAsia="Arial" w:hAnsi="Arial"/>
          <w:sz w:val="17"/>
          <w:szCs w:val="17"/>
          <w:color w:val="auto"/>
        </w:rPr>
      </w:pPr>
    </w:p>
    <w:p>
      <w:pPr>
        <w:ind w:left="1100" w:hanging="268"/>
        <w:spacing w:after="0"/>
        <w:tabs>
          <w:tab w:leader="none" w:pos="11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333" w:lineRule="exact"/>
        <w:rPr>
          <w:rFonts w:ascii="Arial" w:cs="Arial" w:eastAsia="Arial" w:hAnsi="Arial"/>
          <w:sz w:val="18"/>
          <w:szCs w:val="18"/>
          <w:color w:val="auto"/>
        </w:rPr>
      </w:pPr>
    </w:p>
    <w:p>
      <w:pPr>
        <w:ind w:left="1100" w:hanging="268"/>
        <w:spacing w:after="0" w:line="277" w:lineRule="auto"/>
        <w:tabs>
          <w:tab w:leader="none" w:pos="11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224" w:lineRule="exact"/>
        <w:rPr>
          <w:rFonts w:ascii="Arial" w:cs="Arial" w:eastAsia="Arial" w:hAnsi="Arial"/>
          <w:sz w:val="18"/>
          <w:szCs w:val="18"/>
          <w:color w:val="auto"/>
        </w:rPr>
      </w:pPr>
    </w:p>
    <w:p>
      <w:pPr>
        <w:ind w:left="840" w:hanging="278"/>
        <w:spacing w:after="0" w:line="277"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0" w:lineRule="exact"/>
        <w:rPr>
          <w:rFonts w:ascii="Arial" w:cs="Arial" w:eastAsia="Arial" w:hAnsi="Arial"/>
          <w:sz w:val="18"/>
          <w:szCs w:val="18"/>
          <w:color w:val="auto"/>
        </w:rPr>
      </w:pPr>
    </w:p>
    <w:p>
      <w:pPr>
        <w:jc w:val="both"/>
        <w:ind w:firstLine="278"/>
        <w:spacing w:after="0" w:line="286" w:lineRule="auto"/>
        <w:tabs>
          <w:tab w:leader="none" w:pos="52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219" w:lineRule="exact"/>
        <w:rPr>
          <w:rFonts w:ascii="Arial" w:cs="Arial" w:eastAsia="Arial" w:hAnsi="Arial"/>
          <w:sz w:val="17"/>
          <w:szCs w:val="17"/>
          <w:color w:val="auto"/>
        </w:rPr>
      </w:pPr>
    </w:p>
    <w:p>
      <w:pPr>
        <w:ind w:left="840" w:right="20" w:hanging="278"/>
        <w:spacing w:after="0" w:line="277"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224" w:lineRule="exact"/>
        <w:rPr>
          <w:rFonts w:ascii="Arial" w:cs="Arial" w:eastAsia="Arial" w:hAnsi="Arial"/>
          <w:sz w:val="18"/>
          <w:szCs w:val="18"/>
          <w:color w:val="auto"/>
        </w:rPr>
      </w:pPr>
    </w:p>
    <w:p>
      <w:pPr>
        <w:ind w:left="840" w:hanging="278"/>
        <w:spacing w:after="0" w:line="277"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224" w:lineRule="exact"/>
        <w:rPr>
          <w:rFonts w:ascii="Arial" w:cs="Arial" w:eastAsia="Arial" w:hAnsi="Arial"/>
          <w:sz w:val="18"/>
          <w:szCs w:val="18"/>
          <w:color w:val="auto"/>
        </w:rPr>
      </w:pPr>
    </w:p>
    <w:p>
      <w:pPr>
        <w:jc w:val="both"/>
        <w:ind w:left="1100" w:hanging="268"/>
        <w:spacing w:after="0" w:line="264" w:lineRule="auto"/>
        <w:tabs>
          <w:tab w:leader="none" w:pos="11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left="1100" w:hanging="268"/>
        <w:spacing w:after="0" w:line="264"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Term of Option: For Participants who own:</w:t>
      </w:r>
    </w:p>
    <w:p>
      <w:pPr>
        <w:spacing w:after="0" w:line="333" w:lineRule="exact"/>
        <w:rPr>
          <w:sz w:val="20"/>
          <w:szCs w:val="20"/>
          <w:color w:val="auto"/>
        </w:rPr>
      </w:pPr>
    </w:p>
    <w:p>
      <w:pPr>
        <w:ind w:left="1100" w:hanging="268"/>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224" w:lineRule="exact"/>
        <w:rPr>
          <w:rFonts w:ascii="Arial" w:cs="Arial" w:eastAsia="Arial" w:hAnsi="Arial"/>
          <w:sz w:val="18"/>
          <w:szCs w:val="18"/>
          <w:color w:val="auto"/>
        </w:rPr>
      </w:pPr>
    </w:p>
    <w:p>
      <w:pPr>
        <w:ind w:left="1100" w:right="20" w:hanging="268"/>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0" w:lineRule="exact"/>
        <w:rPr>
          <w:sz w:val="20"/>
          <w:szCs w:val="20"/>
          <w:color w:val="auto"/>
        </w:rPr>
      </w:pPr>
    </w:p>
    <w:p>
      <w:pPr>
        <w:jc w:val="both"/>
        <w:ind w:left="1100" w:hanging="268"/>
        <w:spacing w:after="0" w:line="259" w:lineRule="auto"/>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86" w:lineRule="exact"/>
        <w:rPr>
          <w:rFonts w:ascii="Arial" w:cs="Arial" w:eastAsia="Arial" w:hAnsi="Arial"/>
          <w:sz w:val="18"/>
          <w:szCs w:val="18"/>
          <w:color w:val="auto"/>
        </w:rPr>
      </w:pPr>
    </w:p>
    <w:p>
      <w:pPr>
        <w:ind w:left="460" w:hanging="18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66" w:lineRule="exact"/>
        <w:rPr>
          <w:sz w:val="20"/>
          <w:szCs w:val="20"/>
          <w:color w:val="auto"/>
        </w:rPr>
      </w:pPr>
    </w:p>
    <w:p>
      <w:pPr>
        <w:jc w:val="both"/>
        <w:ind w:firstLine="278"/>
        <w:spacing w:after="0" w:line="264" w:lineRule="auto"/>
        <w:tabs>
          <w:tab w:leader="none" w:pos="5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1" w:lineRule="exact"/>
        <w:rPr>
          <w:rFonts w:ascii="Arial" w:cs="Arial" w:eastAsia="Arial" w:hAnsi="Arial"/>
          <w:sz w:val="18"/>
          <w:szCs w:val="18"/>
          <w:color w:val="auto"/>
        </w:rPr>
      </w:pPr>
    </w:p>
    <w:p>
      <w:pPr>
        <w:ind w:left="540" w:hanging="26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5" w:lineRule="exact"/>
        <w:rPr>
          <w:rFonts w:ascii="Arial" w:cs="Arial" w:eastAsia="Arial" w:hAnsi="Arial"/>
          <w:sz w:val="18"/>
          <w:szCs w:val="18"/>
          <w:color w:val="auto"/>
        </w:rPr>
      </w:pPr>
    </w:p>
    <w:p>
      <w:pPr>
        <w:ind w:firstLine="278"/>
        <w:spacing w:after="0" w:line="277" w:lineRule="auto"/>
        <w:tabs>
          <w:tab w:leader="none" w:pos="5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70" w:lineRule="exact"/>
        <w:rPr>
          <w:sz w:val="20"/>
          <w:szCs w:val="20"/>
          <w:color w:val="auto"/>
        </w:rPr>
      </w:pPr>
    </w:p>
    <w:p>
      <w:pPr>
        <w:ind w:left="460" w:hanging="18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5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ind w:left="460" w:hanging="18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7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540" w:hanging="26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22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w:t>
      </w:r>
    </w:p>
    <w:p>
      <w:pPr>
        <w:jc w:val="both"/>
        <w:spacing w:after="0" w:line="217" w:lineRule="auto"/>
        <w:rPr>
          <w:sz w:val="20"/>
          <w:szCs w:val="20"/>
          <w:color w:val="auto"/>
        </w:rPr>
      </w:pPr>
      <w:r>
        <w:rPr>
          <w:rFonts w:ascii="Arial" w:cs="Arial" w:eastAsia="Arial" w:hAnsi="Arial"/>
          <w:sz w:val="18"/>
          <w:szCs w:val="18"/>
          <w:color w:val="auto"/>
        </w:rPr>
        <w:t>Stock held for at least six months (if required to avoid negative accounting treatment) and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88" w:lineRule="exact"/>
        <w:rPr>
          <w:sz w:val="20"/>
          <w:szCs w:val="20"/>
          <w:color w:val="auto"/>
        </w:rPr>
      </w:pPr>
    </w:p>
    <w:p>
      <w:pPr>
        <w:ind w:left="540" w:hanging="26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60" w:firstLine="8"/>
        <w:spacing w:after="0" w:line="194" w:lineRule="auto"/>
        <w:tabs>
          <w:tab w:leader="none" w:pos="12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540" w:hanging="26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2" w:lineRule="exact"/>
        <w:rPr>
          <w:sz w:val="20"/>
          <w:szCs w:val="20"/>
          <w:color w:val="auto"/>
        </w:rPr>
      </w:pPr>
    </w:p>
    <w:p>
      <w:pPr>
        <w:ind w:left="540" w:hanging="26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jc w:val="both"/>
        <w:ind w:firstLine="278"/>
        <w:spacing w:after="0" w:line="255" w:lineRule="auto"/>
        <w:tabs>
          <w:tab w:leader="none" w:pos="5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193" w:lineRule="exact"/>
        <w:rPr>
          <w:rFonts w:ascii="Arial" w:cs="Arial" w:eastAsia="Arial" w:hAnsi="Arial"/>
          <w:sz w:val="18"/>
          <w:szCs w:val="18"/>
          <w:color w:val="auto"/>
        </w:rPr>
      </w:pPr>
    </w:p>
    <w:p>
      <w:pPr>
        <w:ind w:firstLine="278"/>
        <w:spacing w:after="0" w:line="277" w:lineRule="auto"/>
        <w:tabs>
          <w:tab w:leader="none" w:pos="5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170" w:lineRule="exact"/>
        <w:rPr>
          <w:rFonts w:ascii="Arial" w:cs="Arial" w:eastAsia="Arial" w:hAnsi="Arial"/>
          <w:sz w:val="18"/>
          <w:szCs w:val="18"/>
          <w:color w:val="auto"/>
        </w:rPr>
      </w:pPr>
    </w:p>
    <w:p>
      <w:pPr>
        <w:jc w:val="both"/>
        <w:ind w:firstLine="278"/>
        <w:spacing w:after="0" w:line="257" w:lineRule="auto"/>
        <w:tabs>
          <w:tab w:leader="none" w:pos="5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188" w:lineRule="exact"/>
        <w:rPr>
          <w:rFonts w:ascii="Arial" w:cs="Arial" w:eastAsia="Arial" w:hAnsi="Arial"/>
          <w:sz w:val="18"/>
          <w:szCs w:val="18"/>
          <w:color w:val="auto"/>
        </w:rPr>
      </w:pPr>
    </w:p>
    <w:p>
      <w:pPr>
        <w:jc w:val="both"/>
        <w:ind w:firstLine="278"/>
        <w:spacing w:after="0" w:line="259" w:lineRule="auto"/>
        <w:tabs>
          <w:tab w:leader="none" w:pos="5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8"/>
          <w:szCs w:val="18"/>
          <w:color w:val="auto"/>
        </w:rPr>
      </w:pPr>
    </w:p>
    <w:p>
      <w:pPr>
        <w:jc w:val="both"/>
        <w:ind w:firstLine="278"/>
        <w:spacing w:after="0" w:line="278" w:lineRule="auto"/>
        <w:tabs>
          <w:tab w:leader="none" w:pos="529"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such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278"/>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1" w:lineRule="exact"/>
        <w:rPr>
          <w:sz w:val="20"/>
          <w:szCs w:val="20"/>
          <w:color w:val="auto"/>
        </w:rPr>
      </w:pPr>
    </w:p>
    <w:p>
      <w:pPr>
        <w:ind w:left="540" w:hanging="26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225"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24" w:lineRule="exact"/>
        <w:rPr>
          <w:sz w:val="20"/>
          <w:szCs w:val="20"/>
          <w:color w:val="auto"/>
        </w:rPr>
      </w:pPr>
    </w:p>
    <w:p>
      <w:pPr>
        <w:ind w:firstLine="278"/>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0" w:lineRule="exact"/>
        <w:rPr>
          <w:rFonts w:ascii="Arial" w:cs="Arial" w:eastAsia="Arial" w:hAnsi="Arial"/>
          <w:sz w:val="18"/>
          <w:szCs w:val="18"/>
          <w:color w:val="auto"/>
        </w:rPr>
      </w:pPr>
    </w:p>
    <w:p>
      <w:pPr>
        <w:jc w:val="both"/>
        <w:ind w:firstLine="278"/>
        <w:spacing w:after="0" w:line="259" w:lineRule="auto"/>
        <w:tabs>
          <w:tab w:leader="none" w:pos="5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87" w:lineRule="exact"/>
        <w:rPr>
          <w:sz w:val="20"/>
          <w:szCs w:val="20"/>
          <w:color w:val="auto"/>
        </w:rPr>
      </w:pPr>
    </w:p>
    <w:p>
      <w:pPr>
        <w:ind w:left="280" w:right="5040" w:hanging="2"/>
        <w:spacing w:after="0" w:line="530" w:lineRule="auto"/>
        <w:tabs>
          <w:tab w:leader="none" w:pos="55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1" w:lineRule="exact"/>
        <w:rPr>
          <w:sz w:val="20"/>
          <w:szCs w:val="20"/>
          <w:color w:val="auto"/>
        </w:rPr>
      </w:pPr>
    </w:p>
    <w:p>
      <w:pPr>
        <w:ind w:firstLine="278"/>
        <w:spacing w:after="0" w:line="277" w:lineRule="auto"/>
        <w:tabs>
          <w:tab w:leader="none" w:pos="5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0" w:lineRule="exact"/>
        <w:rPr>
          <w:rFonts w:ascii="Arial" w:cs="Arial" w:eastAsia="Arial" w:hAnsi="Arial"/>
          <w:sz w:val="18"/>
          <w:szCs w:val="18"/>
          <w:color w:val="auto"/>
        </w:rPr>
      </w:pPr>
    </w:p>
    <w:p>
      <w:pPr>
        <w:ind w:left="280" w:right="20" w:firstLine="268"/>
        <w:spacing w:after="0" w:line="277" w:lineRule="auto"/>
        <w:tabs>
          <w:tab w:leader="none" w:pos="7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0" w:lineRule="exact"/>
        <w:rPr>
          <w:rFonts w:ascii="Arial" w:cs="Arial" w:eastAsia="Arial" w:hAnsi="Arial"/>
          <w:sz w:val="18"/>
          <w:szCs w:val="18"/>
          <w:color w:val="auto"/>
        </w:rPr>
      </w:pPr>
    </w:p>
    <w:p>
      <w:pPr>
        <w:jc w:val="both"/>
        <w:ind w:left="280" w:firstLine="268"/>
        <w:spacing w:after="0" w:line="259" w:lineRule="auto"/>
        <w:tabs>
          <w:tab w:leader="none" w:pos="81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6" w:lineRule="exact"/>
        <w:rPr>
          <w:rFonts w:ascii="Arial" w:cs="Arial" w:eastAsia="Arial" w:hAnsi="Arial"/>
          <w:sz w:val="18"/>
          <w:szCs w:val="18"/>
          <w:color w:val="auto"/>
        </w:rPr>
      </w:pPr>
    </w:p>
    <w:p>
      <w:pPr>
        <w:jc w:val="both"/>
        <w:ind w:firstLine="278"/>
        <w:spacing w:after="0" w:line="259" w:lineRule="auto"/>
        <w:tabs>
          <w:tab w:leader="none" w:pos="5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6" w:lineRule="exact"/>
        <w:rPr>
          <w:rFonts w:ascii="Arial" w:cs="Arial" w:eastAsia="Arial" w:hAnsi="Arial"/>
          <w:sz w:val="18"/>
          <w:szCs w:val="18"/>
          <w:color w:val="auto"/>
        </w:rPr>
      </w:pPr>
    </w:p>
    <w:p>
      <w:pPr>
        <w:jc w:val="both"/>
        <w:ind w:firstLine="278"/>
        <w:spacing w:after="0" w:line="259" w:lineRule="auto"/>
        <w:tabs>
          <w:tab w:leader="none" w:pos="5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280" w:right="3740" w:hanging="2"/>
        <w:spacing w:after="0" w:line="501" w:lineRule="auto"/>
        <w:tabs>
          <w:tab w:leader="none" w:pos="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ind w:firstLine="278"/>
        <w:spacing w:after="0" w:line="277" w:lineRule="auto"/>
        <w:tabs>
          <w:tab w:leader="none" w:pos="5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224" w:lineRule="exact"/>
        <w:rPr>
          <w:rFonts w:ascii="Arial" w:cs="Arial" w:eastAsia="Arial" w:hAnsi="Arial"/>
          <w:sz w:val="18"/>
          <w:szCs w:val="18"/>
          <w:color w:val="auto"/>
        </w:rPr>
      </w:pPr>
    </w:p>
    <w:p>
      <w:pPr>
        <w:ind w:left="840" w:hanging="278"/>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333" w:lineRule="exact"/>
        <w:rPr>
          <w:rFonts w:ascii="Arial" w:cs="Arial" w:eastAsia="Arial" w:hAnsi="Arial"/>
          <w:sz w:val="18"/>
          <w:szCs w:val="18"/>
          <w:color w:val="auto"/>
        </w:rPr>
      </w:pPr>
    </w:p>
    <w:p>
      <w:pPr>
        <w:jc w:val="both"/>
        <w:ind w:left="840" w:hanging="278"/>
        <w:spacing w:after="0" w:line="264" w:lineRule="auto"/>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1" w:lineRule="exact"/>
        <w:rPr>
          <w:rFonts w:ascii="Arial" w:cs="Arial" w:eastAsia="Arial" w:hAnsi="Arial"/>
          <w:sz w:val="18"/>
          <w:szCs w:val="18"/>
          <w:color w:val="auto"/>
        </w:rPr>
      </w:pPr>
    </w:p>
    <w:p>
      <w:pPr>
        <w:jc w:val="both"/>
        <w:ind w:firstLine="278"/>
        <w:spacing w:after="0" w:line="312" w:lineRule="auto"/>
        <w:tabs>
          <w:tab w:leader="none" w:pos="5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7" w:lineRule="exact"/>
        <w:rPr>
          <w:sz w:val="20"/>
          <w:szCs w:val="20"/>
          <w:color w:val="auto"/>
        </w:rPr>
      </w:pPr>
    </w:p>
    <w:p>
      <w:pPr>
        <w:ind w:left="540" w:hanging="26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70"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5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1" w:lineRule="exact"/>
        <w:rPr>
          <w:sz w:val="20"/>
          <w:szCs w:val="20"/>
          <w:color w:val="auto"/>
        </w:rPr>
      </w:pPr>
    </w:p>
    <w:p>
      <w:pPr>
        <w:ind w:left="540" w:hanging="26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171" w:lineRule="exact"/>
        <w:rPr>
          <w:sz w:val="20"/>
          <w:szCs w:val="20"/>
          <w:color w:val="auto"/>
        </w:rPr>
      </w:pPr>
    </w:p>
    <w:p>
      <w:pPr>
        <w:ind w:left="540" w:hanging="26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170" w:lineRule="exact"/>
        <w:rPr>
          <w:sz w:val="20"/>
          <w:szCs w:val="20"/>
          <w:color w:val="auto"/>
        </w:rPr>
      </w:pPr>
    </w:p>
    <w:p>
      <w:pPr>
        <w:ind w:firstLine="278"/>
        <w:spacing w:after="0" w:line="277" w:lineRule="auto"/>
        <w:tabs>
          <w:tab w:leader="none" w:pos="5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278"/>
        <w:spacing w:after="0" w:line="302" w:lineRule="auto"/>
        <w:tabs>
          <w:tab w:leader="none" w:pos="5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54" w:lineRule="exact"/>
        <w:rPr>
          <w:sz w:val="20"/>
          <w:szCs w:val="20"/>
          <w:color w:val="auto"/>
        </w:rPr>
      </w:pPr>
    </w:p>
    <w:p>
      <w:pPr>
        <w:ind w:left="540" w:hanging="26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5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540" w:hanging="26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193" w:lineRule="exact"/>
        <w:rPr>
          <w:sz w:val="20"/>
          <w:szCs w:val="20"/>
          <w:color w:val="auto"/>
        </w:rPr>
      </w:pPr>
    </w:p>
    <w:p>
      <w:pPr>
        <w:ind w:left="540" w:hanging="26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23"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84" w:lineRule="exact"/>
        <w:rPr>
          <w:sz w:val="20"/>
          <w:szCs w:val="20"/>
          <w:color w:val="auto"/>
        </w:rPr>
      </w:pPr>
    </w:p>
    <w:p>
      <w:pPr>
        <w:jc w:val="both"/>
        <w:ind w:firstLine="278"/>
        <w:spacing w:after="0" w:line="259" w:lineRule="auto"/>
        <w:tabs>
          <w:tab w:leader="none" w:pos="5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7"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7" w:lineRule="exact"/>
        <w:rPr>
          <w:sz w:val="20"/>
          <w:szCs w:val="20"/>
          <w:color w:val="auto"/>
        </w:rPr>
      </w:pPr>
    </w:p>
    <w:p>
      <w:pPr>
        <w:ind w:firstLine="278"/>
        <w:spacing w:after="0" w:line="277" w:lineRule="auto"/>
        <w:tabs>
          <w:tab w:leader="none" w:pos="5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540" w:hanging="26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22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9" w:lineRule="exact"/>
        <w:rPr>
          <w:sz w:val="20"/>
          <w:szCs w:val="20"/>
          <w:color w:val="auto"/>
        </w:rPr>
      </w:pPr>
    </w:p>
    <w:p>
      <w:pPr>
        <w:ind w:left="540" w:hanging="26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0" w:lineRule="exact"/>
        <w:rPr>
          <w:sz w:val="20"/>
          <w:szCs w:val="20"/>
          <w:color w:val="auto"/>
        </w:rPr>
      </w:pPr>
    </w:p>
    <w:p>
      <w:pPr>
        <w:jc w:val="both"/>
        <w:ind w:firstLine="278"/>
        <w:spacing w:after="0" w:line="273" w:lineRule="auto"/>
        <w:tabs>
          <w:tab w:leader="none" w:pos="51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178" w:lineRule="exact"/>
        <w:rPr>
          <w:rFonts w:ascii="Arial" w:cs="Arial" w:eastAsia="Arial" w:hAnsi="Arial"/>
          <w:sz w:val="17"/>
          <w:szCs w:val="17"/>
          <w:color w:val="auto"/>
        </w:rPr>
      </w:pPr>
    </w:p>
    <w:p>
      <w:pPr>
        <w:jc w:val="both"/>
        <w:ind w:firstLine="278"/>
        <w:spacing w:after="0" w:line="268" w:lineRule="auto"/>
        <w:tabs>
          <w:tab w:leader="none" w:pos="5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5"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14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firstLine="270"/>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jc w:val="both"/>
        <w:ind w:firstLine="278"/>
        <w:spacing w:after="0" w:line="257" w:lineRule="auto"/>
        <w:tabs>
          <w:tab w:leader="none" w:pos="51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8" w:lineRule="exact"/>
        <w:rPr>
          <w:rFonts w:ascii="Arial" w:cs="Arial" w:eastAsia="Arial" w:hAnsi="Arial"/>
          <w:sz w:val="18"/>
          <w:szCs w:val="18"/>
          <w:color w:val="auto"/>
        </w:rPr>
      </w:pPr>
    </w:p>
    <w:p>
      <w:pPr>
        <w:jc w:val="both"/>
        <w:ind w:firstLine="278"/>
        <w:spacing w:after="0" w:line="259" w:lineRule="auto"/>
        <w:tabs>
          <w:tab w:leader="none" w:pos="5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8"/>
          <w:szCs w:val="18"/>
          <w:color w:val="auto"/>
        </w:rPr>
      </w:pPr>
    </w:p>
    <w:p>
      <w:pPr>
        <w:jc w:val="both"/>
        <w:ind w:firstLine="278"/>
        <w:spacing w:after="0" w:line="271" w:lineRule="auto"/>
        <w:tabs>
          <w:tab w:leader="none" w:pos="51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79" w:lineRule="exact"/>
        <w:rPr>
          <w:sz w:val="20"/>
          <w:szCs w:val="20"/>
          <w:color w:val="auto"/>
        </w:rPr>
      </w:pPr>
    </w:p>
    <w:p>
      <w:pPr>
        <w:ind w:left="540" w:hanging="26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7" w:lineRule="exact"/>
        <w:rPr>
          <w:sz w:val="20"/>
          <w:szCs w:val="20"/>
          <w:color w:val="auto"/>
        </w:rPr>
      </w:pPr>
    </w:p>
    <w:p>
      <w:pPr>
        <w:ind w:left="540" w:hanging="26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70" w:lineRule="exact"/>
        <w:rPr>
          <w:sz w:val="20"/>
          <w:szCs w:val="20"/>
          <w:color w:val="auto"/>
        </w:rPr>
      </w:pPr>
    </w:p>
    <w:p>
      <w:pPr>
        <w:ind w:left="540" w:hanging="26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540" w:hanging="26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69" w:lineRule="exact"/>
        <w:rPr>
          <w:sz w:val="20"/>
          <w:szCs w:val="20"/>
          <w:color w:val="auto"/>
        </w:rPr>
      </w:pPr>
    </w:p>
    <w:p>
      <w:pPr>
        <w:ind w:left="540" w:hanging="26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2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73" w:lineRule="exact"/>
        <w:rPr>
          <w:sz w:val="20"/>
          <w:szCs w:val="20"/>
          <w:color w:val="auto"/>
        </w:rPr>
      </w:pPr>
    </w:p>
    <w:p>
      <w:pPr>
        <w:ind w:left="540" w:hanging="26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540" w:hanging="26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540" w:hanging="26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1" w:lineRule="exact"/>
        <w:rPr>
          <w:sz w:val="20"/>
          <w:szCs w:val="20"/>
          <w:color w:val="auto"/>
        </w:rPr>
      </w:pPr>
    </w:p>
    <w:p>
      <w:pPr>
        <w:ind w:left="540" w:hanging="26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decimal"/>
      <w:start w:val="3"/>
    </w:lvl>
  </w:abstractNum>
  <w:abstractNum w:abstractNumId="5">
    <w:nsid w:val="5072367"/>
    <w:multiLevelType w:val="hybridMultilevel"/>
    <w:lvl w:ilvl="0">
      <w:lvlJc w:val="left"/>
      <w:lvlText w:val="(%1)"/>
      <w:numFmt w:val="decimal"/>
      <w:start w:val="4"/>
    </w:lvl>
  </w:abstractNum>
  <w:abstractNum w:abstractNumId="6">
    <w:nsid w:val="3804823E"/>
    <w:multiLevelType w:val="hybridMultilevel"/>
    <w:lvl w:ilvl="0">
      <w:lvlJc w:val="left"/>
      <w:lvlText w:val="(%1)"/>
      <w:numFmt w:val="decimal"/>
      <w:start w:val="5"/>
    </w:lvl>
  </w:abstractNum>
  <w:abstractNum w:abstractNumId="7">
    <w:nsid w:val="77465F01"/>
    <w:multiLevelType w:val="hybridMultilevel"/>
    <w:lvl w:ilvl="0">
      <w:lvlJc w:val="left"/>
      <w:lvlText w:val="(%1)"/>
      <w:numFmt w:val="decimal"/>
      <w:start w:val="7"/>
    </w:lvl>
  </w:abstractNum>
  <w:abstractNum w:abstractNumId="8">
    <w:nsid w:val="7724C67E"/>
    <w:multiLevelType w:val="hybridMultilevel"/>
    <w:lvl w:ilvl="0">
      <w:lvlJc w:val="left"/>
      <w:lvlText w:val="(%1)"/>
      <w:numFmt w:val="decimal"/>
      <w:start w:val="8"/>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lowerRoman"/>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1."/>
      <w:numFmt w:val="decimal"/>
      <w:start w:val="2"/>
    </w:lvl>
  </w:abstractNum>
  <w:abstractNum w:abstractNumId="14">
    <w:nsid w:val="580BD78F"/>
    <w:multiLevelType w:val="hybridMultilevel"/>
    <w:lvl w:ilvl="0">
      <w:lvlJc w:val="left"/>
      <w:lvlText w:val="%1."/>
      <w:numFmt w:val="decimal"/>
      <w:start w:val="3"/>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decimal"/>
      <w:start w:val="4"/>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decimal"/>
      <w:start w:val="5"/>
    </w:lvl>
  </w:abstractNum>
  <w:abstractNum w:abstractNumId="19">
    <w:nsid w:val="2A487CB0"/>
    <w:multiLevelType w:val="hybridMultilevel"/>
    <w:lvl w:ilvl="0">
      <w:lvlJc w:val="left"/>
      <w:lvlText w:val="%1."/>
      <w:numFmt w:val="decimal"/>
      <w:start w:val="6"/>
    </w:lvl>
  </w:abstractNum>
  <w:abstractNum w:abstractNumId="20">
    <w:nsid w:val="1D4ED43B"/>
    <w:multiLevelType w:val="hybridMultilevel"/>
    <w:lvl w:ilvl="0">
      <w:lvlJc w:val="left"/>
      <w:lvlText w:val="(%1)"/>
      <w:numFmt w:val="lowerLetter"/>
      <w:start w:val="1"/>
    </w:lvl>
    <w:lvl w:ilvl="1">
      <w:lvlJc w:val="left"/>
      <w:lvlText w:val="(%2)"/>
      <w:numFmt w:val="lowerRoman"/>
      <w:start w:val="1"/>
    </w:lvl>
  </w:abstractNum>
  <w:abstractNum w:abstractNumId="21">
    <w:nsid w:val="725A06F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2">
    <w:nsid w:val="2CD89A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
    <w:nsid w:val="57E4CCAF"/>
    <w:multiLevelType w:val="hybridMultilevel"/>
    <w:lvl w:ilvl="0">
      <w:lvlJc w:val="left"/>
      <w:lvlText w:val="%1."/>
      <w:numFmt w:val="upperLetter"/>
      <w:start w:val="2"/>
    </w:lvl>
  </w:abstractNum>
  <w:abstractNum w:abstractNumId="24">
    <w:nsid w:val="7A6D8D3C"/>
    <w:multiLevelType w:val="hybridMultilevel"/>
    <w:lvl w:ilvl="0">
      <w:lvlJc w:val="left"/>
      <w:lvlText w:val="%1."/>
      <w:numFmt w:val="upperLetter"/>
      <w:start w:val="1"/>
    </w:lvl>
  </w:abstractNum>
  <w:abstractNum w:abstractNumId="25">
    <w:nsid w:val="4B588F54"/>
    <w:multiLevelType w:val="hybridMultilevel"/>
    <w:lvl w:ilvl="0">
      <w:lvlJc w:val="left"/>
      <w:lvlText w:val="%1"/>
      <w:numFmt w:val="decimal"/>
      <w:start w:val="1"/>
    </w:lvl>
    <w:lvl w:ilvl="1">
      <w:lvlJc w:val="left"/>
      <w:lvlText w:val="(%2)"/>
      <w:numFmt w:val="lowerRoman"/>
      <w:start w:val="4"/>
    </w:lvl>
  </w:abstractNum>
  <w:abstractNum w:abstractNumId="26">
    <w:nsid w:val="542289EC"/>
    <w:multiLevelType w:val="hybridMultilevel"/>
    <w:lvl w:ilvl="0">
      <w:lvlJc w:val="left"/>
      <w:lvlText w:val="%1."/>
      <w:numFmt w:val="decimal"/>
      <w:start w:val="7"/>
    </w:lvl>
    <w:lvl w:ilvl="1">
      <w:lvlJc w:val="left"/>
      <w:lvlText w:val="%2"/>
      <w:numFmt w:val="lowerRoman"/>
      <w:start w:val="1"/>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decimal"/>
      <w:start w:val="8"/>
    </w:lvl>
  </w:abstractNum>
  <w:abstractNum w:abstractNumId="29">
    <w:nsid w:val="7644A45C"/>
    <w:multiLevelType w:val="hybridMultilevel"/>
    <w:lvl w:ilvl="0">
      <w:lvlJc w:val="left"/>
      <w:lvlText w:val="%1."/>
      <w:numFmt w:val="decimal"/>
      <w:start w:val="9"/>
    </w:lvl>
  </w:abstractNum>
  <w:abstractNum w:abstractNumId="30">
    <w:nsid w:val="32FFF902"/>
    <w:multiLevelType w:val="hybridMultilevel"/>
    <w:lvl w:ilvl="0">
      <w:lvlJc w:val="left"/>
      <w:lvlText w:val="%1."/>
      <w:numFmt w:val="decimal"/>
      <w:start w:val="10"/>
    </w:lvl>
  </w:abstractNum>
  <w:abstractNum w:abstractNumId="31">
    <w:nsid w:val="684A481A"/>
    <w:multiLevelType w:val="hybridMultilevel"/>
    <w:lvl w:ilvl="0">
      <w:lvlJc w:val="left"/>
      <w:lvlText w:val="%1."/>
      <w:numFmt w:val="decimal"/>
      <w:start w:val="11"/>
    </w:lvl>
  </w:abstractNum>
  <w:abstractNum w:abstractNumId="32">
    <w:nsid w:val="579478FE"/>
    <w:multiLevelType w:val="hybridMultilevel"/>
    <w:lvl w:ilvl="0">
      <w:lvlJc w:val="left"/>
      <w:lvlText w:val="2"/>
      <w:numFmt w:val="bullet"/>
      <w:start w:val="1"/>
    </w:lvl>
  </w:abstractNum>
  <w:abstractNum w:abstractNumId="33">
    <w:nsid w:val="749ABB43"/>
    <w:multiLevelType w:val="hybridMultilevel"/>
    <w:lvl w:ilvl="0">
      <w:lvlJc w:val="left"/>
      <w:lvlText w:val="%1."/>
      <w:numFmt w:val="decimal"/>
      <w:start w:val="12"/>
    </w:lvl>
  </w:abstractNum>
  <w:abstractNum w:abstractNumId="34">
    <w:nsid w:val="3DC240FB"/>
    <w:multiLevelType w:val="hybridMultilevel"/>
    <w:lvl w:ilvl="0">
      <w:lvlJc w:val="left"/>
      <w:lvlText w:val="%1."/>
      <w:numFmt w:val="decimal"/>
      <w:start w:val="13"/>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6"/>
    </w:lvl>
  </w:abstractNum>
  <w:abstractNum w:abstractNumId="37">
    <w:nsid w:val="75C6C33A"/>
    <w:multiLevelType w:val="hybridMultilevel"/>
    <w:lvl w:ilvl="0">
      <w:lvlJc w:val="left"/>
      <w:lvlText w:val="%1."/>
      <w:numFmt w:val="decimal"/>
      <w:start w:val="14"/>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decimal"/>
      <w:start w:val="15"/>
    </w:lvl>
  </w:abstractNum>
  <w:abstractNum w:abstractNumId="40">
    <w:nsid w:val="520EEDD1"/>
    <w:multiLevelType w:val="hybridMultilevel"/>
    <w:lvl w:ilvl="0">
      <w:lvlJc w:val="left"/>
      <w:lvlText w:val="(%1)"/>
      <w:numFmt w:val="lowerLetter"/>
      <w:start w:val="1"/>
    </w:lvl>
    <w:lvl w:ilvl="1">
      <w:lvlJc w:val="left"/>
      <w:lvlText w:val="(%2)"/>
      <w:numFmt w:val="lowerRoman"/>
      <w:start w:val="1"/>
    </w:lvl>
  </w:abstractNum>
  <w:abstractNum w:abstractNumId="41">
    <w:nsid w:val="374A3FE6"/>
    <w:multiLevelType w:val="hybridMultilevel"/>
    <w:lvl w:ilvl="0">
      <w:lvlJc w:val="left"/>
      <w:lvlText w:val="%1."/>
      <w:numFmt w:val="decimal"/>
      <w:start w:val="16"/>
    </w:lvl>
  </w:abstractNum>
  <w:abstractNum w:abstractNumId="42">
    <w:nsid w:val="4F4EF005"/>
    <w:multiLevelType w:val="hybridMultilevel"/>
    <w:lvl w:ilvl="0">
      <w:lvlJc w:val="left"/>
      <w:lvlText w:val="(%1)"/>
      <w:numFmt w:val="lowerLetter"/>
      <w:start w:val="1"/>
    </w:lvl>
    <w:lvl w:ilvl="1">
      <w:lvlJc w:val="left"/>
      <w:lvlText w:val="(%2)"/>
      <w:numFmt w:val="lowerRoman"/>
      <w:start w:val="1"/>
    </w:lvl>
  </w:abstractNum>
  <w:abstractNum w:abstractNumId="43">
    <w:nsid w:val="23F9C13C"/>
    <w:multiLevelType w:val="hybridMultilevel"/>
    <w:lvl w:ilvl="0">
      <w:lvlJc w:val="left"/>
      <w:lvlText w:val="%1."/>
      <w:numFmt w:val="decimal"/>
      <w:start w:val="17"/>
    </w:lvl>
  </w:abstractNum>
  <w:abstractNum w:abstractNumId="44">
    <w:nsid w:val="649BB77C"/>
    <w:multiLevelType w:val="hybridMultilevel"/>
    <w:lvl w:ilvl="0">
      <w:lvlJc w:val="left"/>
      <w:lvlText w:val="%1."/>
      <w:numFmt w:val="decimal"/>
      <w:start w:val="18"/>
    </w:lvl>
  </w:abstractNum>
  <w:abstractNum w:abstractNumId="45">
    <w:nsid w:val="275AC794"/>
    <w:multiLevelType w:val="hybridMultilevel"/>
    <w:lvl w:ilvl="0">
      <w:lvlJc w:val="left"/>
      <w:lvlText w:val="%1."/>
      <w:numFmt w:val="decimal"/>
      <w:start w:val="19"/>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2"/>
    </w:lvl>
  </w:abstractNum>
  <w:abstractNum w:abstractNumId="48">
    <w:nsid w:val="180115BE"/>
    <w:multiLevelType w:val="hybridMultilevel"/>
    <w:lvl w:ilvl="0">
      <w:lvlJc w:val="left"/>
      <w:lvlText w:val="%1."/>
      <w:numFmt w:val="decimal"/>
      <w:start w:val="20"/>
    </w:lvl>
  </w:abstractNum>
  <w:abstractNum w:abstractNumId="49">
    <w:nsid w:val="235BA861"/>
    <w:multiLevelType w:val="hybridMultilevel"/>
    <w:lvl w:ilvl="0">
      <w:lvlJc w:val="left"/>
      <w:lvlText w:val="%1."/>
      <w:numFmt w:val="decimal"/>
      <w:start w:val="21"/>
    </w:lvl>
  </w:abstractNum>
  <w:abstractNum w:abstractNumId="50">
    <w:nsid w:val="47398C89"/>
    <w:multiLevelType w:val="hybridMultilevel"/>
    <w:lvl w:ilvl="0">
      <w:lvlJc w:val="left"/>
      <w:lvlText w:val="%1."/>
      <w:numFmt w:val="decimal"/>
      <w:start w:val="22"/>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decimal"/>
      <w:start w:val="23"/>
    </w:lvl>
  </w:abstractNum>
  <w:abstractNum w:abstractNumId="54">
    <w:nsid w:val="D34B6A8"/>
    <w:multiLevelType w:val="hybridMultilevel"/>
    <w:lvl w:ilvl="0">
      <w:lvlJc w:val="left"/>
      <w:lvlText w:val="%1."/>
      <w:numFmt w:val="decimal"/>
      <w:start w:val="24"/>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3"/>
    </w:lvl>
  </w:abstractNum>
  <w:abstractNum w:abstractNumId="57">
    <w:nsid w:val="61574095"/>
    <w:multiLevelType w:val="hybridMultilevel"/>
    <w:lvl w:ilvl="0">
      <w:lvlJc w:val="left"/>
      <w:lvlText w:val="%1."/>
      <w:numFmt w:val="decimal"/>
      <w:start w:val="25"/>
    </w:lvl>
  </w:abstractNum>
  <w:abstractNum w:abstractNumId="58">
    <w:nsid w:val="7E0C57B1"/>
    <w:multiLevelType w:val="hybridMultilevel"/>
    <w:lvl w:ilvl="0">
      <w:lvlJc w:val="left"/>
      <w:lvlText w:val="%1."/>
      <w:numFmt w:val="decimal"/>
      <w:start w:val="26"/>
    </w:lvl>
  </w:abstractNum>
  <w:abstractNum w:abstractNumId="59">
    <w:nsid w:val="77AE35EB"/>
    <w:multiLevelType w:val="hybridMultilevel"/>
    <w:lvl w:ilvl="0">
      <w:lvlJc w:val="left"/>
      <w:lvlText w:val="%1."/>
      <w:numFmt w:val="decimal"/>
      <w:start w:val="27"/>
    </w:lvl>
  </w:abstractNum>
  <w:abstractNum w:abstractNumId="60">
    <w:nsid w:val="579BE4F1"/>
    <w:multiLevelType w:val="hybridMultilevel"/>
    <w:lvl w:ilvl="0">
      <w:lvlJc w:val="left"/>
      <w:lvlText w:val="%1."/>
      <w:numFmt w:val="decimal"/>
      <w:start w:val="28"/>
    </w:lvl>
  </w:abstractNum>
  <w:abstractNum w:abstractNumId="61">
    <w:nsid w:val="310C50B3"/>
    <w:multiLevelType w:val="hybridMultilevel"/>
    <w:lvl w:ilvl="0">
      <w:lvlJc w:val="left"/>
      <w:lvlText w:val="%1."/>
      <w:numFmt w:val="decimal"/>
      <w:start w:val="29"/>
    </w:lvl>
  </w:abstractNum>
  <w:abstractNum w:abstractNumId="62">
    <w:nsid w:val="5FF87E05"/>
    <w:multiLevelType w:val="hybridMultilevel"/>
    <w:lvl w:ilvl="0">
      <w:lvlJc w:val="left"/>
      <w:lvlText w:val="%1."/>
      <w:numFmt w:val="decimal"/>
      <w:start w:val="30"/>
    </w:lvl>
  </w:abstractNum>
  <w:abstractNum w:abstractNumId="63">
    <w:nsid w:val="2F305DEF"/>
    <w:multiLevelType w:val="hybridMultilevel"/>
    <w:lvl w:ilvl="0">
      <w:lvlJc w:val="left"/>
      <w:lvlText w:val="%1."/>
      <w:numFmt w:val="decimal"/>
      <w:start w:val="31"/>
    </w:lvl>
  </w:abstractNum>
  <w:abstractNum w:abstractNumId="64">
    <w:nsid w:val="25A70BF7"/>
    <w:multiLevelType w:val="hybridMultilevel"/>
    <w:lvl w:ilvl="0">
      <w:lvlJc w:val="left"/>
      <w:lvlText w:val="%1."/>
      <w:numFmt w:val="decimal"/>
      <w:start w:val="32"/>
    </w:lvl>
  </w:abstractNum>
  <w:abstractNum w:abstractNumId="65">
    <w:nsid w:val="1DBABF00"/>
    <w:multiLevelType w:val="hybridMultilevel"/>
    <w:lvl w:ilvl="0">
      <w:lvlJc w:val="left"/>
      <w:lvlText w:val="%1."/>
      <w:numFmt w:val="decimal"/>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2019-12-08T15:12:25Z</dcterms:created>
  <dcterms:modified xsi:type="dcterms:W3CDTF">2019-12-08T15:12:25Z</dcterms:modified>
</cp:coreProperties>
</file>