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4,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5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001-34785</w:t>
            </w:r>
          </w:p>
        </w:tc>
        <w:tc>
          <w:tcPr>
            <w:tcW w:w="2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61"/>
        </w:trPr>
        <w:tc>
          <w:tcPr>
            <w:tcW w:w="656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254 West 31</w:t>
            </w:r>
            <w:r>
              <w:rPr>
                <w:rFonts w:ascii="Times New Roman" w:cs="Times New Roman" w:eastAsia="Times New Roman" w:hAnsi="Times New Roman"/>
                <w:sz w:val="29"/>
                <w:szCs w:val="29"/>
                <w:b w:val="1"/>
                <w:bCs w:val="1"/>
                <w:color w:val="auto"/>
                <w:vertAlign w:val="superscript"/>
              </w:rPr>
              <w:t>st</w:t>
            </w:r>
            <w:r>
              <w:rPr>
                <w:rFonts w:ascii="Times New Roman" w:cs="Times New Roman" w:eastAsia="Times New Roman" w:hAnsi="Times New Roman"/>
                <w:sz w:val="18"/>
                <w:szCs w:val="18"/>
                <w:b w:val="1"/>
                <w:bCs w:val="1"/>
                <w:color w:val="auto"/>
              </w:rPr>
              <w:t xml:space="preserve"> Street,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4"/>
        </w:trPr>
        <w:tc>
          <w:tcPr>
            <w:tcW w:w="6560" w:type="dxa"/>
            <w:vAlign w:val="bottom"/>
            <w:tcBorders>
              <w:top w:val="single" w:sz="8" w:color="auto"/>
            </w:tcBorders>
            <w:gridSpan w:val="3"/>
          </w:tcPr>
          <w:p>
            <w:pPr>
              <w:ind w:left="23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53"/>
        </w:trPr>
        <w:tc>
          <w:tcPr>
            <w:tcW w:w="4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5"/>
              </w:rPr>
              <w:t>XSPA</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4.01</w:t>
      </w:r>
      <w:r>
        <w:rPr>
          <w:sz w:val="20"/>
          <w:szCs w:val="20"/>
          <w:color w:val="auto"/>
        </w:rPr>
        <w:tab/>
      </w:r>
      <w:r>
        <w:rPr>
          <w:rFonts w:ascii="Times New Roman" w:cs="Times New Roman" w:eastAsia="Times New Roman" w:hAnsi="Times New Roman"/>
          <w:sz w:val="17"/>
          <w:szCs w:val="17"/>
          <w:b w:val="1"/>
          <w:bCs w:val="1"/>
          <w:color w:val="auto"/>
        </w:rPr>
        <w:t>Changes in Registrant’s Certifying Accountant.</w:t>
      </w:r>
    </w:p>
    <w:p>
      <w:pPr>
        <w:spacing w:after="0" w:line="227"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Dismissal of Previous Independent Registered Accounting Firm</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information provided to XpresSpa Group, Inc. (the “Company”) by its independent registered public accounting firm, Friedman LLP (“Friedman”), effective September 1, 2022 Friedman combined with Marcum LLP (“Marcum”) and continued to operate as an independent registered public accounting firm. On October 4, 2022, after the conclusion of the Company’s Annual Meeting of Stockholders described under Item 5.07 below, the Audit Committee (the “Audit Committee”) of the Board of Directors of the Company approved the dismissal of Friedman and the engagement of Marcum to serve as the Company’s independent registered public accounting firm. The services previously provided by Friedman will now be provided by Marcum.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Friedman’s report on the Company’s consolidated financial statements as of December 31, 2021 and December 31, 2020, did not contain an adverse opinion or a disclaimer of opinion, nor was it qualified or modified as to uncertainty, audit scope or accounting principles.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2021 and December 31, 2020 and the subsequent interim period through October 4, 2022, there were no “disagreements” (as such term is defined in Item 304(a)(1)(iv) of Regulation S-K and the related instructions to Item 304) with Friedman on any matter of accounting principles or practices, financial statement disclosure, or auditing scope or procedure, which disagreements if not resolved to the satisfaction of Friedman, would have caused Friedman to make reference to the subject matter of the disagreements or reportable events in connection with its reports on the financial statements for such years. During the years ended December 31, 2021 and 2020 and the subsequent interim period through October 4, 2022, there have been no “reportable events” (as such term is defined in Item 304(a)(1)(v) of Regulation S-K), except for the material weakness identified in the Company’s internal control over its financial close and reporting process.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provided Friedman with a copy of the disclosure it is making herein in response to Item 304(a) of Regulation S-K and requested that Friedman furnish the Company with a copy of its letter addressed to the Securities and Exchange Commission (the “SEC”), pursuant to Item 304(a)(3) of Regulation S-K, stating whether Friedman agrees with the statements made by the Company in response to Item 304(a) of Regulation S-K. A copy of Friedman’s letter to the SEC dated October 7, 2022 is filed as Exhibit 16.1 to this Current Report on Form 8-K.</w:t>
      </w:r>
    </w:p>
    <w:p>
      <w:pPr>
        <w:spacing w:after="0" w:line="178"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Appointment of New Independent Registered Public Accounting Firm</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noted above, on October 4, 2022, the Audit Committee approved the dismissal of Friedman and the engagement of Marcum to serve as the Company’s independent registered public accounting firm. The services previously provided by Friedman will now be provided by Marcum.</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2021 and December 31, 2020 and through the subsequent interim period as of October 4, 2022, neither the Company, nor any party on behalf of the Company, consulted with Marcum regarding either (i) the application of accounting principles to a specified transaction, either completed or proposed, or the audit opinion that might be rendered regarding the Company’s consolidated financial statements, and no written report or oral advice was provided to the Company that Marcum concluded was an important factor considered by the Company in deciding on any accounting, auditing or financial reporting issue, or (ii) any matter subject to any “disagreement” (as such term is defined in Item 304(a)(1)(iv) of Regulation S-K and the related instructions) or a “reportable event” (as such term is defined in Item 304(a)(1)(v) of Regulation S-K)..</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On October 4, 2022, the Company held its 2022 Annual Meeting of Stockholders (the “Annual Meeting”). At the Annual Meeting, the Company’s stockholders voted on the six proposals described below.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As of the record date for the Annual Meeting, there were 94,278,118 shares of common stock outstanding and entitled to vote on each matter presented for vote at the Annual Meeting. At the Annual Meeting, 55,018,686 (58.36% of the total outstanding) shares of common stock were represented in person or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212529"/>
        </w:rPr>
        <w:t>The final results for each of the matters submitted to a vote of stockholders at the Annual Meeting are as follows: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212529"/>
        </w:rPr>
        <w:t>Item 1</w:t>
      </w:r>
      <w:r>
        <w:rPr>
          <w:rFonts w:ascii="Times New Roman" w:cs="Times New Roman" w:eastAsia="Times New Roman" w:hAnsi="Times New Roman"/>
          <w:sz w:val="18"/>
          <w:szCs w:val="18"/>
          <w:color w:val="212529"/>
        </w:rPr>
        <w:t>: The following five nominees were reelected to serve on the Company’s Board of Directors until the 2023 Annual Meeting of Stockholders or until their respective successors have been elected and qualified, or until their earlier resignation or removal, having received the following votes: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212529"/>
              </w:rPr>
              <w:t>Name</w:t>
            </w:r>
          </w:p>
        </w:tc>
        <w:tc>
          <w:tcPr>
            <w:tcW w:w="2800" w:type="dxa"/>
            <w:vAlign w:val="bottom"/>
            <w:gridSpan w:val="2"/>
          </w:tcPr>
          <w:p>
            <w:pPr>
              <w:jc w:val="right"/>
              <w:ind w:right="1380"/>
              <w:spacing w:after="0"/>
              <w:rPr>
                <w:sz w:val="20"/>
                <w:szCs w:val="20"/>
                <w:color w:val="auto"/>
              </w:rPr>
            </w:pPr>
            <w:r>
              <w:rPr>
                <w:rFonts w:ascii="Times New Roman" w:cs="Times New Roman" w:eastAsia="Times New Roman" w:hAnsi="Times New Roman"/>
                <w:sz w:val="18"/>
                <w:szCs w:val="18"/>
                <w:color w:val="212529"/>
              </w:rPr>
              <w:t>For</w:t>
            </w:r>
          </w:p>
        </w:tc>
        <w:tc>
          <w:tcPr>
            <w:tcW w:w="28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212529"/>
              </w:rPr>
              <w:t>Withheld</w:t>
            </w:r>
          </w:p>
        </w:tc>
        <w:tc>
          <w:tcPr>
            <w:tcW w:w="26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212529"/>
              </w:rPr>
              <w:t>Broker Non-Votes</w:t>
            </w:r>
          </w:p>
        </w:tc>
      </w:tr>
      <w:tr>
        <w:trPr>
          <w:trHeight w:val="210"/>
        </w:trPr>
        <w:tc>
          <w:tcPr>
            <w:tcW w:w="282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212529"/>
                <w:w w:val="99"/>
              </w:rPr>
              <w:t>Scott R. Milford</w:t>
            </w:r>
          </w:p>
        </w:tc>
        <w:tc>
          <w:tcPr>
            <w:tcW w:w="1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20,330,768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12,914,219</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21,773,699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212529"/>
                <w:w w:val="98"/>
              </w:rPr>
              <w:t>Bruce T. Bernstein</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11,970,368</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21,274,619</w:t>
            </w: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21,773,699</w:t>
            </w:r>
          </w:p>
        </w:tc>
      </w:tr>
      <w:tr>
        <w:trPr>
          <w:trHeight w:val="216"/>
        </w:trPr>
        <w:tc>
          <w:tcPr>
            <w:tcW w:w="29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212529"/>
                <w:w w:val="99"/>
              </w:rPr>
              <w:t>Robert Weinstein</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12,726,243</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20,518,744</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21,773,699</w:t>
            </w:r>
          </w:p>
        </w:tc>
      </w:tr>
      <w:tr>
        <w:trPr>
          <w:trHeight w:val="216"/>
        </w:trPr>
        <w:tc>
          <w:tcPr>
            <w:tcW w:w="29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212529"/>
                <w:w w:val="98"/>
              </w:rPr>
              <w:t>Donald E. Stout</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12,998,766</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20,246,221</w:t>
            </w: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21,773,699</w:t>
            </w:r>
          </w:p>
        </w:tc>
      </w:tr>
      <w:tr>
        <w:trPr>
          <w:trHeight w:val="216"/>
        </w:trPr>
        <w:tc>
          <w:tcPr>
            <w:tcW w:w="29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212529"/>
                <w:w w:val="98"/>
              </w:rPr>
              <w:t>Michael Lebowitz</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20,040,820</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12529"/>
              </w:rPr>
              <w:t>13,204,167</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21,773,699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12529"/>
        </w:rPr>
        <w:t>Item 2</w:t>
      </w:r>
      <w:r>
        <w:rPr>
          <w:rFonts w:ascii="Times New Roman" w:cs="Times New Roman" w:eastAsia="Times New Roman" w:hAnsi="Times New Roman"/>
          <w:sz w:val="18"/>
          <w:szCs w:val="18"/>
          <w:color w:val="212529"/>
        </w:rPr>
        <w:t>: The appointment of Friedman LLP (now Marcum LLP) as the Company’s independent registered public accounting firm for the fiscal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December 31, 2022 was ratified, having received the following votes: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212529"/>
              </w:rPr>
              <w:t>For</w:t>
            </w:r>
          </w:p>
        </w:tc>
        <w:tc>
          <w:tcPr>
            <w:tcW w:w="28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212529"/>
              </w:rPr>
              <w:t>Against</w:t>
            </w:r>
          </w:p>
        </w:tc>
        <w:tc>
          <w:tcPr>
            <w:tcW w:w="28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212529"/>
              </w:rPr>
              <w:t>Abstentions</w:t>
            </w:r>
          </w:p>
        </w:tc>
        <w:tc>
          <w:tcPr>
            <w:tcW w:w="26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212529"/>
              </w:rPr>
              <w:t>Broker Non-Votes</w:t>
            </w:r>
          </w:p>
        </w:tc>
      </w:tr>
      <w:tr>
        <w:trPr>
          <w:trHeight w:val="210"/>
        </w:trPr>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40,919,305</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12,550,696</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1,548,685</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2400"/>
              <w:spacing w:after="0"/>
              <w:rPr>
                <w:sz w:val="20"/>
                <w:szCs w:val="20"/>
                <w:color w:val="auto"/>
              </w:rPr>
            </w:pPr>
            <w:r>
              <w:rPr>
                <w:rFonts w:ascii="Times New Roman" w:cs="Times New Roman" w:eastAsia="Times New Roman" w:hAnsi="Times New Roman"/>
                <w:sz w:val="18"/>
                <w:szCs w:val="18"/>
                <w:color w:val="212529"/>
                <w:w w:val="88"/>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212529"/>
        </w:rPr>
        <w:t>Item 3</w:t>
      </w:r>
      <w:r>
        <w:rPr>
          <w:rFonts w:ascii="Times New Roman" w:cs="Times New Roman" w:eastAsia="Times New Roman" w:hAnsi="Times New Roman"/>
          <w:sz w:val="18"/>
          <w:szCs w:val="18"/>
          <w:color w:val="212529"/>
        </w:rPr>
        <w:t>: The amendment to the Company’s Amended and Restated Certificate of Incorporation to effect a reverse stock split of our issued and outstanding shares of common stock at a ratio of between 1-for-2 and 1-for-6 was not approved, having received the following votes: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212529"/>
              </w:rPr>
              <w:t>For</w:t>
            </w:r>
          </w:p>
        </w:tc>
        <w:tc>
          <w:tcPr>
            <w:tcW w:w="28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212529"/>
              </w:rPr>
              <w:t>Against</w:t>
            </w:r>
          </w:p>
        </w:tc>
        <w:tc>
          <w:tcPr>
            <w:tcW w:w="28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212529"/>
              </w:rPr>
              <w:t>Abstentions</w:t>
            </w:r>
          </w:p>
        </w:tc>
        <w:tc>
          <w:tcPr>
            <w:tcW w:w="26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212529"/>
              </w:rPr>
              <w:t>Broker Non-Votes</w:t>
            </w:r>
          </w:p>
        </w:tc>
      </w:tr>
      <w:tr>
        <w:trPr>
          <w:trHeight w:val="209"/>
        </w:trPr>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30,539,674</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24,329,446</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149,566</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2400"/>
              <w:spacing w:after="0"/>
              <w:rPr>
                <w:sz w:val="20"/>
                <w:szCs w:val="20"/>
                <w:color w:val="auto"/>
              </w:rPr>
            </w:pPr>
            <w:r>
              <w:rPr>
                <w:rFonts w:ascii="Times New Roman" w:cs="Times New Roman" w:eastAsia="Times New Roman" w:hAnsi="Times New Roman"/>
                <w:sz w:val="18"/>
                <w:szCs w:val="18"/>
                <w:color w:val="212529"/>
                <w:w w:val="88"/>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212529"/>
        </w:rPr>
        <w:t>Item 4</w:t>
      </w:r>
      <w:r>
        <w:rPr>
          <w:rFonts w:ascii="Times New Roman" w:cs="Times New Roman" w:eastAsia="Times New Roman" w:hAnsi="Times New Roman"/>
          <w:sz w:val="18"/>
          <w:szCs w:val="18"/>
          <w:color w:val="212529"/>
        </w:rPr>
        <w:t>: The amendment to the Company’s 2020 Equity Incentive Plan to increase the number of shares authorized for issuance under the Plan by 7,500,000 shares was approved, having received the following votes: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212529"/>
              </w:rPr>
              <w:t>For</w:t>
            </w:r>
          </w:p>
        </w:tc>
        <w:tc>
          <w:tcPr>
            <w:tcW w:w="28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212529"/>
              </w:rPr>
              <w:t>Against</w:t>
            </w:r>
          </w:p>
        </w:tc>
        <w:tc>
          <w:tcPr>
            <w:tcW w:w="28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212529"/>
              </w:rPr>
              <w:t>Abstentions</w:t>
            </w:r>
          </w:p>
        </w:tc>
        <w:tc>
          <w:tcPr>
            <w:tcW w:w="26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212529"/>
              </w:rPr>
              <w:t>Broker Non-Votes</w:t>
            </w:r>
          </w:p>
        </w:tc>
      </w:tr>
      <w:tr>
        <w:trPr>
          <w:trHeight w:val="210"/>
        </w:trPr>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16,790,763</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16,018,358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453,866</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21,773,699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212529"/>
        </w:rPr>
        <w:t>Item 5</w:t>
      </w:r>
      <w:r>
        <w:rPr>
          <w:rFonts w:ascii="Times New Roman" w:cs="Times New Roman" w:eastAsia="Times New Roman" w:hAnsi="Times New Roman"/>
          <w:sz w:val="18"/>
          <w:szCs w:val="18"/>
          <w:color w:val="212529"/>
        </w:rPr>
        <w:t>: The compensation of the Company’s named executive officers was not approved, on an advisory basis, by stockholders, having received the following votes: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212529"/>
              </w:rPr>
              <w:t>For</w:t>
            </w:r>
          </w:p>
        </w:tc>
        <w:tc>
          <w:tcPr>
            <w:tcW w:w="28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212529"/>
              </w:rPr>
              <w:t>Against</w:t>
            </w:r>
          </w:p>
        </w:tc>
        <w:tc>
          <w:tcPr>
            <w:tcW w:w="28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212529"/>
              </w:rPr>
              <w:t>Abstentions</w:t>
            </w:r>
          </w:p>
        </w:tc>
        <w:tc>
          <w:tcPr>
            <w:tcW w:w="26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212529"/>
              </w:rPr>
              <w:t>Broker Non-Votes</w:t>
            </w:r>
          </w:p>
        </w:tc>
      </w:tr>
      <w:tr>
        <w:trPr>
          <w:trHeight w:val="209"/>
        </w:trPr>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15,739,057</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17,149,899</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356,031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21,773,699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212529"/>
        </w:rPr>
        <w:t>Item 6</w:t>
      </w:r>
      <w:r>
        <w:rPr>
          <w:rFonts w:ascii="Times New Roman" w:cs="Times New Roman" w:eastAsia="Times New Roman" w:hAnsi="Times New Roman"/>
          <w:sz w:val="18"/>
          <w:szCs w:val="18"/>
          <w:color w:val="212529"/>
        </w:rPr>
        <w:t>: The proposal to approve the adjournment of the Annual Meeting, if necessary, to solicit additional proxies if there are not sufficient votes to approve Items 2 through 5 was approved, having received the following votes: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212529"/>
              </w:rPr>
              <w:t>For</w:t>
            </w:r>
          </w:p>
        </w:tc>
        <w:tc>
          <w:tcPr>
            <w:tcW w:w="2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212529"/>
              </w:rPr>
              <w:t>Votes Against</w:t>
            </w:r>
          </w:p>
        </w:tc>
        <w:tc>
          <w:tcPr>
            <w:tcW w:w="28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212529"/>
              </w:rPr>
              <w:t>Abstentions</w:t>
            </w:r>
          </w:p>
        </w:tc>
        <w:tc>
          <w:tcPr>
            <w:tcW w:w="26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212529"/>
              </w:rPr>
              <w:t>Broker Non-Votes</w:t>
            </w:r>
          </w:p>
        </w:tc>
      </w:tr>
      <w:tr>
        <w:trPr>
          <w:trHeight w:val="209"/>
        </w:trPr>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30,248,432</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24,093,316</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676,938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2400"/>
              <w:spacing w:after="0"/>
              <w:rPr>
                <w:sz w:val="20"/>
                <w:szCs w:val="20"/>
                <w:color w:val="auto"/>
              </w:rPr>
            </w:pPr>
            <w:r>
              <w:rPr>
                <w:rFonts w:ascii="Times New Roman" w:cs="Times New Roman" w:eastAsia="Times New Roman" w:hAnsi="Times New Roman"/>
                <w:sz w:val="18"/>
                <w:szCs w:val="18"/>
                <w:color w:val="212529"/>
                <w:w w:val="88"/>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u w:val="single" w:color="auto"/>
          <w:color w:val="0000EE"/>
        </w:rPr>
        <w:t>XpresSpa Group, Inc. 2020 Equity Incentive Plan, as amended October 4, 2022</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16.1</w:t>
      </w:r>
      <w:r>
        <w:rPr>
          <w:sz w:val="20"/>
          <w:szCs w:val="20"/>
          <w:color w:val="auto"/>
        </w:rPr>
        <w:tab/>
      </w:r>
      <w:r>
        <w:rPr>
          <w:rFonts w:ascii="Times New Roman" w:cs="Times New Roman" w:eastAsia="Times New Roman" w:hAnsi="Times New Roman"/>
          <w:sz w:val="17"/>
          <w:szCs w:val="17"/>
          <w:u w:val="single" w:color="auto"/>
          <w:color w:val="0000EE"/>
        </w:rPr>
        <w:t>Letter from Friedman LLP to the Securities and Exchange Commission, dated October 7, 2022</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XpresSpa Group, Inc.</w:t>
            </w:r>
          </w:p>
        </w:tc>
        <w:tc>
          <w:tcPr>
            <w:tcW w:w="0" w:type="dxa"/>
            <w:vAlign w:val="bottom"/>
          </w:tcPr>
          <w:p>
            <w:pPr>
              <w:spacing w:after="0"/>
              <w:rPr>
                <w:sz w:val="1"/>
                <w:szCs w:val="1"/>
                <w:color w:val="auto"/>
              </w:rPr>
            </w:pP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7, 2022</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Scott R. Milford</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580" w:type="dxa"/>
            <w:vAlign w:val="bottom"/>
            <w:vMerge w:val="restart"/>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620" w:type="dxa"/>
            <w:vAlign w:val="bottom"/>
          </w:tcPr>
          <w:p>
            <w:pPr>
              <w:spacing w:after="0"/>
              <w:rPr>
                <w:sz w:val="16"/>
                <w:szCs w:val="16"/>
                <w:color w:val="auto"/>
              </w:rPr>
            </w:pPr>
          </w:p>
        </w:tc>
        <w:tc>
          <w:tcPr>
            <w:tcW w:w="2580" w:type="dxa"/>
            <w:vAlign w:val="bottom"/>
            <w:vMerge w:val="continue"/>
          </w:tcPr>
          <w:p>
            <w:pPr>
              <w:spacing w:after="0"/>
              <w:rPr>
                <w:sz w:val="16"/>
                <w:szCs w:val="16"/>
                <w:color w:val="auto"/>
              </w:rPr>
            </w:pP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Scott R. Milford</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966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XPRESSPA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2020 Equity Incentive Plan (as amended October 4, 2022)</w:t>
      </w:r>
    </w:p>
    <w:p>
      <w:pPr>
        <w:spacing w:after="0" w:line="207"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Purpose; Eligibility</w:t>
      </w:r>
      <w:r>
        <w:rPr>
          <w:rFonts w:ascii="Times New Roman" w:cs="Times New Roman" w:eastAsia="Times New Roman" w:hAnsi="Times New Roman"/>
          <w:sz w:val="18"/>
          <w:szCs w:val="18"/>
          <w:color w:val="231F20"/>
        </w:rPr>
        <w:t>.</w:t>
      </w:r>
    </w:p>
    <w:p>
      <w:pPr>
        <w:spacing w:after="0" w:line="225"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8"/>
          <w:szCs w:val="18"/>
          <w:color w:val="231F20"/>
        </w:rPr>
        <w:t xml:space="preserve">1.1 </w:t>
      </w:r>
      <w:r>
        <w:rPr>
          <w:rFonts w:ascii="Times New Roman" w:cs="Times New Roman" w:eastAsia="Times New Roman" w:hAnsi="Times New Roman"/>
          <w:sz w:val="18"/>
          <w:szCs w:val="18"/>
          <w:u w:val="single" w:color="auto"/>
          <w:color w:val="231F20"/>
        </w:rPr>
        <w:t>General Purpose</w:t>
      </w:r>
      <w:r>
        <w:rPr>
          <w:rFonts w:ascii="Times New Roman" w:cs="Times New Roman" w:eastAsia="Times New Roman" w:hAnsi="Times New Roman"/>
          <w:sz w:val="18"/>
          <w:szCs w:val="18"/>
          <w:color w:val="231F20"/>
        </w:rPr>
        <w:t>. The name of this plan is the XpresSpa Group, Inc. 2020 Equity Incentive Plan. The purposes of the Plan are to (a) enable XpresSpa Group, Inc., a Delaware corporation, and any Affiliate to attract and retain the types of Employees, Consultants and Directors who will contribute to the Company’s long range success; (b) provide incentives that align the interests of Employees, Consultants and Directors with those of the stockholders of the Company; and (c) promote the success of the Company’s business.</w:t>
      </w:r>
    </w:p>
    <w:p>
      <w:pPr>
        <w:spacing w:after="0" w:line="180"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8"/>
          <w:szCs w:val="18"/>
          <w:color w:val="231F20"/>
        </w:rPr>
        <w:t xml:space="preserve">1.2 </w:t>
      </w:r>
      <w:r>
        <w:rPr>
          <w:rFonts w:ascii="Times New Roman" w:cs="Times New Roman" w:eastAsia="Times New Roman" w:hAnsi="Times New Roman"/>
          <w:sz w:val="18"/>
          <w:szCs w:val="18"/>
          <w:u w:val="single" w:color="auto"/>
          <w:color w:val="231F20"/>
        </w:rPr>
        <w:t>Eligible Award Recipients</w:t>
      </w:r>
      <w:r>
        <w:rPr>
          <w:rFonts w:ascii="Times New Roman" w:cs="Times New Roman" w:eastAsia="Times New Roman" w:hAnsi="Times New Roman"/>
          <w:sz w:val="18"/>
          <w:szCs w:val="18"/>
          <w:color w:val="231F20"/>
        </w:rPr>
        <w:t>. The persons eligible to receive Awards are the Employees, Consultants and Directors of the Company and its Affiliates and such other individuals designated by the Committee who are reasonably expected to become Employees, Consultants and Directors after the receipt of Awards.</w:t>
      </w:r>
    </w:p>
    <w:p>
      <w:pPr>
        <w:spacing w:after="0" w:line="176" w:lineRule="exact"/>
        <w:rPr>
          <w:sz w:val="20"/>
          <w:szCs w:val="20"/>
          <w:color w:val="auto"/>
        </w:rPr>
      </w:pPr>
    </w:p>
    <w:p>
      <w:pPr>
        <w:jc w:val="both"/>
        <w:ind w:right="20" w:firstLine="359"/>
        <w:spacing w:after="0" w:line="282" w:lineRule="auto"/>
        <w:rPr>
          <w:sz w:val="20"/>
          <w:szCs w:val="20"/>
          <w:color w:val="auto"/>
        </w:rPr>
      </w:pPr>
      <w:r>
        <w:rPr>
          <w:rFonts w:ascii="Times New Roman" w:cs="Times New Roman" w:eastAsia="Times New Roman" w:hAnsi="Times New Roman"/>
          <w:sz w:val="18"/>
          <w:szCs w:val="18"/>
          <w:color w:val="231F20"/>
        </w:rPr>
        <w:t xml:space="preserve">1.3 </w:t>
      </w:r>
      <w:r>
        <w:rPr>
          <w:rFonts w:ascii="Times New Roman" w:cs="Times New Roman" w:eastAsia="Times New Roman" w:hAnsi="Times New Roman"/>
          <w:sz w:val="18"/>
          <w:szCs w:val="18"/>
          <w:u w:val="single" w:color="auto"/>
          <w:color w:val="231F20"/>
        </w:rPr>
        <w:t>Available Awards</w:t>
      </w:r>
      <w:r>
        <w:rPr>
          <w:rFonts w:ascii="Times New Roman" w:cs="Times New Roman" w:eastAsia="Times New Roman" w:hAnsi="Times New Roman"/>
          <w:sz w:val="18"/>
          <w:szCs w:val="18"/>
          <w:color w:val="231F20"/>
        </w:rPr>
        <w:t>. Awards that may be granted under the Plan include: (a) Incentive Stock Options, (b) Non-Qualified Stock Options, (c) Stock Appreciation Rights, (d) Restricted Awards, (e) Performance Stock Awards, (f) Cash Awards, and (g) Other Equity-Based Awards.</w:t>
      </w:r>
    </w:p>
    <w:p>
      <w:pPr>
        <w:spacing w:after="0" w:line="162"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Definitions</w:t>
      </w:r>
      <w:r>
        <w:rPr>
          <w:rFonts w:ascii="Times New Roman" w:cs="Times New Roman" w:eastAsia="Times New Roman" w:hAnsi="Times New Roman"/>
          <w:sz w:val="18"/>
          <w:szCs w:val="18"/>
          <w:color w:val="231F20"/>
        </w:rPr>
        <w:t>.</w:t>
      </w:r>
    </w:p>
    <w:p>
      <w:pPr>
        <w:spacing w:after="0" w:line="248" w:lineRule="exact"/>
        <w:rPr>
          <w:sz w:val="20"/>
          <w:szCs w:val="20"/>
          <w:color w:val="auto"/>
        </w:rPr>
      </w:pPr>
    </w:p>
    <w:p>
      <w:pPr>
        <w:jc w:val="both"/>
        <w:ind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Affiliate</w:t>
      </w:r>
      <w:r>
        <w:rPr>
          <w:rFonts w:ascii="Times New Roman" w:cs="Times New Roman" w:eastAsia="Times New Roman" w:hAnsi="Times New Roman"/>
          <w:sz w:val="18"/>
          <w:szCs w:val="18"/>
          <w:color w:val="231F20"/>
        </w:rPr>
        <w:t>” means a corporation or other entity that, directly or through one or more intermediaries, controls, is controlled by or is under common control with, the Company.</w:t>
      </w:r>
    </w:p>
    <w:p>
      <w:pPr>
        <w:spacing w:after="0" w:line="155" w:lineRule="exact"/>
        <w:rPr>
          <w:sz w:val="20"/>
          <w:szCs w:val="20"/>
          <w:color w:val="auto"/>
        </w:rPr>
      </w:pPr>
    </w:p>
    <w:p>
      <w:pPr>
        <w:jc w:val="both"/>
        <w:ind w:firstLine="359"/>
        <w:spacing w:after="0" w:line="268"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Applicable Laws</w:t>
      </w:r>
      <w:r>
        <w:rPr>
          <w:rFonts w:ascii="Times New Roman" w:cs="Times New Roman" w:eastAsia="Times New Roman" w:hAnsi="Times New Roman"/>
          <w:sz w:val="18"/>
          <w:szCs w:val="18"/>
          <w:color w:val="231F20"/>
        </w:rPr>
        <w:t>” means the requirements related to or implicated by the administration of the Plan under applicable state corporate law, United States federal and state securities laws, the Code, any stock exchange or quotation system on which the Common Stock is listed or quoted, and the applicable laws of any foreign country or jurisdiction where Awards are granted under the Plan.</w:t>
      </w:r>
    </w:p>
    <w:p>
      <w:pPr>
        <w:spacing w:after="0" w:line="171" w:lineRule="exact"/>
        <w:rPr>
          <w:sz w:val="20"/>
          <w:szCs w:val="20"/>
          <w:color w:val="auto"/>
        </w:rPr>
      </w:pPr>
    </w:p>
    <w:p>
      <w:pPr>
        <w:jc w:val="both"/>
        <w:ind w:right="20"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Award</w:t>
      </w:r>
      <w:r>
        <w:rPr>
          <w:rFonts w:ascii="Times New Roman" w:cs="Times New Roman" w:eastAsia="Times New Roman" w:hAnsi="Times New Roman"/>
          <w:sz w:val="18"/>
          <w:szCs w:val="18"/>
          <w:color w:val="231F20"/>
        </w:rPr>
        <w:t>” means any right granted under the Plan, including an Incentive Stock Option, a Non-Qualified Stock Option, a Stock Appreciation Right, a Restricted Award, a Performance Stock Award, a Cash Award, or an Other Equity-Based Award.</w:t>
      </w:r>
    </w:p>
    <w:p>
      <w:pPr>
        <w:spacing w:after="0" w:line="155" w:lineRule="exact"/>
        <w:rPr>
          <w:sz w:val="20"/>
          <w:szCs w:val="20"/>
          <w:color w:val="auto"/>
        </w:rPr>
      </w:pPr>
    </w:p>
    <w:p>
      <w:pPr>
        <w:jc w:val="both"/>
        <w:ind w:firstLine="359"/>
        <w:spacing w:after="0" w:line="268"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Award Agreement</w:t>
      </w:r>
      <w:r>
        <w:rPr>
          <w:rFonts w:ascii="Times New Roman" w:cs="Times New Roman" w:eastAsia="Times New Roman" w:hAnsi="Times New Roman"/>
          <w:sz w:val="18"/>
          <w:szCs w:val="18"/>
          <w:color w:val="231F20"/>
        </w:rPr>
        <w:t>” 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spacing w:after="0" w:line="171"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Beneficial Owner</w:t>
      </w:r>
      <w:r>
        <w:rPr>
          <w:rFonts w:ascii="Times New Roman" w:cs="Times New Roman" w:eastAsia="Times New Roman" w:hAnsi="Times New Roman"/>
          <w:sz w:val="18"/>
          <w:szCs w:val="18"/>
          <w:color w:val="231F20"/>
        </w:rPr>
        <w:t>” has the meaning assigned to such term in Rule 13d-3 and Rule 13d-5 under the Exchange Act,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Board</w:t>
      </w:r>
      <w:r>
        <w:rPr>
          <w:rFonts w:ascii="Times New Roman" w:cs="Times New Roman" w:eastAsia="Times New Roman" w:hAnsi="Times New Roman"/>
          <w:sz w:val="18"/>
          <w:szCs w:val="18"/>
          <w:color w:val="231F20"/>
        </w:rPr>
        <w:t>” means the Board of Directors of the Company, as constituted at any time.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231F20"/>
        </w:rPr>
        <w:t xml:space="preserve">“Cash Award” </w:t>
      </w:r>
      <w:r>
        <w:rPr>
          <w:rFonts w:ascii="Times New Roman" w:cs="Times New Roman" w:eastAsia="Times New Roman" w:hAnsi="Times New Roman"/>
          <w:sz w:val="18"/>
          <w:szCs w:val="18"/>
          <w:color w:val="231F20"/>
        </w:rPr>
        <w:t>means an Award denominated in cash that is granted under</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u w:val="single" w:color="auto"/>
          <w:color w:val="231F20"/>
        </w:rPr>
        <w:t>Section 7.4</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of the Plan.</w:t>
      </w:r>
    </w:p>
    <w:p>
      <w:pPr>
        <w:spacing w:after="0" w:line="225" w:lineRule="exact"/>
        <w:rPr>
          <w:sz w:val="20"/>
          <w:szCs w:val="20"/>
          <w:color w:val="auto"/>
        </w:rPr>
      </w:pPr>
    </w:p>
    <w:p>
      <w:pPr>
        <w:jc w:val="both"/>
        <w:ind w:firstLine="359"/>
        <w:spacing w:after="0" w:line="25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Cause</w:t>
      </w:r>
      <w:r>
        <w:rPr>
          <w:rFonts w:ascii="Times New Roman" w:cs="Times New Roman" w:eastAsia="Times New Roman" w:hAnsi="Times New Roman"/>
          <w:sz w:val="18"/>
          <w:szCs w:val="18"/>
          <w:color w:val="231F20"/>
        </w:rPr>
        <w:t>” means, with respect to any Participant, unless otherwise provided in the applicable Award Agreement,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Committee as to the existence of Cause will be conclusive on the Participant and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ind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Change in Control</w:t>
      </w:r>
      <w:r>
        <w:rPr>
          <w:rFonts w:ascii="Times New Roman" w:cs="Times New Roman" w:eastAsia="Times New Roman" w:hAnsi="Times New Roman"/>
          <w:sz w:val="18"/>
          <w:szCs w:val="18"/>
          <w:color w:val="231F20"/>
        </w:rPr>
        <w:t>” with respect to any Participant shall have the meaning specified in the Participant’s Award Agreement. In the absence of any such definition, a “Change in Control” shall mean the occurrence of any of the following:</w:t>
      </w:r>
    </w:p>
    <w:p>
      <w:pPr>
        <w:spacing w:after="0" w:line="184" w:lineRule="exact"/>
        <w:rPr>
          <w:sz w:val="20"/>
          <w:szCs w:val="20"/>
          <w:color w:val="auto"/>
        </w:rPr>
      </w:pPr>
    </w:p>
    <w:p>
      <w:pPr>
        <w:jc w:val="both"/>
        <w:ind w:left="660" w:hanging="328"/>
        <w:spacing w:after="0" w:line="258" w:lineRule="auto"/>
        <w:tabs>
          <w:tab w:leader="none" w:pos="6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Ownership</w:t>
      </w:r>
      <w:r>
        <w:rPr>
          <w:rFonts w:ascii="Times New Roman" w:cs="Times New Roman" w:eastAsia="Times New Roman" w:hAnsi="Times New Roman"/>
          <w:sz w:val="18"/>
          <w:szCs w:val="18"/>
          <w:color w:val="231F20"/>
        </w:rPr>
        <w:t>. Any “Person” (as such term is used in Sections 13(d) and 14(d) of the Exchange Act) becomes the “Beneficial Owner” (as defined in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spacing w:after="0" w:line="210" w:lineRule="exact"/>
        <w:rPr>
          <w:rFonts w:ascii="Times New Roman" w:cs="Times New Roman" w:eastAsia="Times New Roman" w:hAnsi="Times New Roman"/>
          <w:sz w:val="18"/>
          <w:szCs w:val="18"/>
          <w:color w:val="231F20"/>
        </w:rPr>
      </w:pPr>
    </w:p>
    <w:p>
      <w:pPr>
        <w:jc w:val="both"/>
        <w:ind w:left="660" w:hanging="328"/>
        <w:spacing w:after="0" w:line="257" w:lineRule="auto"/>
        <w:tabs>
          <w:tab w:leader="none" w:pos="6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Merger/Sale of Assets</w:t>
      </w:r>
      <w:r>
        <w:rPr>
          <w:rFonts w:ascii="Times New Roman" w:cs="Times New Roman" w:eastAsia="Times New Roman" w:hAnsi="Times New Roman"/>
          <w:sz w:val="18"/>
          <w:szCs w:val="18"/>
          <w:color w:val="231F20"/>
        </w:rPr>
        <w:t>. (A) A merger or consolidation of the Company whether or not approved by the Board of Directors, other than a merger or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stockholder approval; or</w:t>
      </w:r>
    </w:p>
    <w:p>
      <w:pPr>
        <w:spacing w:after="0" w:line="209" w:lineRule="exact"/>
        <w:rPr>
          <w:rFonts w:ascii="Times New Roman" w:cs="Times New Roman" w:eastAsia="Times New Roman" w:hAnsi="Times New Roman"/>
          <w:sz w:val="18"/>
          <w:szCs w:val="18"/>
          <w:color w:val="231F20"/>
        </w:rPr>
      </w:pPr>
    </w:p>
    <w:p>
      <w:pPr>
        <w:jc w:val="both"/>
        <w:ind w:left="660" w:hanging="328"/>
        <w:spacing w:after="0" w:line="257" w:lineRule="auto"/>
        <w:tabs>
          <w:tab w:leader="none" w:pos="6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Change in Board Composition</w:t>
      </w:r>
      <w:r>
        <w:rPr>
          <w:rFonts w:ascii="Times New Roman" w:cs="Times New Roman" w:eastAsia="Times New Roman" w:hAnsi="Times New Roman"/>
          <w:sz w:val="18"/>
          <w:szCs w:val="18"/>
          <w:color w:val="231F20"/>
        </w:rPr>
        <w:t>. A change in the composition of the Board of Directors, as a result of which fewer than a majority of the directors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are Incumbent Directors. “Incumbent Directors” shall mean directors who either (A) are directors of the Company as of the effective date of the Plan, which for this purpose shall be the date of its approval by the stockholders of the Company, or (B) are elected, or nominated for election, to the Board of Directors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The Board may, in its sole discretion and without a Participant’s consent, amend the definition of “Change in Control” to conform to the definition of “Change in Control” under Section 409A of the Code, and the regulations thereunder.</w:t>
      </w:r>
    </w:p>
    <w:p>
      <w:pPr>
        <w:spacing w:after="0" w:line="179" w:lineRule="exact"/>
        <w:rPr>
          <w:sz w:val="20"/>
          <w:szCs w:val="20"/>
          <w:color w:val="auto"/>
        </w:rPr>
      </w:pPr>
    </w:p>
    <w:p>
      <w:pPr>
        <w:jc w:val="both"/>
        <w:ind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Code</w:t>
      </w:r>
      <w:r>
        <w:rPr>
          <w:rFonts w:ascii="Times New Roman" w:cs="Times New Roman" w:eastAsia="Times New Roman" w:hAnsi="Times New Roman"/>
          <w:sz w:val="18"/>
          <w:szCs w:val="18"/>
          <w:color w:val="231F20"/>
        </w:rPr>
        <w:t>” means the Internal Revenue Code of 1986, as it may be amended from time to time. Any reference to a section of the Code shall be deemed to include a reference to any regulations promulgated thereunder.</w:t>
      </w:r>
    </w:p>
    <w:p>
      <w:pPr>
        <w:spacing w:after="0" w:line="155" w:lineRule="exact"/>
        <w:rPr>
          <w:sz w:val="20"/>
          <w:szCs w:val="20"/>
          <w:color w:val="auto"/>
        </w:rPr>
      </w:pPr>
    </w:p>
    <w:p>
      <w:pPr>
        <w:jc w:val="both"/>
        <w:ind w:right="20"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Committee</w:t>
      </w:r>
      <w:r>
        <w:rPr>
          <w:rFonts w:ascii="Times New Roman" w:cs="Times New Roman" w:eastAsia="Times New Roman" w:hAnsi="Times New Roman"/>
          <w:sz w:val="18"/>
          <w:szCs w:val="18"/>
          <w:color w:val="231F20"/>
        </w:rPr>
        <w:t xml:space="preserve">” means a committee of one or more members of the Board appointed by the Board to administer the Plan in accordance with </w:t>
      </w:r>
      <w:r>
        <w:rPr>
          <w:rFonts w:ascii="Times New Roman" w:cs="Times New Roman" w:eastAsia="Times New Roman" w:hAnsi="Times New Roman"/>
          <w:sz w:val="18"/>
          <w:szCs w:val="18"/>
          <w:u w:val="single" w:color="auto"/>
          <w:color w:val="231F20"/>
        </w:rPr>
        <w:t>Section 3.3</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u w:val="single" w:color="auto"/>
          <w:color w:val="231F20"/>
        </w:rPr>
        <w:t>Section 3.4</w:t>
      </w:r>
      <w:r>
        <w:rPr>
          <w:rFonts w:ascii="Times New Roman" w:cs="Times New Roman" w:eastAsia="Times New Roman" w:hAnsi="Times New Roman"/>
          <w:sz w:val="18"/>
          <w:szCs w:val="18"/>
          <w:color w:val="231F20"/>
        </w:rPr>
        <w:t>, or any Officers of the Company to whom it has delegated authority as permitted under Section 3.3.</w:t>
      </w:r>
    </w:p>
    <w:p>
      <w:pPr>
        <w:spacing w:after="0" w:line="155" w:lineRule="exact"/>
        <w:rPr>
          <w:sz w:val="20"/>
          <w:szCs w:val="20"/>
          <w:color w:val="auto"/>
        </w:rPr>
      </w:pPr>
    </w:p>
    <w:p>
      <w:pPr>
        <w:jc w:val="both"/>
        <w:ind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Common Stock</w:t>
      </w:r>
      <w:r>
        <w:rPr>
          <w:rFonts w:ascii="Times New Roman" w:cs="Times New Roman" w:eastAsia="Times New Roman" w:hAnsi="Times New Roman"/>
          <w:sz w:val="18"/>
          <w:szCs w:val="18"/>
          <w:color w:val="231F20"/>
        </w:rPr>
        <w:t>” means shares of the Company’s common stock, $0.01 par value per share, or such other securities of the Company as may be designated by the Committee from time to time in substitution thereof.</w:t>
      </w:r>
    </w:p>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Company</w:t>
      </w:r>
      <w:r>
        <w:rPr>
          <w:rFonts w:ascii="Times New Roman" w:cs="Times New Roman" w:eastAsia="Times New Roman" w:hAnsi="Times New Roman"/>
          <w:sz w:val="18"/>
          <w:szCs w:val="18"/>
          <w:color w:val="231F20"/>
        </w:rPr>
        <w:t>” means XpresSpa Group, Inc., and any successor thereto.</w:t>
      </w:r>
    </w:p>
    <w:p>
      <w:pPr>
        <w:spacing w:after="0" w:line="225" w:lineRule="exact"/>
        <w:rPr>
          <w:sz w:val="20"/>
          <w:szCs w:val="20"/>
          <w:color w:val="auto"/>
        </w:rPr>
      </w:pPr>
    </w:p>
    <w:p>
      <w:pPr>
        <w:jc w:val="both"/>
        <w:ind w:firstLine="359"/>
        <w:spacing w:after="0" w:line="268"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Consultant</w:t>
      </w:r>
      <w:r>
        <w:rPr>
          <w:rFonts w:ascii="Times New Roman" w:cs="Times New Roman" w:eastAsia="Times New Roman" w:hAnsi="Times New Roman"/>
          <w:sz w:val="18"/>
          <w:szCs w:val="18"/>
          <w:color w:val="231F20"/>
        </w:rPr>
        <w:t>” means any individual or entity which performs bona fide services to the Company or an Affiliate, other than as an Employee or Director, and who may be offered securities registerable pursuant to a registration statement on Form S-8 under the Securities Act or any successor form thereto.</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firstLine="359"/>
        <w:spacing w:after="0" w:line="254"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Continuous Service</w:t>
      </w:r>
      <w:r>
        <w:rPr>
          <w:rFonts w:ascii="Times New Roman" w:cs="Times New Roman" w:eastAsia="Times New Roman" w:hAnsi="Times New Roman"/>
          <w:sz w:val="18"/>
          <w:szCs w:val="18"/>
          <w:color w:val="231F20"/>
        </w:rPr>
        <w:t xml:space="preserve">” 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Times New Roman" w:cs="Times New Roman" w:eastAsia="Times New Roman" w:hAnsi="Times New Roman"/>
          <w:sz w:val="18"/>
          <w:szCs w:val="18"/>
          <w:i w:val="1"/>
          <w:iCs w:val="1"/>
          <w:color w:val="231F20"/>
        </w:rPr>
        <w:t>provided that</w:t>
      </w:r>
      <w:r>
        <w:rPr>
          <w:rFonts w:ascii="Times New Roman" w:cs="Times New Roman" w:eastAsia="Times New Roman" w:hAnsi="Times New Roman"/>
          <w:sz w:val="18"/>
          <w:szCs w:val="18"/>
          <w:color w:val="231F20"/>
        </w:rPr>
        <w:t xml:space="preserve"> there is no interruption or termination of the Participant’s Continuous Service; </w:t>
      </w:r>
      <w:r>
        <w:rPr>
          <w:rFonts w:ascii="Times New Roman" w:cs="Times New Roman" w:eastAsia="Times New Roman" w:hAnsi="Times New Roman"/>
          <w:sz w:val="18"/>
          <w:szCs w:val="18"/>
          <w:i w:val="1"/>
          <w:iCs w:val="1"/>
          <w:color w:val="231F20"/>
        </w:rPr>
        <w:t>provided further that</w:t>
      </w:r>
      <w:r>
        <w:rPr>
          <w:rFonts w:ascii="Times New Roman" w:cs="Times New Roman" w:eastAsia="Times New Roman" w:hAnsi="Times New Roman"/>
          <w:sz w:val="18"/>
          <w:szCs w:val="18"/>
          <w:color w:val="231F20"/>
        </w:rPr>
        <w:t xml:space="preserve"> if any Award is subject to Section 409A of the Code, this sentence shall only be given effect to the extent consistent with Section 409A of the Code. For example, a change in status from an Employee of the Company to a Director of an Affiliate will not constitute an interruption of Continuous Service. The Committee or its delegate, in its sole discretion, may determine whether Continuous Service shall be considered interrupted in the case of any leave of absence approved by that party, including sick leave, military leave or any other personal or family leave of absence. The Committee or its delegate, in its sole discretion, may determine whether a Company transaction, such as a sale or spin-off of a division or subsidiary that employs a Participant, shall be deemed to result in a termination of Continuous Service for purposes of affected Awards, and such decision shall be final, conclusive and binding.</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Deferred Stock Units</w:t>
      </w:r>
      <w:r>
        <w:rPr>
          <w:rFonts w:ascii="Times New Roman" w:cs="Times New Roman" w:eastAsia="Times New Roman" w:hAnsi="Times New Roman"/>
          <w:sz w:val="18"/>
          <w:szCs w:val="18"/>
          <w:color w:val="231F20"/>
        </w:rPr>
        <w:t xml:space="preserve">” has the meaning set forth in </w:t>
      </w:r>
      <w:r>
        <w:rPr>
          <w:rFonts w:ascii="Times New Roman" w:cs="Times New Roman" w:eastAsia="Times New Roman" w:hAnsi="Times New Roman"/>
          <w:sz w:val="18"/>
          <w:szCs w:val="18"/>
          <w:u w:val="single" w:color="auto"/>
          <w:color w:val="231F20"/>
        </w:rPr>
        <w:t>Section 7.2</w:t>
      </w:r>
      <w:r>
        <w:rPr>
          <w:rFonts w:ascii="Times New Roman" w:cs="Times New Roman" w:eastAsia="Times New Roman" w:hAnsi="Times New Roman"/>
          <w:sz w:val="18"/>
          <w:szCs w:val="18"/>
          <w:color w:val="231F20"/>
        </w:rPr>
        <w:t xml:space="preserve"> hereof.</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Director</w:t>
      </w:r>
      <w:r>
        <w:rPr>
          <w:rFonts w:ascii="Times New Roman" w:cs="Times New Roman" w:eastAsia="Times New Roman" w:hAnsi="Times New Roman"/>
          <w:sz w:val="18"/>
          <w:szCs w:val="18"/>
          <w:color w:val="231F20"/>
        </w:rPr>
        <w:t>” means a member of the Board.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Disability</w:t>
      </w:r>
      <w:r>
        <w:rPr>
          <w:rFonts w:ascii="Times New Roman" w:cs="Times New Roman" w:eastAsia="Times New Roman" w:hAnsi="Times New Roman"/>
          <w:sz w:val="18"/>
          <w:szCs w:val="18"/>
          <w:color w:val="231F20"/>
        </w:rPr>
        <w:t>” means, unless the applicable Award Agreement says otherwise, permanent and total disability as defined in Section 22(e)(3) of the Code.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Disqualifying Disposition</w:t>
      </w:r>
      <w:r>
        <w:rPr>
          <w:rFonts w:ascii="Times New Roman" w:cs="Times New Roman" w:eastAsia="Times New Roman" w:hAnsi="Times New Roman"/>
          <w:sz w:val="18"/>
          <w:szCs w:val="18"/>
          <w:color w:val="231F20"/>
        </w:rPr>
        <w:t xml:space="preserve">” has the meaning set forth in </w:t>
      </w:r>
      <w:r>
        <w:rPr>
          <w:rFonts w:ascii="Times New Roman" w:cs="Times New Roman" w:eastAsia="Times New Roman" w:hAnsi="Times New Roman"/>
          <w:sz w:val="18"/>
          <w:szCs w:val="18"/>
          <w:u w:val="single" w:color="auto"/>
          <w:color w:val="231F20"/>
        </w:rPr>
        <w:t>Section 14.12</w:t>
      </w:r>
      <w:r>
        <w:rPr>
          <w:rFonts w:ascii="Times New Roman" w:cs="Times New Roman" w:eastAsia="Times New Roman" w:hAnsi="Times New Roman"/>
          <w:sz w:val="18"/>
          <w:szCs w:val="18"/>
          <w:color w:val="231F20"/>
        </w:rPr>
        <w: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Effective Date</w:t>
      </w:r>
      <w:r>
        <w:rPr>
          <w:rFonts w:ascii="Times New Roman" w:cs="Times New Roman" w:eastAsia="Times New Roman" w:hAnsi="Times New Roman"/>
          <w:sz w:val="18"/>
          <w:szCs w:val="18"/>
          <w:color w:val="231F20"/>
        </w:rPr>
        <w:t>” shall mean the date as of which this Plan is adopted by the Board.</w:t>
      </w:r>
    </w:p>
    <w:p>
      <w:pPr>
        <w:spacing w:after="0" w:line="225"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Employee</w:t>
      </w:r>
      <w:r>
        <w:rPr>
          <w:rFonts w:ascii="Times New Roman" w:cs="Times New Roman" w:eastAsia="Times New Roman" w:hAnsi="Times New Roman"/>
          <w:sz w:val="18"/>
          <w:szCs w:val="18"/>
          <w:color w:val="231F20"/>
        </w:rPr>
        <w:t xml:space="preserve">” means any person, including an Officer or Director, employed as an employee by the Company or an Affiliate; </w:t>
      </w:r>
      <w:r>
        <w:rPr>
          <w:rFonts w:ascii="Times New Roman" w:cs="Times New Roman" w:eastAsia="Times New Roman" w:hAnsi="Times New Roman"/>
          <w:sz w:val="18"/>
          <w:szCs w:val="18"/>
          <w:i w:val="1"/>
          <w:iCs w:val="1"/>
          <w:color w:val="231F20"/>
        </w:rPr>
        <w:t>provided, that,</w:t>
      </w:r>
      <w:r>
        <w:rPr>
          <w:rFonts w:ascii="Times New Roman" w:cs="Times New Roman" w:eastAsia="Times New Roman" w:hAnsi="Times New Roman"/>
          <w:sz w:val="18"/>
          <w:szCs w:val="18"/>
          <w:color w:val="231F20"/>
        </w:rPr>
        <w:t xml:space="preserve"> for purposes of determining eligibility to receive Incentive Stock Options, an Employee shall mean an employee of 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Exchange Act</w:t>
      </w:r>
      <w:r>
        <w:rPr>
          <w:rFonts w:ascii="Times New Roman" w:cs="Times New Roman" w:eastAsia="Times New Roman" w:hAnsi="Times New Roman"/>
          <w:sz w:val="18"/>
          <w:szCs w:val="18"/>
          <w:color w:val="231F20"/>
        </w:rPr>
        <w:t>” means the Securities Exchange Act of 1934, as amended.</w:t>
      </w:r>
    </w:p>
    <w:p>
      <w:pPr>
        <w:spacing w:after="0" w:line="225" w:lineRule="exact"/>
        <w:rPr>
          <w:sz w:val="20"/>
          <w:szCs w:val="20"/>
          <w:color w:val="auto"/>
        </w:rPr>
      </w:pPr>
    </w:p>
    <w:p>
      <w:pPr>
        <w:jc w:val="both"/>
        <w:ind w:firstLine="359"/>
        <w:spacing w:after="0" w:line="254"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Fair Market Value</w:t>
      </w:r>
      <w:r>
        <w:rPr>
          <w:rFonts w:ascii="Times New Roman" w:cs="Times New Roman" w:eastAsia="Times New Roman" w:hAnsi="Times New Roman"/>
          <w:sz w:val="18"/>
          <w:szCs w:val="18"/>
          <w:color w:val="231F20"/>
        </w:rPr>
        <w:t xml:space="preserve">” means, as of any date, the value of the Common Stock as determined below. If the Common Stock is listed on any established stock exchange or a national market system, including without limitation, the New York Stock Exchange or the NASDAQ Stock Market, the Fair Market Value shall be the closing price of a Common Stock (or if no sales were reported the closing price on the date immediately preceding such date) as quoted on such exchange or system on the day of determination, as reported in the </w:t>
      </w:r>
      <w:r>
        <w:rPr>
          <w:rFonts w:ascii="Times New Roman" w:cs="Times New Roman" w:eastAsia="Times New Roman" w:hAnsi="Times New Roman"/>
          <w:sz w:val="18"/>
          <w:szCs w:val="18"/>
          <w:i w:val="1"/>
          <w:iCs w:val="1"/>
          <w:color w:val="231F20"/>
        </w:rPr>
        <w:t>Wall Street Journal</w:t>
      </w:r>
      <w:r>
        <w:rPr>
          <w:rFonts w:ascii="Times New Roman" w:cs="Times New Roman" w:eastAsia="Times New Roman" w:hAnsi="Times New Roman"/>
          <w:sz w:val="18"/>
          <w:szCs w:val="18"/>
          <w:color w:val="231F20"/>
        </w:rPr>
        <w:t>. In the absence of an established market for the Common Stock, the Fair Market Value shall be determined in good faith by the Committee and such determination shall be conclusive and binding on all persons. Notwithstanding the foregoing, the Committee may also determine the Fair Market Value upon the average selling price of the Common Stock during a specified period that is within thirty (30) days before or thirty (30) days after such date, provided that, with respect to the grant of an Option or Stock Appreciation Right, the commitment to grant such Award based on such valuation method must be irrevocable before the beginning of the specified period and otherwise compliant with Section 409A of the Code.</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231F20"/>
        </w:rPr>
        <w:t xml:space="preserve">“Fiscal Year” </w:t>
      </w:r>
      <w:r>
        <w:rPr>
          <w:rFonts w:ascii="Times New Roman" w:cs="Times New Roman" w:eastAsia="Times New Roman" w:hAnsi="Times New Roman"/>
          <w:sz w:val="18"/>
          <w:szCs w:val="18"/>
          <w:color w:val="231F20"/>
        </w:rPr>
        <w:t>means the Company’s fiscal year.</w:t>
      </w:r>
    </w:p>
    <w:p>
      <w:pPr>
        <w:spacing w:after="0" w:line="225" w:lineRule="exact"/>
        <w:rPr>
          <w:sz w:val="20"/>
          <w:szCs w:val="20"/>
          <w:color w:val="auto"/>
        </w:rPr>
      </w:pPr>
    </w:p>
    <w:p>
      <w:pPr>
        <w:jc w:val="both"/>
        <w:ind w:firstLine="359"/>
        <w:spacing w:after="0" w:line="268"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Grant Date</w:t>
      </w:r>
      <w:r>
        <w:rPr>
          <w:rFonts w:ascii="Times New Roman" w:cs="Times New Roman" w:eastAsia="Times New Roman" w:hAnsi="Times New Roman"/>
          <w:sz w:val="18"/>
          <w:szCs w:val="18"/>
          <w:color w:val="231F20"/>
        </w:rPr>
        <w:t>”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spacing w:after="0" w:line="171" w:lineRule="exact"/>
        <w:rPr>
          <w:sz w:val="20"/>
          <w:szCs w:val="20"/>
          <w:color w:val="auto"/>
        </w:rPr>
      </w:pPr>
    </w:p>
    <w:p>
      <w:pPr>
        <w:jc w:val="both"/>
        <w:ind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Incentive Stock Option</w:t>
      </w:r>
      <w:r>
        <w:rPr>
          <w:rFonts w:ascii="Times New Roman" w:cs="Times New Roman" w:eastAsia="Times New Roman" w:hAnsi="Times New Roman"/>
          <w:sz w:val="18"/>
          <w:szCs w:val="18"/>
          <w:color w:val="231F20"/>
        </w:rPr>
        <w:t>” means an Option that is designated by the Committee as an incentive stock option within the meaning of Section 422 of the Code and that meets the requirements set out in the Plan.</w:t>
      </w:r>
    </w:p>
    <w:p>
      <w:pPr>
        <w:spacing w:after="0" w:line="155" w:lineRule="exact"/>
        <w:rPr>
          <w:sz w:val="20"/>
          <w:szCs w:val="20"/>
          <w:color w:val="auto"/>
        </w:rPr>
      </w:pPr>
    </w:p>
    <w:p>
      <w:pPr>
        <w:jc w:val="both"/>
        <w:ind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Non-Employee Director</w:t>
      </w:r>
      <w:r>
        <w:rPr>
          <w:rFonts w:ascii="Times New Roman" w:cs="Times New Roman" w:eastAsia="Times New Roman" w:hAnsi="Times New Roman"/>
          <w:sz w:val="18"/>
          <w:szCs w:val="18"/>
          <w:color w:val="231F20"/>
        </w:rPr>
        <w:t>” means a Director who is a “non-employee director” within the meaning of Rule 16b-3 and an “independent director” as defined in the Marketplace Rules of The NASDAQ Stock Market LLC.</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Non-Qualified Stock Option</w:t>
      </w:r>
      <w:r>
        <w:rPr>
          <w:rFonts w:ascii="Times New Roman" w:cs="Times New Roman" w:eastAsia="Times New Roman" w:hAnsi="Times New Roman"/>
          <w:sz w:val="18"/>
          <w:szCs w:val="18"/>
          <w:color w:val="231F20"/>
        </w:rPr>
        <w:t>” means an Option that by its terms does not qualify or is not intended to qualify as an Incentive Stock Option.</w:t>
      </w:r>
    </w:p>
    <w:p>
      <w:pPr>
        <w:spacing w:after="0" w:line="225" w:lineRule="exact"/>
        <w:rPr>
          <w:sz w:val="20"/>
          <w:szCs w:val="20"/>
          <w:color w:val="auto"/>
        </w:rPr>
      </w:pPr>
    </w:p>
    <w:p>
      <w:pPr>
        <w:jc w:val="both"/>
        <w:ind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Officer</w:t>
      </w:r>
      <w:r>
        <w:rPr>
          <w:rFonts w:ascii="Times New Roman" w:cs="Times New Roman" w:eastAsia="Times New Roman" w:hAnsi="Times New Roman"/>
          <w:sz w:val="18"/>
          <w:szCs w:val="18"/>
          <w:color w:val="231F20"/>
        </w:rPr>
        <w:t>” means a person who is an officer of the Company within the meaning of Section 16 of the Exchange Act and the rules and regulations promulgated thereunder.</w:t>
      </w:r>
    </w:p>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Option</w:t>
      </w:r>
      <w:r>
        <w:rPr>
          <w:rFonts w:ascii="Times New Roman" w:cs="Times New Roman" w:eastAsia="Times New Roman" w:hAnsi="Times New Roman"/>
          <w:sz w:val="18"/>
          <w:szCs w:val="18"/>
          <w:color w:val="231F20"/>
        </w:rPr>
        <w:t>” means an Incentive Stock Option or a Non-Qualified Stock Option granted pursuant to the Plan.</w:t>
      </w:r>
    </w:p>
    <w:p>
      <w:pPr>
        <w:spacing w:after="0" w:line="225" w:lineRule="exact"/>
        <w:rPr>
          <w:sz w:val="20"/>
          <w:szCs w:val="20"/>
          <w:color w:val="auto"/>
        </w:rPr>
      </w:pPr>
    </w:p>
    <w:p>
      <w:pPr>
        <w:jc w:val="both"/>
        <w:ind w:right="20"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Optionholder</w:t>
      </w:r>
      <w:r>
        <w:rPr>
          <w:rFonts w:ascii="Times New Roman" w:cs="Times New Roman" w:eastAsia="Times New Roman" w:hAnsi="Times New Roman"/>
          <w:sz w:val="18"/>
          <w:szCs w:val="18"/>
          <w:color w:val="231F20"/>
        </w:rPr>
        <w:t>” means a person to whom an Option is granted pursuant to the Plan or, if applicable, such other person who holds an outstanding Option.</w:t>
      </w:r>
    </w:p>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Option Exercise Price</w:t>
      </w:r>
      <w:r>
        <w:rPr>
          <w:rFonts w:ascii="Times New Roman" w:cs="Times New Roman" w:eastAsia="Times New Roman" w:hAnsi="Times New Roman"/>
          <w:sz w:val="18"/>
          <w:szCs w:val="18"/>
          <w:color w:val="231F20"/>
        </w:rPr>
        <w:t>” means the price at which a share of Common Stock may be purchased upon the exercise of an Option.</w:t>
      </w:r>
    </w:p>
    <w:p>
      <w:pPr>
        <w:spacing w:after="0" w:line="225" w:lineRule="exact"/>
        <w:rPr>
          <w:sz w:val="20"/>
          <w:szCs w:val="20"/>
          <w:color w:val="auto"/>
        </w:rPr>
      </w:pPr>
    </w:p>
    <w:p>
      <w:pPr>
        <w:jc w:val="both"/>
        <w:ind w:right="20" w:firstLine="359"/>
        <w:spacing w:after="0" w:line="268" w:lineRule="auto"/>
        <w:rPr>
          <w:sz w:val="20"/>
          <w:szCs w:val="20"/>
          <w:color w:val="auto"/>
        </w:rPr>
      </w:pPr>
      <w:r>
        <w:rPr>
          <w:rFonts w:ascii="Times New Roman" w:cs="Times New Roman" w:eastAsia="Times New Roman" w:hAnsi="Times New Roman"/>
          <w:sz w:val="18"/>
          <w:szCs w:val="18"/>
          <w:b w:val="1"/>
          <w:bCs w:val="1"/>
          <w:color w:val="231F20"/>
        </w:rPr>
        <w:t xml:space="preserve">“Other Equity-Based Award” </w:t>
      </w:r>
      <w:r>
        <w:rPr>
          <w:rFonts w:ascii="Times New Roman" w:cs="Times New Roman" w:eastAsia="Times New Roman" w:hAnsi="Times New Roman"/>
          <w:sz w:val="18"/>
          <w:szCs w:val="18"/>
          <w:color w:val="231F20"/>
        </w:rPr>
        <w:t>means an Award that is not an Option, Stock Appreciation Right, Restricted Stock, Restricted Stock Unit, or</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xml:space="preserve">Performance Stock Award that is granted under </w:t>
      </w:r>
      <w:r>
        <w:rPr>
          <w:rFonts w:ascii="Times New Roman" w:cs="Times New Roman" w:eastAsia="Times New Roman" w:hAnsi="Times New Roman"/>
          <w:sz w:val="18"/>
          <w:szCs w:val="18"/>
          <w:u w:val="single" w:color="auto"/>
          <w:color w:val="231F20"/>
        </w:rPr>
        <w:t>Section 7.4</w:t>
      </w:r>
      <w:r>
        <w:rPr>
          <w:rFonts w:ascii="Times New Roman" w:cs="Times New Roman" w:eastAsia="Times New Roman" w:hAnsi="Times New Roman"/>
          <w:sz w:val="18"/>
          <w:szCs w:val="18"/>
          <w:color w:val="231F20"/>
        </w:rPr>
        <w:t xml:space="preserve"> and is payable by delivery of Common Stock and/or which is measured by reference to the value of Common Stock.</w:t>
      </w:r>
    </w:p>
    <w:p>
      <w:pPr>
        <w:spacing w:after="0" w:line="171" w:lineRule="exact"/>
        <w:rPr>
          <w:sz w:val="20"/>
          <w:szCs w:val="20"/>
          <w:color w:val="auto"/>
        </w:rPr>
      </w:pPr>
    </w:p>
    <w:p>
      <w:pPr>
        <w:jc w:val="both"/>
        <w:ind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Participant</w:t>
      </w:r>
      <w:r>
        <w:rPr>
          <w:rFonts w:ascii="Times New Roman" w:cs="Times New Roman" w:eastAsia="Times New Roman" w:hAnsi="Times New Roman"/>
          <w:sz w:val="18"/>
          <w:szCs w:val="18"/>
          <w:color w:val="231F20"/>
        </w:rPr>
        <w:t>” means an eligible person to whom an Award is granted pursuant to the Plan or, if applicable, such other person who holds an outstanding Award.</w:t>
      </w:r>
    </w:p>
    <w:p>
      <w:pPr>
        <w:spacing w:after="0" w:line="155" w:lineRule="exact"/>
        <w:rPr>
          <w:sz w:val="20"/>
          <w:szCs w:val="20"/>
          <w:color w:val="auto"/>
        </w:rPr>
      </w:pPr>
    </w:p>
    <w:p>
      <w:pPr>
        <w:jc w:val="both"/>
        <w:ind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Performance Goals</w:t>
      </w:r>
      <w:r>
        <w:rPr>
          <w:rFonts w:ascii="Times New Roman" w:cs="Times New Roman" w:eastAsia="Times New Roman" w:hAnsi="Times New Roman"/>
          <w:sz w:val="18"/>
          <w:szCs w:val="18"/>
          <w:color w:val="231F20"/>
        </w:rPr>
        <w:t>” means, for a Performance Period, the one or more goals established by the Committee for the Performance Period based upon business criteria or other performance measures determined by the Committee in its discretion.</w:t>
      </w:r>
    </w:p>
    <w:p>
      <w:pPr>
        <w:spacing w:after="0" w:line="155" w:lineRule="exact"/>
        <w:rPr>
          <w:sz w:val="20"/>
          <w:szCs w:val="20"/>
          <w:color w:val="auto"/>
        </w:rPr>
      </w:pPr>
    </w:p>
    <w:p>
      <w:pPr>
        <w:jc w:val="both"/>
        <w:ind w:right="20"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Performance Period</w:t>
      </w:r>
      <w:r>
        <w:rPr>
          <w:rFonts w:ascii="Times New Roman" w:cs="Times New Roman" w:eastAsia="Times New Roman" w:hAnsi="Times New Roman"/>
          <w:sz w:val="18"/>
          <w:szCs w:val="18"/>
          <w:color w:val="231F20"/>
        </w:rPr>
        <w:t>” means the one or more periods of time, as the Committee may select, over which the attainment of one or more Performance Goals will be measured for the purpose of determining a Participant’s right to and the payment of a Performance Stock Award or a Cash Award.</w:t>
      </w:r>
    </w:p>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Performance Stock Award</w:t>
      </w:r>
      <w:r>
        <w:rPr>
          <w:rFonts w:ascii="Times New Roman" w:cs="Times New Roman" w:eastAsia="Times New Roman" w:hAnsi="Times New Roman"/>
          <w:sz w:val="18"/>
          <w:szCs w:val="18"/>
          <w:color w:val="231F20"/>
        </w:rPr>
        <w:t xml:space="preserve">” means any Award granted pursuant to </w:t>
      </w:r>
      <w:r>
        <w:rPr>
          <w:rFonts w:ascii="Times New Roman" w:cs="Times New Roman" w:eastAsia="Times New Roman" w:hAnsi="Times New Roman"/>
          <w:sz w:val="18"/>
          <w:szCs w:val="18"/>
          <w:u w:val="single" w:color="auto"/>
          <w:color w:val="231F20"/>
        </w:rPr>
        <w:t>Section 7.3</w:t>
      </w:r>
      <w:r>
        <w:rPr>
          <w:rFonts w:ascii="Times New Roman" w:cs="Times New Roman" w:eastAsia="Times New Roman" w:hAnsi="Times New Roman"/>
          <w:sz w:val="18"/>
          <w:szCs w:val="18"/>
          <w:color w:val="231F20"/>
        </w:rPr>
        <w:t xml:space="preserve"> hereof.</w:t>
      </w:r>
    </w:p>
    <w:p>
      <w:pPr>
        <w:spacing w:after="0" w:line="225" w:lineRule="exact"/>
        <w:rPr>
          <w:sz w:val="20"/>
          <w:szCs w:val="20"/>
          <w:color w:val="auto"/>
        </w:rPr>
      </w:pPr>
    </w:p>
    <w:p>
      <w:pPr>
        <w:jc w:val="both"/>
        <w:ind w:right="20"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Performance Stock</w:t>
      </w:r>
      <w:r>
        <w:rPr>
          <w:rFonts w:ascii="Times New Roman" w:cs="Times New Roman" w:eastAsia="Times New Roman" w:hAnsi="Times New Roman"/>
          <w:sz w:val="18"/>
          <w:szCs w:val="18"/>
          <w:color w:val="231F20"/>
        </w:rPr>
        <w:t>” means the grant of a right to receive a number of actual shares of Common Stock or stock units based upon the performance of the Company during a Performance Period, as determined by the Committee.</w:t>
      </w:r>
    </w:p>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231F20"/>
        </w:rPr>
        <w:t xml:space="preserve">“Person” </w:t>
      </w:r>
      <w:r>
        <w:rPr>
          <w:rFonts w:ascii="Times New Roman" w:cs="Times New Roman" w:eastAsia="Times New Roman" w:hAnsi="Times New Roman"/>
          <w:sz w:val="18"/>
          <w:szCs w:val="18"/>
          <w:color w:val="231F20"/>
        </w:rPr>
        <w:t>means a person as defined in Section 13(d)(3) of the Exchange Act.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Plan</w:t>
      </w:r>
      <w:r>
        <w:rPr>
          <w:rFonts w:ascii="Times New Roman" w:cs="Times New Roman" w:eastAsia="Times New Roman" w:hAnsi="Times New Roman"/>
          <w:sz w:val="18"/>
          <w:szCs w:val="18"/>
          <w:color w:val="231F20"/>
        </w:rPr>
        <w:t>” means this XpresSpa Group, Inc. 2020 Equity Incentive Plan, as amended and/or amended and restated from time to time.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Prior Plan</w:t>
      </w:r>
      <w:r>
        <w:rPr>
          <w:rFonts w:ascii="Times New Roman" w:cs="Times New Roman" w:eastAsia="Times New Roman" w:hAnsi="Times New Roman"/>
          <w:sz w:val="18"/>
          <w:szCs w:val="18"/>
          <w:color w:val="231F20"/>
        </w:rPr>
        <w:t>” means the Vringo, Inc. 2012 Employee, Director and Consultant Equity Incentive Plan, as amended.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Restricted Award</w:t>
      </w:r>
      <w:r>
        <w:rPr>
          <w:rFonts w:ascii="Times New Roman" w:cs="Times New Roman" w:eastAsia="Times New Roman" w:hAnsi="Times New Roman"/>
          <w:sz w:val="18"/>
          <w:szCs w:val="18"/>
          <w:color w:val="231F20"/>
        </w:rPr>
        <w:t xml:space="preserve">” means any Award granted pursuant to </w:t>
      </w:r>
      <w:r>
        <w:rPr>
          <w:rFonts w:ascii="Times New Roman" w:cs="Times New Roman" w:eastAsia="Times New Roman" w:hAnsi="Times New Roman"/>
          <w:sz w:val="18"/>
          <w:szCs w:val="18"/>
          <w:u w:val="single" w:color="auto"/>
          <w:color w:val="231F20"/>
        </w:rPr>
        <w:t>Section 7.2(a)</w:t>
      </w:r>
      <w:r>
        <w:rPr>
          <w:rFonts w:ascii="Times New Roman" w:cs="Times New Roman" w:eastAsia="Times New Roman" w:hAnsi="Times New Roman"/>
          <w:sz w:val="18"/>
          <w:szCs w:val="18"/>
          <w:color w:val="231F20"/>
        </w:rPr>
        <w: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Restricted Period</w:t>
      </w:r>
      <w:r>
        <w:rPr>
          <w:rFonts w:ascii="Times New Roman" w:cs="Times New Roman" w:eastAsia="Times New Roman" w:hAnsi="Times New Roman"/>
          <w:sz w:val="18"/>
          <w:szCs w:val="18"/>
          <w:color w:val="231F20"/>
        </w:rPr>
        <w:t xml:space="preserve">” has the meaning set forth in </w:t>
      </w:r>
      <w:r>
        <w:rPr>
          <w:rFonts w:ascii="Times New Roman" w:cs="Times New Roman" w:eastAsia="Times New Roman" w:hAnsi="Times New Roman"/>
          <w:sz w:val="18"/>
          <w:szCs w:val="18"/>
          <w:u w:val="single" w:color="auto"/>
          <w:color w:val="231F20"/>
        </w:rPr>
        <w:t>Section 7.2(a)</w:t>
      </w:r>
      <w:r>
        <w:rPr>
          <w:rFonts w:ascii="Times New Roman" w:cs="Times New Roman" w:eastAsia="Times New Roman" w:hAnsi="Times New Roman"/>
          <w:sz w:val="18"/>
          <w:szCs w:val="18"/>
          <w:color w:val="231F20"/>
        </w:rPr>
        <w: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Restricted Stock</w:t>
      </w:r>
      <w:r>
        <w:rPr>
          <w:rFonts w:ascii="Times New Roman" w:cs="Times New Roman" w:eastAsia="Times New Roman" w:hAnsi="Times New Roman"/>
          <w:sz w:val="18"/>
          <w:szCs w:val="18"/>
          <w:color w:val="231F20"/>
        </w:rPr>
        <w:t xml:space="preserve">” has the meaning set forth in </w:t>
      </w:r>
      <w:r>
        <w:rPr>
          <w:rFonts w:ascii="Times New Roman" w:cs="Times New Roman" w:eastAsia="Times New Roman" w:hAnsi="Times New Roman"/>
          <w:sz w:val="18"/>
          <w:szCs w:val="18"/>
          <w:u w:val="single" w:color="auto"/>
          <w:color w:val="231F20"/>
        </w:rPr>
        <w:t>Section 7.2(a)</w:t>
      </w:r>
      <w:r>
        <w:rPr>
          <w:rFonts w:ascii="Times New Roman" w:cs="Times New Roman" w:eastAsia="Times New Roman" w:hAnsi="Times New Roman"/>
          <w:sz w:val="18"/>
          <w:szCs w:val="18"/>
          <w:color w:val="231F20"/>
        </w:rPr>
        <w: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Restricted Stock Units</w:t>
      </w:r>
      <w:r>
        <w:rPr>
          <w:rFonts w:ascii="Times New Roman" w:cs="Times New Roman" w:eastAsia="Times New Roman" w:hAnsi="Times New Roman"/>
          <w:sz w:val="18"/>
          <w:szCs w:val="18"/>
          <w:color w:val="231F20"/>
        </w:rPr>
        <w:t xml:space="preserve">” has the meaning set forth in </w:t>
      </w:r>
      <w:r>
        <w:rPr>
          <w:rFonts w:ascii="Times New Roman" w:cs="Times New Roman" w:eastAsia="Times New Roman" w:hAnsi="Times New Roman"/>
          <w:sz w:val="18"/>
          <w:szCs w:val="18"/>
          <w:u w:val="single" w:color="auto"/>
          <w:color w:val="231F20"/>
        </w:rPr>
        <w:t>Section 7.2(a)</w:t>
      </w:r>
      <w:r>
        <w:rPr>
          <w:rFonts w:ascii="Times New Roman" w:cs="Times New Roman" w:eastAsia="Times New Roman" w:hAnsi="Times New Roman"/>
          <w:sz w:val="18"/>
          <w:szCs w:val="18"/>
          <w:color w:val="231F20"/>
        </w:rPr>
        <w: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Rule 16b-3</w:t>
      </w:r>
      <w:r>
        <w:rPr>
          <w:rFonts w:ascii="Times New Roman" w:cs="Times New Roman" w:eastAsia="Times New Roman" w:hAnsi="Times New Roman"/>
          <w:sz w:val="18"/>
          <w:szCs w:val="18"/>
          <w:color w:val="231F20"/>
        </w:rPr>
        <w:t>” means Rule 16b-3 promulgated under the Exchange Act or any successor to Rule 16b-3, as in effect from time to time.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Securities Act</w:t>
      </w:r>
      <w:r>
        <w:rPr>
          <w:rFonts w:ascii="Times New Roman" w:cs="Times New Roman" w:eastAsia="Times New Roman" w:hAnsi="Times New Roman"/>
          <w:sz w:val="18"/>
          <w:szCs w:val="18"/>
          <w:color w:val="231F20"/>
        </w:rPr>
        <w:t>” means the Securities Act of 1933, as amended.</w:t>
      </w:r>
    </w:p>
    <w:p>
      <w:pPr>
        <w:spacing w:after="0" w:line="225" w:lineRule="exact"/>
        <w:rPr>
          <w:sz w:val="20"/>
          <w:szCs w:val="20"/>
          <w:color w:val="auto"/>
        </w:rPr>
      </w:pPr>
    </w:p>
    <w:p>
      <w:pPr>
        <w:jc w:val="both"/>
        <w:ind w:firstLine="359"/>
        <w:spacing w:after="0" w:line="268"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Stock Appreciation Right</w:t>
      </w:r>
      <w:r>
        <w:rPr>
          <w:rFonts w:ascii="Times New Roman" w:cs="Times New Roman" w:eastAsia="Times New Roman" w:hAnsi="Times New Roman"/>
          <w:sz w:val="18"/>
          <w:szCs w:val="18"/>
          <w:color w:val="231F20"/>
        </w:rPr>
        <w:t xml:space="preserve">” means the right pursuant to an Award granted under </w:t>
      </w:r>
      <w:r>
        <w:rPr>
          <w:rFonts w:ascii="Times New Roman" w:cs="Times New Roman" w:eastAsia="Times New Roman" w:hAnsi="Times New Roman"/>
          <w:sz w:val="18"/>
          <w:szCs w:val="18"/>
          <w:u w:val="single" w:color="auto"/>
          <w:color w:val="231F20"/>
        </w:rPr>
        <w:t>Section 7.1</w:t>
      </w:r>
      <w:r>
        <w:rPr>
          <w:rFonts w:ascii="Times New Roman" w:cs="Times New Roman" w:eastAsia="Times New Roman" w:hAnsi="Times New Roman"/>
          <w:sz w:val="18"/>
          <w:szCs w:val="18"/>
          <w:color w:val="231F20"/>
        </w:rPr>
        <w:t xml:space="preserve"> to receive, upon exercise, an amount payable in cash or stock equal to the number of shares subject to the Stock Appreciation Right that is being exercised multiplied by the excess of (a) the Fair Market Value of a share of Common Stock on the date the Award is exercised, over (b) the exercise price specified in the Stock Appreciation Right Award Agreement.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Stock for Stock Exchange</w:t>
      </w:r>
      <w:r>
        <w:rPr>
          <w:rFonts w:ascii="Times New Roman" w:cs="Times New Roman" w:eastAsia="Times New Roman" w:hAnsi="Times New Roman"/>
          <w:sz w:val="18"/>
          <w:szCs w:val="18"/>
          <w:color w:val="231F20"/>
        </w:rPr>
        <w:t xml:space="preserve">” has the meaning set forth in </w:t>
      </w:r>
      <w:r>
        <w:rPr>
          <w:rFonts w:ascii="Times New Roman" w:cs="Times New Roman" w:eastAsia="Times New Roman" w:hAnsi="Times New Roman"/>
          <w:sz w:val="18"/>
          <w:szCs w:val="18"/>
          <w:u w:val="single" w:color="auto"/>
          <w:color w:val="231F20"/>
        </w:rPr>
        <w:t>Section 6.4</w:t>
      </w:r>
      <w:r>
        <w:rPr>
          <w:rFonts w:ascii="Times New Roman" w:cs="Times New Roman" w:eastAsia="Times New Roman" w:hAnsi="Times New Roman"/>
          <w:sz w:val="18"/>
          <w:szCs w:val="18"/>
          <w:color w:val="231F20"/>
        </w:rPr>
        <w: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231F20"/>
        </w:rPr>
        <w:t xml:space="preserve">“Substitute Award” </w:t>
      </w:r>
      <w:r>
        <w:rPr>
          <w:rFonts w:ascii="Times New Roman" w:cs="Times New Roman" w:eastAsia="Times New Roman" w:hAnsi="Times New Roman"/>
          <w:sz w:val="18"/>
          <w:szCs w:val="18"/>
          <w:color w:val="231F20"/>
        </w:rPr>
        <w:t>has the meaning set forth in</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u w:val="single" w:color="auto"/>
          <w:color w:val="231F20"/>
        </w:rPr>
        <w:t>Section 4.7</w:t>
      </w:r>
      <w:r>
        <w:rPr>
          <w:rFonts w:ascii="Times New Roman" w:cs="Times New Roman" w:eastAsia="Times New Roman" w:hAnsi="Times New Roman"/>
          <w:sz w:val="18"/>
          <w:szCs w:val="18"/>
          <w:color w:val="231F20"/>
        </w:rPr>
        <w:t>.</w:t>
      </w:r>
    </w:p>
    <w:p>
      <w:pPr>
        <w:spacing w:after="0" w:line="225" w:lineRule="exact"/>
        <w:rPr>
          <w:sz w:val="20"/>
          <w:szCs w:val="20"/>
          <w:color w:val="auto"/>
        </w:rPr>
      </w:pPr>
    </w:p>
    <w:p>
      <w:pPr>
        <w:ind w:firstLine="359"/>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Ten Percent Stockholder</w:t>
      </w:r>
      <w:r>
        <w:rPr>
          <w:rFonts w:ascii="Times New Roman" w:cs="Times New Roman" w:eastAsia="Times New Roman" w:hAnsi="Times New Roman"/>
          <w:sz w:val="18"/>
          <w:szCs w:val="18"/>
          <w:color w:val="231F20"/>
        </w:rPr>
        <w:t>” means a person who owns (or is deemed to own pursuant to Section 424(d) of the Code) shares possessing more than 10% of the total combined voting power of all classes of shares of the Company or of any of its Affiliates.</w:t>
      </w:r>
    </w:p>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231F20"/>
        </w:rPr>
        <w:t>“Total Share Reserve</w:t>
      </w:r>
      <w:r>
        <w:rPr>
          <w:rFonts w:ascii="Times New Roman" w:cs="Times New Roman" w:eastAsia="Times New Roman" w:hAnsi="Times New Roman"/>
          <w:sz w:val="18"/>
          <w:szCs w:val="18"/>
          <w:color w:val="231F20"/>
        </w:rPr>
        <w:t>” has the meaning set forth in</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u w:val="single" w:color="auto"/>
          <w:color w:val="231F20"/>
        </w:rPr>
        <w:t>Section 4.1</w:t>
      </w:r>
      <w:r>
        <w:rPr>
          <w:rFonts w:ascii="Times New Roman" w:cs="Times New Roman" w:eastAsia="Times New Roman" w:hAnsi="Times New Roman"/>
          <w:sz w:val="18"/>
          <w:szCs w:val="18"/>
          <w:color w:val="231F20"/>
        </w:rPr>
        <w:t>.</w:t>
      </w:r>
    </w:p>
    <w:p>
      <w:pPr>
        <w:spacing w:after="0" w:line="229"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Administration</w:t>
      </w:r>
      <w:r>
        <w:rPr>
          <w:rFonts w:ascii="Times New Roman" w:cs="Times New Roman" w:eastAsia="Times New Roman" w:hAnsi="Times New Roman"/>
          <w:sz w:val="18"/>
          <w:szCs w:val="18"/>
          <w:color w:val="231F20"/>
        </w:rPr>
        <w:t>.</w:t>
      </w:r>
    </w:p>
    <w:p>
      <w:pPr>
        <w:spacing w:after="0" w:line="252"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8"/>
          <w:szCs w:val="18"/>
          <w:color w:val="231F20"/>
        </w:rPr>
        <w:t xml:space="preserve">3.1 </w:t>
      </w:r>
      <w:r>
        <w:rPr>
          <w:rFonts w:ascii="Times New Roman" w:cs="Times New Roman" w:eastAsia="Times New Roman" w:hAnsi="Times New Roman"/>
          <w:sz w:val="18"/>
          <w:szCs w:val="18"/>
          <w:u w:val="single" w:color="auto"/>
          <w:color w:val="231F20"/>
        </w:rPr>
        <w:t>Authority of Committee</w:t>
      </w:r>
      <w:r>
        <w:rPr>
          <w:rFonts w:ascii="Times New Roman" w:cs="Times New Roman" w:eastAsia="Times New Roman" w:hAnsi="Times New Roman"/>
          <w:sz w:val="18"/>
          <w:szCs w:val="18"/>
          <w:color w:val="231F20"/>
        </w:rPr>
        <w:t>. The Plan shall be administered by the Committee or, in the Board’s sole discretion, by the Board. Subject to the terms of the Plan, the Committee’s charter and Applicable Laws, and in addition to other express powers and authorization conferred by the Plan, the Committee shall have the authority:</w:t>
      </w:r>
    </w:p>
    <w:p>
      <w:pPr>
        <w:spacing w:after="0" w:line="176" w:lineRule="exact"/>
        <w:rPr>
          <w:sz w:val="20"/>
          <w:szCs w:val="20"/>
          <w:color w:val="auto"/>
        </w:rPr>
      </w:pPr>
    </w:p>
    <w:p>
      <w:pPr>
        <w:ind w:left="1240" w:hanging="328"/>
        <w:spacing w:after="0"/>
        <w:tabs>
          <w:tab w:leader="none" w:pos="12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construe and interpret the Plan and apply its provisions;</w:t>
      </w:r>
    </w:p>
    <w:p>
      <w:pPr>
        <w:spacing w:after="0" w:line="252" w:lineRule="exact"/>
        <w:rPr>
          <w:rFonts w:ascii="Times New Roman" w:cs="Times New Roman" w:eastAsia="Times New Roman" w:hAnsi="Times New Roman"/>
          <w:sz w:val="18"/>
          <w:szCs w:val="18"/>
          <w:color w:val="231F20"/>
        </w:rPr>
      </w:pPr>
    </w:p>
    <w:p>
      <w:pPr>
        <w:ind w:left="1240" w:hanging="328"/>
        <w:spacing w:after="0"/>
        <w:tabs>
          <w:tab w:leader="none" w:pos="12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promulgate, amend, and rescind rules and regulations relating to the administration of the Plan;</w:t>
      </w:r>
    </w:p>
    <w:p>
      <w:pPr>
        <w:spacing w:after="0" w:line="252" w:lineRule="exact"/>
        <w:rPr>
          <w:rFonts w:ascii="Times New Roman" w:cs="Times New Roman" w:eastAsia="Times New Roman" w:hAnsi="Times New Roman"/>
          <w:sz w:val="18"/>
          <w:szCs w:val="18"/>
          <w:color w:val="231F20"/>
        </w:rPr>
      </w:pPr>
    </w:p>
    <w:p>
      <w:pPr>
        <w:ind w:left="1240" w:hanging="328"/>
        <w:spacing w:after="0"/>
        <w:tabs>
          <w:tab w:leader="none" w:pos="12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authorize any person to execute, on behalf of the Company, any instrument required to carry out the purposes of the Plan;</w:t>
      </w:r>
    </w:p>
    <w:p>
      <w:pPr>
        <w:spacing w:after="0" w:line="252" w:lineRule="exact"/>
        <w:rPr>
          <w:rFonts w:ascii="Times New Roman" w:cs="Times New Roman" w:eastAsia="Times New Roman" w:hAnsi="Times New Roman"/>
          <w:sz w:val="18"/>
          <w:szCs w:val="18"/>
          <w:color w:val="231F20"/>
        </w:rPr>
      </w:pPr>
    </w:p>
    <w:p>
      <w:pPr>
        <w:ind w:left="1240" w:hanging="328"/>
        <w:spacing w:after="0" w:line="282" w:lineRule="auto"/>
        <w:tabs>
          <w:tab w:leader="none" w:pos="12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delegate its authority to one or more Officers of the Company with respect to Awards that do not involve “insiders” within the meaning of Section 16 of the Exchange Act;</w:t>
      </w:r>
    </w:p>
    <w:p>
      <w:pPr>
        <w:spacing w:after="0" w:line="188" w:lineRule="exact"/>
        <w:rPr>
          <w:rFonts w:ascii="Times New Roman" w:cs="Times New Roman" w:eastAsia="Times New Roman" w:hAnsi="Times New Roman"/>
          <w:sz w:val="18"/>
          <w:szCs w:val="18"/>
          <w:color w:val="231F20"/>
        </w:rPr>
      </w:pPr>
    </w:p>
    <w:p>
      <w:pPr>
        <w:ind w:left="1240" w:hanging="328"/>
        <w:spacing w:after="0"/>
        <w:tabs>
          <w:tab w:leader="none" w:pos="12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determine when Awards are to be granted under the Plan and the applicable Grant Date;</w:t>
      </w:r>
    </w:p>
    <w:p>
      <w:pPr>
        <w:spacing w:after="0" w:line="252" w:lineRule="exact"/>
        <w:rPr>
          <w:rFonts w:ascii="Times New Roman" w:cs="Times New Roman" w:eastAsia="Times New Roman" w:hAnsi="Times New Roman"/>
          <w:sz w:val="18"/>
          <w:szCs w:val="18"/>
          <w:color w:val="231F20"/>
        </w:rPr>
      </w:pPr>
    </w:p>
    <w:p>
      <w:pPr>
        <w:ind w:left="1240" w:hanging="328"/>
        <w:spacing w:after="0" w:line="282" w:lineRule="auto"/>
        <w:tabs>
          <w:tab w:leader="none" w:pos="12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from time to time to select, subject to the limitations set forth in this Plan, those eligible Award recipients to whom Awards shall be granted;</w:t>
      </w:r>
    </w:p>
    <w:p>
      <w:pPr>
        <w:spacing w:after="0" w:line="188" w:lineRule="exact"/>
        <w:rPr>
          <w:rFonts w:ascii="Times New Roman" w:cs="Times New Roman" w:eastAsia="Times New Roman" w:hAnsi="Times New Roman"/>
          <w:sz w:val="18"/>
          <w:szCs w:val="18"/>
          <w:color w:val="231F20"/>
        </w:rPr>
      </w:pPr>
    </w:p>
    <w:p>
      <w:pPr>
        <w:ind w:left="1240" w:hanging="328"/>
        <w:spacing w:after="0"/>
        <w:tabs>
          <w:tab w:leader="none" w:pos="12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determine the number of shares of Common Stock to be made subject to each Award;</w:t>
      </w:r>
    </w:p>
    <w:p>
      <w:pPr>
        <w:spacing w:after="0" w:line="252" w:lineRule="exact"/>
        <w:rPr>
          <w:rFonts w:ascii="Times New Roman" w:cs="Times New Roman" w:eastAsia="Times New Roman" w:hAnsi="Times New Roman"/>
          <w:sz w:val="18"/>
          <w:szCs w:val="18"/>
          <w:color w:val="231F20"/>
        </w:rPr>
      </w:pPr>
    </w:p>
    <w:p>
      <w:pPr>
        <w:ind w:left="1240" w:hanging="328"/>
        <w:spacing w:after="0"/>
        <w:tabs>
          <w:tab w:leader="none" w:pos="12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determine whether each Option is to be an Incentive Stock Option or a Non-Qualified Stock Option;</w:t>
      </w:r>
    </w:p>
    <w:p>
      <w:pPr>
        <w:spacing w:after="0" w:line="252" w:lineRule="exact"/>
        <w:rPr>
          <w:rFonts w:ascii="Times New Roman" w:cs="Times New Roman" w:eastAsia="Times New Roman" w:hAnsi="Times New Roman"/>
          <w:sz w:val="18"/>
          <w:szCs w:val="18"/>
          <w:color w:val="231F20"/>
        </w:rPr>
      </w:pPr>
    </w:p>
    <w:p>
      <w:pPr>
        <w:ind w:left="1240" w:right="20" w:hanging="328"/>
        <w:spacing w:after="0" w:line="282" w:lineRule="auto"/>
        <w:tabs>
          <w:tab w:leader="none" w:pos="12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prescribe the terms and conditions of each Award, including, without limitation, the exercise price and medium of payment and vesting provisions, and to specify the provisions of the Award Agreement relating to such grant;</w:t>
      </w:r>
    </w:p>
    <w:p>
      <w:pPr>
        <w:spacing w:after="0" w:line="188" w:lineRule="exact"/>
        <w:rPr>
          <w:rFonts w:ascii="Times New Roman" w:cs="Times New Roman" w:eastAsia="Times New Roman" w:hAnsi="Times New Roman"/>
          <w:sz w:val="18"/>
          <w:szCs w:val="18"/>
          <w:color w:val="231F20"/>
        </w:rPr>
      </w:pPr>
    </w:p>
    <w:p>
      <w:pPr>
        <w:jc w:val="both"/>
        <w:ind w:left="1240" w:hanging="328"/>
        <w:spacing w:after="0" w:line="266" w:lineRule="auto"/>
        <w:tabs>
          <w:tab w:leader="none" w:pos="12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determine the target number of Performance Stock to be granted pursuant to a Performance Stock Award, the performance measures that will be used to establish the Performance Goals, the Performance Period(s) and the number of Performance Stock earned by a Participant;</w:t>
      </w:r>
    </w:p>
    <w:p>
      <w:pPr>
        <w:spacing w:after="0" w:line="202" w:lineRule="exact"/>
        <w:rPr>
          <w:rFonts w:ascii="Times New Roman" w:cs="Times New Roman" w:eastAsia="Times New Roman" w:hAnsi="Times New Roman"/>
          <w:sz w:val="18"/>
          <w:szCs w:val="18"/>
          <w:color w:val="231F20"/>
        </w:rPr>
      </w:pPr>
    </w:p>
    <w:p>
      <w:pPr>
        <w:jc w:val="both"/>
        <w:ind w:left="1240" w:hanging="328"/>
        <w:spacing w:after="0" w:line="261" w:lineRule="auto"/>
        <w:tabs>
          <w:tab w:leader="none" w:pos="12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to amend any outstanding Awards, including for the purpose of modifying the time or manner of vesting, or the term of any outstanding Award; </w:t>
      </w:r>
      <w:r>
        <w:rPr>
          <w:rFonts w:ascii="Times New Roman" w:cs="Times New Roman" w:eastAsia="Times New Roman" w:hAnsi="Times New Roman"/>
          <w:sz w:val="18"/>
          <w:szCs w:val="18"/>
          <w:i w:val="1"/>
          <w:iCs w:val="1"/>
          <w:color w:val="231F20"/>
        </w:rPr>
        <w:t>provided, however</w:t>
      </w:r>
      <w:r>
        <w:rPr>
          <w:rFonts w:ascii="Times New Roman" w:cs="Times New Roman" w:eastAsia="Times New Roman" w:hAnsi="Times New Roman"/>
          <w:sz w:val="18"/>
          <w:szCs w:val="18"/>
          <w:color w:val="231F20"/>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p>
    <w:p>
      <w:pPr>
        <w:spacing w:after="0" w:line="206" w:lineRule="exact"/>
        <w:rPr>
          <w:rFonts w:ascii="Times New Roman" w:cs="Times New Roman" w:eastAsia="Times New Roman" w:hAnsi="Times New Roman"/>
          <w:sz w:val="18"/>
          <w:szCs w:val="18"/>
          <w:color w:val="231F20"/>
        </w:rPr>
      </w:pPr>
    </w:p>
    <w:p>
      <w:pPr>
        <w:jc w:val="both"/>
        <w:ind w:left="1240" w:hanging="328"/>
        <w:spacing w:after="0" w:line="266" w:lineRule="auto"/>
        <w:tabs>
          <w:tab w:leader="none" w:pos="12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p>
    <w:p>
      <w:pPr>
        <w:spacing w:after="0" w:line="202" w:lineRule="exact"/>
        <w:rPr>
          <w:rFonts w:ascii="Times New Roman" w:cs="Times New Roman" w:eastAsia="Times New Roman" w:hAnsi="Times New Roman"/>
          <w:sz w:val="18"/>
          <w:szCs w:val="18"/>
          <w:color w:val="231F20"/>
        </w:rPr>
      </w:pPr>
    </w:p>
    <w:p>
      <w:pPr>
        <w:ind w:left="1240" w:hanging="328"/>
        <w:spacing w:after="0" w:line="282" w:lineRule="auto"/>
        <w:tabs>
          <w:tab w:leader="none" w:pos="12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make decisions with respect to outstanding Awards that may become necessary upon a change in corporate control or an event that triggers anti-dilution adjustments;</w:t>
      </w:r>
    </w:p>
    <w:p>
      <w:pPr>
        <w:spacing w:after="0" w:line="188" w:lineRule="exact"/>
        <w:rPr>
          <w:rFonts w:ascii="Times New Roman" w:cs="Times New Roman" w:eastAsia="Times New Roman" w:hAnsi="Times New Roman"/>
          <w:sz w:val="18"/>
          <w:szCs w:val="18"/>
          <w:color w:val="231F20"/>
        </w:rPr>
      </w:pPr>
    </w:p>
    <w:p>
      <w:pPr>
        <w:ind w:left="1240" w:hanging="328"/>
        <w:spacing w:after="0" w:line="282" w:lineRule="auto"/>
        <w:tabs>
          <w:tab w:leader="none" w:pos="12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interpret, administer, reconcile any inconsistency in, correct any defect in and/or supply any omission in the Plan and any instrument or agreement relating to, or Award granted under, the Plan;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left="1240" w:right="1700" w:hanging="328"/>
        <w:spacing w:after="0" w:line="282" w:lineRule="auto"/>
        <w:tabs>
          <w:tab w:leader="none" w:pos="124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exercise discretion to make any and all other determinations which it determines to be necessary or advisable for the administration of the Plan.</w:t>
      </w:r>
    </w:p>
    <w:p>
      <w:pPr>
        <w:spacing w:after="0" w:line="160" w:lineRule="exact"/>
        <w:rPr>
          <w:sz w:val="20"/>
          <w:szCs w:val="20"/>
          <w:color w:val="auto"/>
        </w:rPr>
      </w:pPr>
    </w:p>
    <w:p>
      <w:pPr>
        <w:jc w:val="both"/>
        <w:ind w:firstLine="359"/>
        <w:spacing w:after="0" w:line="284" w:lineRule="auto"/>
        <w:rPr>
          <w:sz w:val="20"/>
          <w:szCs w:val="20"/>
          <w:color w:val="auto"/>
        </w:rPr>
      </w:pPr>
      <w:r>
        <w:rPr>
          <w:rFonts w:ascii="Times New Roman" w:cs="Times New Roman" w:eastAsia="Times New Roman" w:hAnsi="Times New Roman"/>
          <w:sz w:val="18"/>
          <w:szCs w:val="18"/>
          <w:color w:val="231F20"/>
        </w:rPr>
        <w:t xml:space="preserve">The Committee also may modify the purchase price or the exercise price of any outstanding Award, </w:t>
      </w:r>
      <w:r>
        <w:rPr>
          <w:rFonts w:ascii="Times New Roman" w:cs="Times New Roman" w:eastAsia="Times New Roman" w:hAnsi="Times New Roman"/>
          <w:sz w:val="18"/>
          <w:szCs w:val="18"/>
          <w:i w:val="1"/>
          <w:iCs w:val="1"/>
          <w:color w:val="231F20"/>
        </w:rPr>
        <w:t>provided that</w:t>
      </w:r>
      <w:r>
        <w:rPr>
          <w:rFonts w:ascii="Times New Roman" w:cs="Times New Roman" w:eastAsia="Times New Roman" w:hAnsi="Times New Roman"/>
          <w:sz w:val="18"/>
          <w:szCs w:val="18"/>
          <w:color w:val="231F20"/>
        </w:rPr>
        <w:t xml:space="preserve"> if the modification effects a repricing, stockholder approval shall be required before the repricing is effective.</w:t>
      </w:r>
    </w:p>
    <w:p>
      <w:pPr>
        <w:spacing w:after="0" w:line="160" w:lineRule="exact"/>
        <w:rPr>
          <w:sz w:val="20"/>
          <w:szCs w:val="20"/>
          <w:color w:val="auto"/>
        </w:rPr>
      </w:pPr>
    </w:p>
    <w:p>
      <w:pPr>
        <w:jc w:val="both"/>
        <w:ind w:firstLine="359"/>
        <w:spacing w:after="0" w:line="282" w:lineRule="auto"/>
        <w:rPr>
          <w:sz w:val="20"/>
          <w:szCs w:val="20"/>
          <w:color w:val="auto"/>
        </w:rPr>
      </w:pPr>
      <w:r>
        <w:rPr>
          <w:rFonts w:ascii="Times New Roman" w:cs="Times New Roman" w:eastAsia="Times New Roman" w:hAnsi="Times New Roman"/>
          <w:sz w:val="18"/>
          <w:szCs w:val="18"/>
          <w:color w:val="231F20"/>
        </w:rPr>
        <w:t xml:space="preserve">3.2 </w:t>
      </w:r>
      <w:r>
        <w:rPr>
          <w:rFonts w:ascii="Times New Roman" w:cs="Times New Roman" w:eastAsia="Times New Roman" w:hAnsi="Times New Roman"/>
          <w:sz w:val="18"/>
          <w:szCs w:val="18"/>
          <w:u w:val="single" w:color="auto"/>
          <w:color w:val="231F20"/>
        </w:rPr>
        <w:t>Committee Decisions Final</w:t>
      </w:r>
      <w:r>
        <w:rPr>
          <w:rFonts w:ascii="Times New Roman" w:cs="Times New Roman" w:eastAsia="Times New Roman" w:hAnsi="Times New Roman"/>
          <w:sz w:val="18"/>
          <w:szCs w:val="18"/>
          <w:color w:val="231F20"/>
        </w:rPr>
        <w:t>. All decisions made by the Committee pursuant to the provisions of the Plan shall be final and binding on the Company and the Participants, unless such decisions are determined by a court having jurisdiction to be arbitrary and capricious.</w:t>
      </w:r>
    </w:p>
    <w:p>
      <w:pPr>
        <w:spacing w:after="0" w:line="162" w:lineRule="exact"/>
        <w:rPr>
          <w:sz w:val="20"/>
          <w:szCs w:val="20"/>
          <w:color w:val="auto"/>
        </w:rPr>
      </w:pPr>
    </w:p>
    <w:p>
      <w:pPr>
        <w:jc w:val="both"/>
        <w:ind w:firstLine="359"/>
        <w:spacing w:after="0" w:line="253" w:lineRule="auto"/>
        <w:rPr>
          <w:sz w:val="20"/>
          <w:szCs w:val="20"/>
          <w:color w:val="auto"/>
        </w:rPr>
      </w:pPr>
      <w:r>
        <w:rPr>
          <w:rFonts w:ascii="Times New Roman" w:cs="Times New Roman" w:eastAsia="Times New Roman" w:hAnsi="Times New Roman"/>
          <w:sz w:val="18"/>
          <w:szCs w:val="18"/>
          <w:color w:val="231F20"/>
        </w:rPr>
        <w:t xml:space="preserve">3.3 </w:t>
      </w:r>
      <w:r>
        <w:rPr>
          <w:rFonts w:ascii="Times New Roman" w:cs="Times New Roman" w:eastAsia="Times New Roman" w:hAnsi="Times New Roman"/>
          <w:sz w:val="18"/>
          <w:szCs w:val="18"/>
          <w:u w:val="single" w:color="auto"/>
          <w:color w:val="231F20"/>
        </w:rPr>
        <w:t>Delegation</w:t>
      </w:r>
      <w:r>
        <w:rPr>
          <w:rFonts w:ascii="Times New Roman" w:cs="Times New Roman" w:eastAsia="Times New Roman" w:hAnsi="Times New Roman"/>
          <w:sz w:val="18"/>
          <w:szCs w:val="18"/>
          <w:color w:val="231F20"/>
        </w:rPr>
        <w:t>. The Committee or, if no Committee has been appointed, the Board may delegate administration of the Plan to a committee or committees of one or more members of the Board, and the term “</w:t>
      </w:r>
      <w:r>
        <w:rPr>
          <w:rFonts w:ascii="Times New Roman" w:cs="Times New Roman" w:eastAsia="Times New Roman" w:hAnsi="Times New Roman"/>
          <w:sz w:val="18"/>
          <w:szCs w:val="18"/>
          <w:b w:val="1"/>
          <w:bCs w:val="1"/>
          <w:color w:val="231F20"/>
        </w:rPr>
        <w:t>Committee</w:t>
      </w:r>
      <w:r>
        <w:rPr>
          <w:rFonts w:ascii="Times New Roman" w:cs="Times New Roman" w:eastAsia="Times New Roman" w:hAnsi="Times New Roman"/>
          <w:sz w:val="18"/>
          <w:szCs w:val="18"/>
          <w:color w:val="231F20"/>
        </w:rPr>
        <w:t>”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spacing w:after="0" w:line="190" w:lineRule="exact"/>
        <w:rPr>
          <w:sz w:val="20"/>
          <w:szCs w:val="20"/>
          <w:color w:val="auto"/>
        </w:rPr>
      </w:pPr>
    </w:p>
    <w:p>
      <w:pPr>
        <w:jc w:val="both"/>
        <w:ind w:firstLine="359"/>
        <w:spacing w:after="0" w:line="255" w:lineRule="auto"/>
        <w:rPr>
          <w:sz w:val="20"/>
          <w:szCs w:val="20"/>
          <w:color w:val="auto"/>
        </w:rPr>
      </w:pPr>
      <w:r>
        <w:rPr>
          <w:rFonts w:ascii="Times New Roman" w:cs="Times New Roman" w:eastAsia="Times New Roman" w:hAnsi="Times New Roman"/>
          <w:sz w:val="18"/>
          <w:szCs w:val="18"/>
          <w:color w:val="231F20"/>
        </w:rPr>
        <w:t xml:space="preserve">3.4 </w:t>
      </w:r>
      <w:r>
        <w:rPr>
          <w:rFonts w:ascii="Times New Roman" w:cs="Times New Roman" w:eastAsia="Times New Roman" w:hAnsi="Times New Roman"/>
          <w:sz w:val="18"/>
          <w:szCs w:val="18"/>
          <w:u w:val="single" w:color="auto"/>
          <w:color w:val="231F20"/>
        </w:rPr>
        <w:t>Committee Composition</w:t>
      </w:r>
      <w:r>
        <w:rPr>
          <w:rFonts w:ascii="Times New Roman" w:cs="Times New Roman" w:eastAsia="Times New Roman" w:hAnsi="Times New Roman"/>
          <w:sz w:val="18"/>
          <w:szCs w:val="18"/>
          <w:color w:val="231F20"/>
        </w:rPr>
        <w:t>. Except as otherwise determined by the Board, the Committee shall consist solely of two or more Non-Employee Directors. The Board shall have discretion to determine whether or not it intends to comply with the exemption requirements of Rule 16b-3. However, if the Board intends to satisfy such exemption requirements, with respect to any insider subject to Section 16 of the Exchange Act, the Committee shall be a compensation committee of the Board that at all times consists solely of two or more Non-Employee Directors. Within the scope of such authority, the Board or the Committee may delegate to an Officer or Officers the authority to grant Awards to eligible persons who are not then subject to Section 16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p>
    <w:p>
      <w:pPr>
        <w:spacing w:after="0" w:line="189" w:lineRule="exact"/>
        <w:rPr>
          <w:sz w:val="20"/>
          <w:szCs w:val="20"/>
          <w:color w:val="auto"/>
        </w:rPr>
      </w:pPr>
    </w:p>
    <w:p>
      <w:pPr>
        <w:jc w:val="both"/>
        <w:ind w:firstLine="359"/>
        <w:spacing w:after="0" w:line="253" w:lineRule="auto"/>
        <w:rPr>
          <w:sz w:val="20"/>
          <w:szCs w:val="20"/>
          <w:color w:val="auto"/>
        </w:rPr>
      </w:pPr>
      <w:r>
        <w:rPr>
          <w:rFonts w:ascii="Times New Roman" w:cs="Times New Roman" w:eastAsia="Times New Roman" w:hAnsi="Times New Roman"/>
          <w:sz w:val="18"/>
          <w:szCs w:val="18"/>
          <w:color w:val="231F20"/>
        </w:rPr>
        <w:t xml:space="preserve">3.5 </w:t>
      </w:r>
      <w:r>
        <w:rPr>
          <w:rFonts w:ascii="Times New Roman" w:cs="Times New Roman" w:eastAsia="Times New Roman" w:hAnsi="Times New Roman"/>
          <w:sz w:val="18"/>
          <w:szCs w:val="18"/>
          <w:u w:val="single" w:color="auto"/>
          <w:color w:val="231F20"/>
        </w:rPr>
        <w:t>Indemnification</w:t>
      </w:r>
      <w:r>
        <w:rPr>
          <w:rFonts w:ascii="Times New Roman" w:cs="Times New Roman" w:eastAsia="Times New Roman" w:hAnsi="Times New Roman"/>
          <w:sz w:val="18"/>
          <w:szCs w:val="18"/>
          <w:color w:val="231F20"/>
        </w:rPr>
        <w:t>. In addition to such other rights of indemnification as they may have as Directors or members of the Committee, and to the extent allowed by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Times New Roman" w:cs="Times New Roman" w:eastAsia="Times New Roman" w:hAnsi="Times New Roman"/>
          <w:sz w:val="18"/>
          <w:szCs w:val="18"/>
          <w:i w:val="1"/>
          <w:iCs w:val="1"/>
          <w:color w:val="231F20"/>
        </w:rPr>
        <w:t>provided, however</w:t>
      </w:r>
      <w:r>
        <w:rPr>
          <w:rFonts w:ascii="Times New Roman" w:cs="Times New Roman" w:eastAsia="Times New Roman" w:hAnsi="Times New Roman"/>
          <w:sz w:val="18"/>
          <w:szCs w:val="18"/>
          <w:color w:val="231F20"/>
        </w:rPr>
        <w:t xml:space="preserve">,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Times New Roman" w:cs="Times New Roman" w:eastAsia="Times New Roman" w:hAnsi="Times New Roman"/>
          <w:sz w:val="18"/>
          <w:szCs w:val="18"/>
          <w:i w:val="1"/>
          <w:iCs w:val="1"/>
          <w:color w:val="231F20"/>
        </w:rPr>
        <w:t>provided,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however</w:t>
      </w:r>
      <w:r>
        <w:rPr>
          <w:rFonts w:ascii="Times New Roman" w:cs="Times New Roman" w:eastAsia="Times New Roman" w:hAnsi="Times New Roman"/>
          <w:sz w:val="18"/>
          <w:szCs w:val="18"/>
          <w:color w:val="231F20"/>
        </w:rPr>
        <w:t>, that within 60 days after the institution of any such action, suit or proceeding, such Committee shall, in writing, offer the Company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opportunity at its own expense to handle and defend such action, suit or proceeding.</w:t>
      </w:r>
    </w:p>
    <w:p>
      <w:pPr>
        <w:spacing w:after="0" w:line="194"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Shares Subject to the Plan</w:t>
      </w:r>
      <w:r>
        <w:rPr>
          <w:rFonts w:ascii="Times New Roman" w:cs="Times New Roman" w:eastAsia="Times New Roman" w:hAnsi="Times New Roman"/>
          <w:sz w:val="18"/>
          <w:szCs w:val="18"/>
          <w:color w:val="231F20"/>
        </w:rPr>
        <w:t>.</w:t>
      </w:r>
    </w:p>
    <w:p>
      <w:pPr>
        <w:spacing w:after="0" w:line="252" w:lineRule="exact"/>
        <w:rPr>
          <w:sz w:val="20"/>
          <w:szCs w:val="20"/>
          <w:color w:val="auto"/>
        </w:rPr>
      </w:pPr>
    </w:p>
    <w:p>
      <w:pPr>
        <w:jc w:val="both"/>
        <w:ind w:firstLine="359"/>
        <w:spacing w:after="0" w:line="255" w:lineRule="auto"/>
        <w:rPr>
          <w:sz w:val="20"/>
          <w:szCs w:val="20"/>
          <w:color w:val="auto"/>
        </w:rPr>
      </w:pPr>
      <w:r>
        <w:rPr>
          <w:rFonts w:ascii="Times New Roman" w:cs="Times New Roman" w:eastAsia="Times New Roman" w:hAnsi="Times New Roman"/>
          <w:sz w:val="18"/>
          <w:szCs w:val="18"/>
          <w:color w:val="231F20"/>
        </w:rPr>
        <w:t>4.1 Subject to adjustment in accordance with Section 11, the maximum aggregate number of shares of Common Stock available for issuance under the Plan is 12,500,000 shares plus the number of shares of Common Stock subject to outstanding awards under the Prior Plan or any predecessor plans as of the Effective Date which thereafter are forfeited, settled in cash or cancelled or expire or are reacquired by the Company (the “</w:t>
      </w:r>
      <w:r>
        <w:rPr>
          <w:rFonts w:ascii="Times New Roman" w:cs="Times New Roman" w:eastAsia="Times New Roman" w:hAnsi="Times New Roman"/>
          <w:sz w:val="18"/>
          <w:szCs w:val="18"/>
          <w:b w:val="1"/>
          <w:bCs w:val="1"/>
          <w:color w:val="231F20"/>
        </w:rPr>
        <w:t>Total Share Reserve</w:t>
      </w:r>
      <w:r>
        <w:rPr>
          <w:rFonts w:ascii="Times New Roman" w:cs="Times New Roman" w:eastAsia="Times New Roman" w:hAnsi="Times New Roman"/>
          <w:sz w:val="18"/>
          <w:szCs w:val="18"/>
          <w:color w:val="231F20"/>
        </w:rPr>
        <w:t>”). During the terms of the Awards, the Company shall keep available at all times the number of shares of Common Stock required to satisfy such Awards. Upon the approval of this Plan by Company stockholders, no additional awards will be granted under the Prior Plan or any predecessor plan; provided that all outstanding awards previously granted under the Prior Plan or predecessor plans as of such approval date shall remain outstanding and shall be administered and settled in accordance with the provisions of the Prior Plan and such other predecessor plans.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jc w:val="both"/>
        <w:ind w:right="20" w:firstLine="359"/>
        <w:spacing w:after="0" w:line="282" w:lineRule="auto"/>
        <w:rPr>
          <w:sz w:val="20"/>
          <w:szCs w:val="20"/>
          <w:color w:val="auto"/>
        </w:rPr>
      </w:pPr>
      <w:r>
        <w:rPr>
          <w:rFonts w:ascii="Times New Roman" w:cs="Times New Roman" w:eastAsia="Times New Roman" w:hAnsi="Times New Roman"/>
          <w:sz w:val="18"/>
          <w:szCs w:val="18"/>
          <w:color w:val="231F20"/>
        </w:rPr>
        <w:t>4.2 Common Stock available for distribution under the Plan may consist, in whole or in part, of authorized and unissued shares, treasury shares or shares reacquired by the Company in any manner.</w:t>
      </w:r>
    </w:p>
    <w:p>
      <w:pPr>
        <w:spacing w:after="0" w:line="162" w:lineRule="exact"/>
        <w:rPr>
          <w:sz w:val="20"/>
          <w:szCs w:val="20"/>
          <w:color w:val="auto"/>
        </w:rPr>
      </w:pPr>
    </w:p>
    <w:p>
      <w:pPr>
        <w:jc w:val="both"/>
        <w:ind w:firstLine="359"/>
        <w:spacing w:after="0" w:line="282" w:lineRule="auto"/>
        <w:rPr>
          <w:sz w:val="20"/>
          <w:szCs w:val="20"/>
          <w:color w:val="auto"/>
        </w:rPr>
      </w:pPr>
      <w:r>
        <w:rPr>
          <w:rFonts w:ascii="Times New Roman" w:cs="Times New Roman" w:eastAsia="Times New Roman" w:hAnsi="Times New Roman"/>
          <w:sz w:val="18"/>
          <w:szCs w:val="18"/>
          <w:color w:val="231F20"/>
        </w:rPr>
        <w:t xml:space="preserve">4.3 Subject to adjustment in accordance with Section 11, no more than 12,500,000 shares of Common Stock may be issued in the aggregate pursuant to the exercise of Incentive Stock Options (the </w:t>
      </w:r>
      <w:r>
        <w:rPr>
          <w:rFonts w:ascii="Times New Roman" w:cs="Times New Roman" w:eastAsia="Times New Roman" w:hAnsi="Times New Roman"/>
          <w:sz w:val="18"/>
          <w:szCs w:val="18"/>
          <w:b w:val="1"/>
          <w:bCs w:val="1"/>
          <w:color w:val="231F20"/>
        </w:rPr>
        <w:t>“ISO Limit”</w:t>
      </w:r>
      <w:r>
        <w:rPr>
          <w:rFonts w:ascii="Times New Roman" w:cs="Times New Roman" w:eastAsia="Times New Roman" w:hAnsi="Times New Roman"/>
          <w:sz w:val="18"/>
          <w:szCs w:val="18"/>
          <w:color w:val="231F20"/>
        </w:rPr>
        <w:t>).</w:t>
      </w:r>
    </w:p>
    <w:p>
      <w:pPr>
        <w:spacing w:after="0" w:line="162"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8"/>
          <w:szCs w:val="18"/>
          <w:color w:val="231F20"/>
        </w:rPr>
        <w:t>4.4 The maximum number of shares of Common Stock subject to Awards granted during a single Fiscal Year to any Director who is not an Employee or Consultant during the Fiscal Year shall not exceed a total value of $400,000 (calculating the value of any Awards based on the grant date fair value for financial reporting purposes).</w:t>
      </w:r>
    </w:p>
    <w:p>
      <w:pPr>
        <w:spacing w:after="0" w:line="176" w:lineRule="exact"/>
        <w:rPr>
          <w:sz w:val="20"/>
          <w:szCs w:val="20"/>
          <w:color w:val="auto"/>
        </w:rPr>
      </w:pPr>
    </w:p>
    <w:p>
      <w:pPr>
        <w:jc w:val="both"/>
        <w:ind w:firstLine="359"/>
        <w:spacing w:after="0" w:line="258" w:lineRule="auto"/>
        <w:rPr>
          <w:sz w:val="20"/>
          <w:szCs w:val="20"/>
          <w:color w:val="auto"/>
        </w:rPr>
      </w:pPr>
      <w:r>
        <w:rPr>
          <w:rFonts w:ascii="Times New Roman" w:cs="Times New Roman" w:eastAsia="Times New Roman" w:hAnsi="Times New Roman"/>
          <w:sz w:val="18"/>
          <w:szCs w:val="18"/>
          <w:color w:val="231F20"/>
        </w:rPr>
        <w:t>4.5 Any Common Stock subject to an Award that expires or is canceled, forfeited, or terminated without issuance of the full number of shares of Common Stock to which the Award related will again be available for issuance under the Plan. Notwithstanding anything to the contrary contained herein: shares subject to an Award under the Plan shall not again be made available for issuance or delivery under the Plan if such shares are (a) shares tendered in payment of an Option, (b) shares delivered or withheld by the Company to satisfy any tax withholding obligation, or (c) shares covered by a stock-settled Stock Appreciation Right or other Awards that were not issued upon the settlement of the Award.</w:t>
      </w:r>
    </w:p>
    <w:p>
      <w:pPr>
        <w:spacing w:after="0" w:line="183" w:lineRule="exact"/>
        <w:rPr>
          <w:sz w:val="20"/>
          <w:szCs w:val="20"/>
          <w:color w:val="auto"/>
        </w:rPr>
      </w:pPr>
    </w:p>
    <w:p>
      <w:pPr>
        <w:jc w:val="both"/>
        <w:ind w:firstLine="359"/>
        <w:spacing w:after="0" w:line="256" w:lineRule="auto"/>
        <w:rPr>
          <w:sz w:val="20"/>
          <w:szCs w:val="20"/>
          <w:color w:val="auto"/>
        </w:rPr>
      </w:pPr>
      <w:r>
        <w:rPr>
          <w:rFonts w:ascii="Times New Roman" w:cs="Times New Roman" w:eastAsia="Times New Roman" w:hAnsi="Times New Roman"/>
          <w:sz w:val="18"/>
          <w:szCs w:val="18"/>
          <w:color w:val="231F20"/>
        </w:rPr>
        <w:t>4.6 Awards may, in the sole discretion of the Committee, be granted under the Plan in assumption of, or in substitution for, outstanding awards previously granted by an entity acquired by the Company or with which the Company combines (“</w:t>
      </w:r>
      <w:r>
        <w:rPr>
          <w:rFonts w:ascii="Times New Roman" w:cs="Times New Roman" w:eastAsia="Times New Roman" w:hAnsi="Times New Roman"/>
          <w:sz w:val="18"/>
          <w:szCs w:val="18"/>
          <w:b w:val="1"/>
          <w:bCs w:val="1"/>
          <w:color w:val="231F20"/>
        </w:rPr>
        <w:t>Substitute Awards</w:t>
      </w:r>
      <w:r>
        <w:rPr>
          <w:rFonts w:ascii="Times New Roman" w:cs="Times New Roman" w:eastAsia="Times New Roman" w:hAnsi="Times New Roman"/>
          <w:sz w:val="18"/>
          <w:szCs w:val="18"/>
          <w:color w:val="231F20"/>
        </w:rPr>
        <w:t>”). Substitute Awards shall not be counted against the Total Share Reserve; provided, that, Substitute Awards issued in connection with the assumption of, or in substitution for, outstanding options intended to qualify as Incentive Stock Options shall be counted against the ISO limit. Subject to applicable stock exchange requirements, available shares under a stockholder-approved plan of an entity directly or indirectly acquired by the Company or with which the Company combines (as appropriately adjusted to reflect such acquisition or transaction) may be used for Awards under the Plan and shall not count toward the Total Share Limit.</w:t>
      </w:r>
    </w:p>
    <w:p>
      <w:pPr>
        <w:spacing w:after="0" w:line="187" w:lineRule="exact"/>
        <w:rPr>
          <w:sz w:val="20"/>
          <w:szCs w:val="20"/>
          <w:color w:val="auto"/>
        </w:rPr>
      </w:pPr>
    </w:p>
    <w:p>
      <w:pPr>
        <w:jc w:val="both"/>
        <w:ind w:firstLine="8"/>
        <w:spacing w:after="0" w:line="258" w:lineRule="auto"/>
        <w:tabs>
          <w:tab w:leader="none" w:pos="517"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No dividends will be paid to a Participant with respect to any shares subject to an Award prior to the vesting of such Award. For the avoidance of doubt, as described in Section 7.2(b), any dividends that may be attributable to any particular share of Restricted Stock or any particular Restricted Stock Unit or Deferred Stock Unit shall only be distributed to a Participant upon the release of restrictions on such share of Restricted Stock or the settlement of such Restricted Stock Unit or Deferred Stock Unit, as applicable, and a Participant shall have no right to such dividends if such Award is forfeited. </w:t>
      </w:r>
      <w:r>
        <w:rPr>
          <w:rFonts w:ascii="Times New Roman" w:cs="Times New Roman" w:eastAsia="Times New Roman" w:hAnsi="Times New Roman"/>
          <w:sz w:val="18"/>
          <w:szCs w:val="18"/>
          <w:u w:val="single" w:color="auto"/>
          <w:color w:val="231F20"/>
        </w:rPr>
        <w:t>Eligibility</w:t>
      </w:r>
      <w:r>
        <w:rPr>
          <w:rFonts w:ascii="Times New Roman" w:cs="Times New Roman" w:eastAsia="Times New Roman" w:hAnsi="Times New Roman"/>
          <w:sz w:val="18"/>
          <w:szCs w:val="18"/>
          <w:color w:val="231F20"/>
        </w:rPr>
        <w:t>.</w:t>
      </w:r>
    </w:p>
    <w:p>
      <w:pPr>
        <w:spacing w:after="0" w:line="183"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8"/>
          <w:szCs w:val="18"/>
          <w:color w:val="231F20"/>
        </w:rPr>
        <w:t xml:space="preserve">5.1 </w:t>
      </w:r>
      <w:r>
        <w:rPr>
          <w:rFonts w:ascii="Times New Roman" w:cs="Times New Roman" w:eastAsia="Times New Roman" w:hAnsi="Times New Roman"/>
          <w:sz w:val="18"/>
          <w:szCs w:val="18"/>
          <w:u w:val="single" w:color="auto"/>
          <w:color w:val="231F20"/>
        </w:rPr>
        <w:t>Eligibility for Specific Awards</w:t>
      </w:r>
      <w:r>
        <w:rPr>
          <w:rFonts w:ascii="Times New Roman" w:cs="Times New Roman" w:eastAsia="Times New Roman" w:hAnsi="Times New Roman"/>
          <w:sz w:val="18"/>
          <w:szCs w:val="18"/>
          <w:color w:val="231F20"/>
        </w:rPr>
        <w:t>. Incentive Stock Options may be granted only to Employees. Awards other than Incentive Stock Options may be granted to Employees, Consultants and Directors and those individuals whom the Committee determines are reasonably expected to become Employees, Consultants and Directors following the Grant Date.</w:t>
      </w:r>
    </w:p>
    <w:p>
      <w:pPr>
        <w:spacing w:after="0" w:line="176"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8"/>
          <w:szCs w:val="18"/>
          <w:color w:val="231F20"/>
        </w:rPr>
        <w:t xml:space="preserve">5.2 </w:t>
      </w:r>
      <w:r>
        <w:rPr>
          <w:rFonts w:ascii="Times New Roman" w:cs="Times New Roman" w:eastAsia="Times New Roman" w:hAnsi="Times New Roman"/>
          <w:sz w:val="18"/>
          <w:szCs w:val="18"/>
          <w:u w:val="single" w:color="auto"/>
          <w:color w:val="231F20"/>
        </w:rPr>
        <w:t>Ten Percent Stockholders</w:t>
      </w:r>
      <w:r>
        <w:rPr>
          <w:rFonts w:ascii="Times New Roman" w:cs="Times New Roman" w:eastAsia="Times New Roman" w:hAnsi="Times New Roman"/>
          <w:sz w:val="18"/>
          <w:szCs w:val="18"/>
          <w:color w:val="231F20"/>
        </w:rPr>
        <w:t>. A Ten Percent Stockholder shall not be granted an Incentive Stock Option unless the Option Exercise Price is at least 110% of the Fair Market Value of the Common Stock on the Grant Date and the Option is not exercisable after the expiration of five years from the Grant Date.</w:t>
      </w:r>
    </w:p>
    <w:p>
      <w:pPr>
        <w:spacing w:after="0" w:line="176" w:lineRule="exact"/>
        <w:rPr>
          <w:sz w:val="20"/>
          <w:szCs w:val="20"/>
          <w:color w:val="auto"/>
        </w:rPr>
      </w:pPr>
    </w:p>
    <w:p>
      <w:pPr>
        <w:jc w:val="both"/>
        <w:ind w:firstLine="8"/>
        <w:spacing w:after="0" w:line="254" w:lineRule="auto"/>
        <w:tabs>
          <w:tab w:leader="none" w:pos="504"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Option Provisions</w:t>
      </w:r>
      <w:r>
        <w:rPr>
          <w:rFonts w:ascii="Times New Roman" w:cs="Times New Roman" w:eastAsia="Times New Roman" w:hAnsi="Times New Roman"/>
          <w:sz w:val="18"/>
          <w:szCs w:val="18"/>
          <w:color w:val="231F20"/>
        </w:rPr>
        <w:t>. Each Option granted under the Plan shall be evidenced by an Award Agreement. Each Option so granted shall be subject to the conditions set forth in this Section, and to such other conditions not inconsistent with the Plan as may be reflected in the applicable Award Agreement. All Options shall be separately designated Incentive Stock Options or Non-Qualified Stock Options at the time of grant, and, if certificates are issued, a separate certificate or certificates will be issued for Common Stock purchased on exercise of each type of Option. Notwithstanding the foregoing, the Company shall have no liability to any Participant or any other person if an Option designated as an Incentive Stock Option fails to qualify as such at any time or if an Option is determined to constitute “nonqualified deferred compensation” within the meaning of Section 409A of the Code and the terms of such Option do not satisfy the requirements of Section 409A of the Code. The provisions of separate Options need not be identical, but each Option shall include (through incorporation of provisions hereof by reference in the Option or otherwise) the substance of each of the following provisions: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359"/>
        <w:spacing w:after="0" w:line="266" w:lineRule="auto"/>
        <w:rPr>
          <w:sz w:val="20"/>
          <w:szCs w:val="20"/>
          <w:color w:val="auto"/>
        </w:rPr>
      </w:pPr>
      <w:r>
        <w:rPr>
          <w:rFonts w:ascii="Times New Roman" w:cs="Times New Roman" w:eastAsia="Times New Roman" w:hAnsi="Times New Roman"/>
          <w:sz w:val="18"/>
          <w:szCs w:val="18"/>
          <w:color w:val="231F20"/>
        </w:rPr>
        <w:t xml:space="preserve">6.1 </w:t>
      </w:r>
      <w:r>
        <w:rPr>
          <w:rFonts w:ascii="Times New Roman" w:cs="Times New Roman" w:eastAsia="Times New Roman" w:hAnsi="Times New Roman"/>
          <w:sz w:val="18"/>
          <w:szCs w:val="18"/>
          <w:u w:val="single" w:color="auto"/>
          <w:color w:val="231F20"/>
        </w:rPr>
        <w:t>Term</w:t>
      </w:r>
      <w:r>
        <w:rPr>
          <w:rFonts w:ascii="Times New Roman" w:cs="Times New Roman" w:eastAsia="Times New Roman" w:hAnsi="Times New Roman"/>
          <w:sz w:val="18"/>
          <w:szCs w:val="18"/>
          <w:color w:val="231F20"/>
        </w:rPr>
        <w:t xml:space="preserve">. Subject to the provisions of </w:t>
      </w:r>
      <w:r>
        <w:rPr>
          <w:rFonts w:ascii="Times New Roman" w:cs="Times New Roman" w:eastAsia="Times New Roman" w:hAnsi="Times New Roman"/>
          <w:sz w:val="18"/>
          <w:szCs w:val="18"/>
          <w:u w:val="single" w:color="auto"/>
          <w:color w:val="231F20"/>
        </w:rPr>
        <w:t>Section 5.2</w:t>
      </w:r>
      <w:r>
        <w:rPr>
          <w:rFonts w:ascii="Times New Roman" w:cs="Times New Roman" w:eastAsia="Times New Roman" w:hAnsi="Times New Roman"/>
          <w:sz w:val="18"/>
          <w:szCs w:val="18"/>
          <w:color w:val="231F20"/>
        </w:rPr>
        <w:t xml:space="preserve"> regarding Ten Percent Stockholders, no Incentive Stock Option shall be exercisable after the expiration of 10 years from the Grant Date. The term of a Non-Qualified Stock Option granted under the Plan shall be determined by the Committee; </w:t>
      </w:r>
      <w:r>
        <w:rPr>
          <w:rFonts w:ascii="Times New Roman" w:cs="Times New Roman" w:eastAsia="Times New Roman" w:hAnsi="Times New Roman"/>
          <w:sz w:val="18"/>
          <w:szCs w:val="18"/>
          <w:i w:val="1"/>
          <w:iCs w:val="1"/>
          <w:color w:val="231F20"/>
        </w:rPr>
        <w:t>provided, however</w:t>
      </w:r>
      <w:r>
        <w:rPr>
          <w:rFonts w:ascii="Times New Roman" w:cs="Times New Roman" w:eastAsia="Times New Roman" w:hAnsi="Times New Roman"/>
          <w:sz w:val="18"/>
          <w:szCs w:val="18"/>
          <w:color w:val="231F20"/>
        </w:rPr>
        <w:t>, no Non-Qualified Stock Option shall be exercisable after the expiration of 10 years from the Grant Date.</w:t>
      </w:r>
    </w:p>
    <w:p>
      <w:pPr>
        <w:spacing w:after="0" w:line="176"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8"/>
          <w:szCs w:val="18"/>
          <w:color w:val="231F20"/>
        </w:rPr>
        <w:t xml:space="preserve">6.2 </w:t>
      </w:r>
      <w:r>
        <w:rPr>
          <w:rFonts w:ascii="Times New Roman" w:cs="Times New Roman" w:eastAsia="Times New Roman" w:hAnsi="Times New Roman"/>
          <w:sz w:val="18"/>
          <w:szCs w:val="18"/>
          <w:u w:val="single" w:color="auto"/>
          <w:color w:val="231F20"/>
        </w:rPr>
        <w:t>Exercise Price of an Incentive Stock Option</w:t>
      </w:r>
      <w:r>
        <w:rPr>
          <w:rFonts w:ascii="Times New Roman" w:cs="Times New Roman" w:eastAsia="Times New Roman" w:hAnsi="Times New Roman"/>
          <w:sz w:val="18"/>
          <w:szCs w:val="18"/>
          <w:color w:val="231F20"/>
        </w:rPr>
        <w:t xml:space="preserve">. Subject to the provisions of </w:t>
      </w:r>
      <w:r>
        <w:rPr>
          <w:rFonts w:ascii="Times New Roman" w:cs="Times New Roman" w:eastAsia="Times New Roman" w:hAnsi="Times New Roman"/>
          <w:sz w:val="18"/>
          <w:szCs w:val="18"/>
          <w:u w:val="single" w:color="auto"/>
          <w:color w:val="231F20"/>
        </w:rPr>
        <w:t>Section 5.2</w:t>
      </w:r>
      <w:r>
        <w:rPr>
          <w:rFonts w:ascii="Times New Roman" w:cs="Times New Roman" w:eastAsia="Times New Roman" w:hAnsi="Times New Roman"/>
          <w:sz w:val="18"/>
          <w:szCs w:val="18"/>
          <w:color w:val="231F20"/>
        </w:rPr>
        <w:t xml:space="preserve"> regarding Ten Percent Stockholders, the Option Exercise Price of each Incentive Stock Option shall be not less than 100% of the Fair Market Value of the Common Stock subject to the Option on the Grant Date. Notwithstanding the foregoing, an Incentive Stock Option may be granted with an Option Exercise Price lower than that set forth in the preceding sentence if such Option is granted pursuant to an assumption or substitution for another option in a manner satisfying the provisions of Section 424(a) of the Code.</w:t>
      </w:r>
    </w:p>
    <w:p>
      <w:pPr>
        <w:spacing w:after="0" w:line="180"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8"/>
          <w:szCs w:val="18"/>
          <w:color w:val="231F20"/>
        </w:rPr>
        <w:t xml:space="preserve">6.3 </w:t>
      </w:r>
      <w:r>
        <w:rPr>
          <w:rFonts w:ascii="Times New Roman" w:cs="Times New Roman" w:eastAsia="Times New Roman" w:hAnsi="Times New Roman"/>
          <w:sz w:val="18"/>
          <w:szCs w:val="18"/>
          <w:u w:val="single" w:color="auto"/>
          <w:color w:val="231F20"/>
        </w:rPr>
        <w:t>Exercise Price of a Non-Qualified Stock Option</w:t>
      </w:r>
      <w:r>
        <w:rPr>
          <w:rFonts w:ascii="Times New Roman" w:cs="Times New Roman" w:eastAsia="Times New Roman" w:hAnsi="Times New Roman"/>
          <w:sz w:val="18"/>
          <w:szCs w:val="18"/>
          <w:color w:val="231F20"/>
        </w:rPr>
        <w:t>. The Option Exercise Price of each Non-Qualified Stock Option shall be not less than 100% of the Fair Market Value of the Common Stock subject to the Option on the Grant Date. Notwithstanding the foregoing, a Non-Qualified Stock Option may be granted with an Option Exercise Price lower than that set forth in the preceding sentence if such Option is granted pursuant to an assumption or substitution for another option in a manner satisfying the provisions of Section 409A of the Code.</w:t>
      </w:r>
    </w:p>
    <w:p>
      <w:pPr>
        <w:spacing w:after="0" w:line="180" w:lineRule="exact"/>
        <w:rPr>
          <w:sz w:val="20"/>
          <w:szCs w:val="20"/>
          <w:color w:val="auto"/>
        </w:rPr>
      </w:pPr>
    </w:p>
    <w:p>
      <w:pPr>
        <w:jc w:val="both"/>
        <w:ind w:firstLine="359"/>
        <w:spacing w:after="0" w:line="252" w:lineRule="auto"/>
        <w:rPr>
          <w:sz w:val="20"/>
          <w:szCs w:val="20"/>
          <w:color w:val="auto"/>
        </w:rPr>
      </w:pPr>
      <w:r>
        <w:rPr>
          <w:rFonts w:ascii="Times New Roman" w:cs="Times New Roman" w:eastAsia="Times New Roman" w:hAnsi="Times New Roman"/>
          <w:sz w:val="18"/>
          <w:szCs w:val="18"/>
          <w:color w:val="231F20"/>
        </w:rPr>
        <w:t xml:space="preserve">6.4 </w:t>
      </w:r>
      <w:r>
        <w:rPr>
          <w:rFonts w:ascii="Times New Roman" w:cs="Times New Roman" w:eastAsia="Times New Roman" w:hAnsi="Times New Roman"/>
          <w:sz w:val="18"/>
          <w:szCs w:val="18"/>
          <w:u w:val="single" w:color="auto"/>
          <w:color w:val="231F20"/>
        </w:rPr>
        <w:t>Consideration</w:t>
      </w:r>
      <w:r>
        <w:rPr>
          <w:rFonts w:ascii="Times New Roman" w:cs="Times New Roman" w:eastAsia="Times New Roman" w:hAnsi="Times New Roman"/>
          <w:sz w:val="18"/>
          <w:szCs w:val="18"/>
          <w:color w:val="231F20"/>
        </w:rPr>
        <w:t>. The Option Exercise Price of Common Stock acquired pursuant to an Option shall be paid, to the extent permitted by applicable statutes and regulations, either (a) in cash or by certified or bank check at the time the Option is exercised or (b) in the discretion of the Committee, upon such terms as the Committee shall approve, the Option Exercise Price may be paid: (i) by delivery to the Company of other Common Stock, duly endorsed for transfer to the Company,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(a “</w:t>
      </w:r>
      <w:r>
        <w:rPr>
          <w:rFonts w:ascii="Times New Roman" w:cs="Times New Roman" w:eastAsia="Times New Roman" w:hAnsi="Times New Roman"/>
          <w:sz w:val="18"/>
          <w:szCs w:val="18"/>
          <w:b w:val="1"/>
          <w:bCs w:val="1"/>
          <w:color w:val="231F20"/>
        </w:rPr>
        <w:t>Stock for Stock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Exchange</w:t>
      </w:r>
      <w:r>
        <w:rPr>
          <w:rFonts w:ascii="Times New Roman" w:cs="Times New Roman" w:eastAsia="Times New Roman" w:hAnsi="Times New Roman"/>
          <w:sz w:val="18"/>
          <w:szCs w:val="18"/>
          <w:color w:val="231F20"/>
        </w:rPr>
        <w:t>”); (ii) if the shares of Common Stock are listed on any established stock exchange or a national market system, through the delivery of</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irrevocable instructions to a broker to deliver promptly to the Company an amount equal to the exercise price (i.e., by means of a “cashless” exercise procedure); (iii) by reduction in the number of shares of Common Stock otherwise deliverable upon exercise of such Option with a Fair Market Value equal to the aggregate Option Exercise Price at the time of exercise (i.e., by means of a “net exercise”); (iv) by any combination of the foregoing methods; or (v) in any other form of legal consideration that may be acceptable to the Committee. Unless otherwise specifically provided in the Option, the exercise price of Common Stock acquired pursuant to an Option that is paid by delivery (or attestation) to the Company of other shares of Common Stock acquired, directly or indirectly from the Company, shall be paid only by shares of Common Stock of the Company that have been held for more than six months (or such longer or shorter period of time required to avoid a charge to earnings for financial accounting purposes). Notwithstanding the foregoing, during any period for which the shares of Common Stock are publicly traded (i.e., the Common Stock is listed on any established stock exchange or a national market system) an exercise by a Director or Officer that involves or may involve a direct or indirect extension of credit or arrangement of an extension of credit by the Company, directly or indirectly, in violation of Section 402(a) of the Sarbanes-Oxley Act of 2002 shall be prohibited with respect to any Award under this Plan. Notwithstanding the foregoing, the Committee shall accept only such payment on exercise of an Incentive Stock Option as is permitted by Section 422 of the Code.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359"/>
        <w:spacing w:after="0" w:line="261" w:lineRule="auto"/>
        <w:rPr>
          <w:sz w:val="20"/>
          <w:szCs w:val="20"/>
          <w:color w:val="auto"/>
        </w:rPr>
      </w:pPr>
      <w:r>
        <w:rPr>
          <w:rFonts w:ascii="Times New Roman" w:cs="Times New Roman" w:eastAsia="Times New Roman" w:hAnsi="Times New Roman"/>
          <w:sz w:val="18"/>
          <w:szCs w:val="18"/>
          <w:color w:val="231F20"/>
        </w:rPr>
        <w:t xml:space="preserve">6.5 </w:t>
      </w:r>
      <w:r>
        <w:rPr>
          <w:rFonts w:ascii="Times New Roman" w:cs="Times New Roman" w:eastAsia="Times New Roman" w:hAnsi="Times New Roman"/>
          <w:sz w:val="18"/>
          <w:szCs w:val="18"/>
          <w:u w:val="single" w:color="auto"/>
          <w:color w:val="231F20"/>
        </w:rPr>
        <w:t>Transferability of an Incentive Stock Option</w:t>
      </w:r>
      <w:r>
        <w:rPr>
          <w:rFonts w:ascii="Times New Roman" w:cs="Times New Roman" w:eastAsia="Times New Roman" w:hAnsi="Times New Roman"/>
          <w:sz w:val="18"/>
          <w:szCs w:val="18"/>
          <w:color w:val="231F20"/>
        </w:rPr>
        <w:t>. An Incentive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80" w:lineRule="exact"/>
        <w:rPr>
          <w:sz w:val="20"/>
          <w:szCs w:val="20"/>
          <w:color w:val="auto"/>
        </w:rPr>
      </w:pPr>
    </w:p>
    <w:p>
      <w:pPr>
        <w:jc w:val="both"/>
        <w:ind w:firstLine="359"/>
        <w:spacing w:after="0" w:line="256" w:lineRule="auto"/>
        <w:rPr>
          <w:sz w:val="20"/>
          <w:szCs w:val="20"/>
          <w:color w:val="auto"/>
        </w:rPr>
      </w:pPr>
      <w:r>
        <w:rPr>
          <w:rFonts w:ascii="Times New Roman" w:cs="Times New Roman" w:eastAsia="Times New Roman" w:hAnsi="Times New Roman"/>
          <w:sz w:val="18"/>
          <w:szCs w:val="18"/>
          <w:color w:val="231F20"/>
        </w:rPr>
        <w:t xml:space="preserve">6.6 </w:t>
      </w:r>
      <w:r>
        <w:rPr>
          <w:rFonts w:ascii="Times New Roman" w:cs="Times New Roman" w:eastAsia="Times New Roman" w:hAnsi="Times New Roman"/>
          <w:sz w:val="18"/>
          <w:szCs w:val="18"/>
          <w:u w:val="single" w:color="auto"/>
          <w:color w:val="231F20"/>
        </w:rPr>
        <w:t>Transferability of a Non-Qualified Stock Option</w:t>
      </w:r>
      <w:r>
        <w:rPr>
          <w:rFonts w:ascii="Times New Roman" w:cs="Times New Roman" w:eastAsia="Times New Roman" w:hAnsi="Times New Roman"/>
          <w:sz w:val="18"/>
          <w:szCs w:val="18"/>
          <w:color w:val="231F20"/>
        </w:rPr>
        <w:t>. A Non-Qualified Stock Option may, in the sole discretion of the Committee, be transferable, upon written approval by the Committee to the extent provided in the Award Agreement. If the Non-Qualified Stock Option does not provide for transferability, then the Non-Qualified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87"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8"/>
          <w:szCs w:val="18"/>
          <w:color w:val="231F20"/>
        </w:rPr>
        <w:t xml:space="preserve">6.7 </w:t>
      </w:r>
      <w:r>
        <w:rPr>
          <w:rFonts w:ascii="Times New Roman" w:cs="Times New Roman" w:eastAsia="Times New Roman" w:hAnsi="Times New Roman"/>
          <w:sz w:val="18"/>
          <w:szCs w:val="18"/>
          <w:u w:val="single" w:color="auto"/>
          <w:color w:val="231F20"/>
        </w:rPr>
        <w:t>Vesting of Options</w:t>
      </w:r>
      <w:r>
        <w:rPr>
          <w:rFonts w:ascii="Times New Roman" w:cs="Times New Roman" w:eastAsia="Times New Roman" w:hAnsi="Times New Roman"/>
          <w:sz w:val="18"/>
          <w:szCs w:val="18"/>
          <w:color w:val="231F20"/>
        </w:rPr>
        <w:t>. Each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 share.</w:t>
      </w:r>
    </w:p>
    <w:p>
      <w:pPr>
        <w:spacing w:after="0" w:line="180" w:lineRule="exact"/>
        <w:rPr>
          <w:sz w:val="20"/>
          <w:szCs w:val="20"/>
          <w:color w:val="auto"/>
        </w:rPr>
      </w:pPr>
    </w:p>
    <w:p>
      <w:pPr>
        <w:jc w:val="both"/>
        <w:ind w:firstLine="359"/>
        <w:spacing w:after="0" w:line="255" w:lineRule="auto"/>
        <w:rPr>
          <w:sz w:val="20"/>
          <w:szCs w:val="20"/>
          <w:color w:val="auto"/>
        </w:rPr>
      </w:pPr>
      <w:r>
        <w:rPr>
          <w:rFonts w:ascii="Times New Roman" w:cs="Times New Roman" w:eastAsia="Times New Roman" w:hAnsi="Times New Roman"/>
          <w:sz w:val="18"/>
          <w:szCs w:val="18"/>
          <w:color w:val="231F20"/>
        </w:rPr>
        <w:t xml:space="preserve">6.8 </w:t>
      </w:r>
      <w:r>
        <w:rPr>
          <w:rFonts w:ascii="Times New Roman" w:cs="Times New Roman" w:eastAsia="Times New Roman" w:hAnsi="Times New Roman"/>
          <w:sz w:val="18"/>
          <w:szCs w:val="18"/>
          <w:u w:val="single" w:color="auto"/>
          <w:color w:val="231F20"/>
        </w:rPr>
        <w:t>Termination of Continuous Service</w:t>
      </w:r>
      <w:r>
        <w:rPr>
          <w:rFonts w:ascii="Times New Roman" w:cs="Times New Roman" w:eastAsia="Times New Roman" w:hAnsi="Times New Roman"/>
          <w:sz w:val="18"/>
          <w:szCs w:val="18"/>
          <w:color w:val="231F20"/>
        </w:rPr>
        <w:t xml:space="preserve">. Unless otherwise provided in an Award Agreement or in an employment agreement the terms of which have been approved by the Committee, in the event an Optionholder’s Continuous Service terminates (other than upon the Optionholder’s death or Disability), the Optionholder may exercise his or her Option (to the extent that the Optionholder was entitled to exercise such Option as of the date of termination) but only within such period of time ending on the earlier of (a) the date three months following the termination of the Optionholder’s Continuous Service or (b) the expiration of the term of the Option as set forth in the Award Agreement; </w:t>
      </w:r>
      <w:r>
        <w:rPr>
          <w:rFonts w:ascii="Times New Roman" w:cs="Times New Roman" w:eastAsia="Times New Roman" w:hAnsi="Times New Roman"/>
          <w:sz w:val="18"/>
          <w:szCs w:val="18"/>
          <w:i w:val="1"/>
          <w:iCs w:val="1"/>
          <w:color w:val="231F20"/>
        </w:rPr>
        <w:t>provided that</w:t>
      </w:r>
      <w:r>
        <w:rPr>
          <w:rFonts w:ascii="Times New Roman" w:cs="Times New Roman" w:eastAsia="Times New Roman" w:hAnsi="Times New Roman"/>
          <w:sz w:val="18"/>
          <w:szCs w:val="18"/>
          <w:color w:val="231F20"/>
        </w:rPr>
        <w:t>, if the termination of Continuous Service is by the Company for Cause, all outstanding Options (whether or not vested) shall immediately terminate and cease to be exercisable. If, after termination, the Optionholder does not exercise his or her Option within the time specified in the Award Agreement, the Option shall terminate.</w:t>
      </w:r>
    </w:p>
    <w:p>
      <w:pPr>
        <w:spacing w:after="0" w:line="189" w:lineRule="exact"/>
        <w:rPr>
          <w:sz w:val="20"/>
          <w:szCs w:val="20"/>
          <w:color w:val="auto"/>
        </w:rPr>
      </w:pPr>
    </w:p>
    <w:p>
      <w:pPr>
        <w:jc w:val="both"/>
        <w:ind w:firstLine="359"/>
        <w:spacing w:after="0" w:line="256" w:lineRule="auto"/>
        <w:rPr>
          <w:sz w:val="20"/>
          <w:szCs w:val="20"/>
          <w:color w:val="auto"/>
        </w:rPr>
      </w:pPr>
      <w:r>
        <w:rPr>
          <w:rFonts w:ascii="Times New Roman" w:cs="Times New Roman" w:eastAsia="Times New Roman" w:hAnsi="Times New Roman"/>
          <w:sz w:val="18"/>
          <w:szCs w:val="18"/>
          <w:color w:val="231F20"/>
        </w:rPr>
        <w:t xml:space="preserve">6.9 </w:t>
      </w:r>
      <w:r>
        <w:rPr>
          <w:rFonts w:ascii="Times New Roman" w:cs="Times New Roman" w:eastAsia="Times New Roman" w:hAnsi="Times New Roman"/>
          <w:sz w:val="18"/>
          <w:szCs w:val="18"/>
          <w:u w:val="single" w:color="auto"/>
          <w:color w:val="231F20"/>
        </w:rPr>
        <w:t>Extension of Termination Date</w:t>
      </w:r>
      <w:r>
        <w:rPr>
          <w:rFonts w:ascii="Times New Roman" w:cs="Times New Roman" w:eastAsia="Times New Roman" w:hAnsi="Times New Roman"/>
          <w:sz w:val="18"/>
          <w:szCs w:val="18"/>
          <w:color w:val="231F20"/>
        </w:rPr>
        <w:t>. An Optionholder’s Award Agreement may also provide that if the exercise of the Option following the termination of the Optionholder’s Continuous Service for any reason would be prohibited at any time because the issuance of Common Stock would violate the registration requirements under the Securities Act or any other state or federal securities law or the rules of any securities exchange or interdealer quotation system, then the Option shall terminate on the earlier of (a) the expiration of the term of the Option in accordance with Section 6.1 or (b) the expiration of a period after termination of the Participant’s Continuous Service that is three months after the end of the period during which the exercise of the Option would be in violation of such registration or other securities law requirements.</w:t>
      </w:r>
    </w:p>
    <w:p>
      <w:pPr>
        <w:spacing w:after="0" w:line="187" w:lineRule="exact"/>
        <w:rPr>
          <w:sz w:val="20"/>
          <w:szCs w:val="20"/>
          <w:color w:val="auto"/>
        </w:rPr>
      </w:pPr>
    </w:p>
    <w:p>
      <w:pPr>
        <w:jc w:val="both"/>
        <w:ind w:firstLine="359"/>
        <w:spacing w:after="0" w:line="258" w:lineRule="auto"/>
        <w:rPr>
          <w:sz w:val="20"/>
          <w:szCs w:val="20"/>
          <w:color w:val="auto"/>
        </w:rPr>
      </w:pPr>
      <w:r>
        <w:rPr>
          <w:rFonts w:ascii="Times New Roman" w:cs="Times New Roman" w:eastAsia="Times New Roman" w:hAnsi="Times New Roman"/>
          <w:sz w:val="18"/>
          <w:szCs w:val="18"/>
          <w:color w:val="231F20"/>
        </w:rPr>
        <w:t xml:space="preserve">6.10 </w:t>
      </w:r>
      <w:r>
        <w:rPr>
          <w:rFonts w:ascii="Times New Roman" w:cs="Times New Roman" w:eastAsia="Times New Roman" w:hAnsi="Times New Roman"/>
          <w:sz w:val="18"/>
          <w:szCs w:val="18"/>
          <w:u w:val="single" w:color="auto"/>
          <w:color w:val="231F20"/>
        </w:rPr>
        <w:t>Disability of Optionholder</w:t>
      </w:r>
      <w:r>
        <w:rPr>
          <w:rFonts w:ascii="Times New Roman" w:cs="Times New Roman" w:eastAsia="Times New Roman" w:hAnsi="Times New Roman"/>
          <w:sz w:val="18"/>
          <w:szCs w:val="18"/>
          <w:color w:val="231F20"/>
        </w:rPr>
        <w:t>. Unless otherwise provided in an Award Agreement, in the event that an Optionholder’s Continuous Service terminates as a result of the Optionholder’s Disability, the Optionholder may exercise his or her Option (to the extent that the Optionholder was entitled to exercise such Option as of the date of termination), but only within such period of time ending on the earlier of (a) the date that is 12 months following such termination or (b) the expiration of the term of the Option as set forth in the Award Agreement. If, after termination, the Optionholder does not exercise his or her Option within the time specified herein or in the Award Agreement, the Option shall terminate.</w:t>
      </w:r>
    </w:p>
    <w:p>
      <w:pPr>
        <w:spacing w:after="0" w:line="183" w:lineRule="exact"/>
        <w:rPr>
          <w:sz w:val="20"/>
          <w:szCs w:val="20"/>
          <w:color w:val="auto"/>
        </w:rPr>
      </w:pPr>
    </w:p>
    <w:p>
      <w:pPr>
        <w:jc w:val="both"/>
        <w:ind w:firstLine="359"/>
        <w:spacing w:after="0" w:line="255" w:lineRule="auto"/>
        <w:rPr>
          <w:sz w:val="20"/>
          <w:szCs w:val="20"/>
          <w:color w:val="auto"/>
        </w:rPr>
      </w:pPr>
      <w:r>
        <w:rPr>
          <w:rFonts w:ascii="Times New Roman" w:cs="Times New Roman" w:eastAsia="Times New Roman" w:hAnsi="Times New Roman"/>
          <w:sz w:val="18"/>
          <w:szCs w:val="18"/>
          <w:color w:val="231F20"/>
        </w:rPr>
        <w:t xml:space="preserve">6.11 </w:t>
      </w:r>
      <w:r>
        <w:rPr>
          <w:rFonts w:ascii="Times New Roman" w:cs="Times New Roman" w:eastAsia="Times New Roman" w:hAnsi="Times New Roman"/>
          <w:sz w:val="18"/>
          <w:szCs w:val="18"/>
          <w:u w:val="single" w:color="auto"/>
          <w:color w:val="231F20"/>
        </w:rPr>
        <w:t>Death of Optionholder</w:t>
      </w:r>
      <w:r>
        <w:rPr>
          <w:rFonts w:ascii="Times New Roman" w:cs="Times New Roman" w:eastAsia="Times New Roman" w:hAnsi="Times New Roman"/>
          <w:sz w:val="18"/>
          <w:szCs w:val="18"/>
          <w:color w:val="231F20"/>
        </w:rPr>
        <w:t>. Unless otherwise provided in an Award Agreement, in the event an Optionholder’s Continuous Service terminates as a result of the Optionholder’s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but only within the period ending on the earlier of (a) the date 12 months following the date of death or</w:t>
      </w:r>
    </w:p>
    <w:p>
      <w:pPr>
        <w:spacing w:after="0" w:line="3" w:lineRule="exact"/>
        <w:rPr>
          <w:sz w:val="20"/>
          <w:szCs w:val="20"/>
          <w:color w:val="auto"/>
        </w:rPr>
      </w:pPr>
    </w:p>
    <w:p>
      <w:pPr>
        <w:ind w:firstLine="8"/>
        <w:spacing w:after="0" w:line="260" w:lineRule="auto"/>
        <w:tabs>
          <w:tab w:leader="none" w:pos="2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expiration of the term of such Option as set forth in the Award Agreement. If, after the Optionholder’s death, the Option is not exercised within the time specified herein or in the Award Agreement, the Option shall terminate.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359"/>
        <w:spacing w:after="0" w:line="261" w:lineRule="auto"/>
        <w:rPr>
          <w:sz w:val="20"/>
          <w:szCs w:val="20"/>
          <w:color w:val="auto"/>
        </w:rPr>
      </w:pPr>
      <w:r>
        <w:rPr>
          <w:rFonts w:ascii="Times New Roman" w:cs="Times New Roman" w:eastAsia="Times New Roman" w:hAnsi="Times New Roman"/>
          <w:sz w:val="18"/>
          <w:szCs w:val="18"/>
          <w:color w:val="231F20"/>
        </w:rPr>
        <w:t xml:space="preserve">6.12 </w:t>
      </w:r>
      <w:r>
        <w:rPr>
          <w:rFonts w:ascii="Times New Roman" w:cs="Times New Roman" w:eastAsia="Times New Roman" w:hAnsi="Times New Roman"/>
          <w:sz w:val="18"/>
          <w:szCs w:val="18"/>
          <w:u w:val="single" w:color="auto"/>
          <w:color w:val="231F20"/>
        </w:rPr>
        <w:t>Incentive Stock Option $100,000 Limitation</w:t>
      </w:r>
      <w:r>
        <w:rPr>
          <w:rFonts w:ascii="Times New Roman" w:cs="Times New Roman" w:eastAsia="Times New Roman" w:hAnsi="Times New Roman"/>
          <w:sz w:val="18"/>
          <w:szCs w:val="18"/>
          <w:color w:val="231F20"/>
        </w:rPr>
        <w:t>. To the extent that the aggregate Fair Market Value (determined at the time of grant) of Common Stock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shall be treated as Non-Qualified Stock Options.</w:t>
      </w:r>
    </w:p>
    <w:p>
      <w:pPr>
        <w:spacing w:after="0" w:line="180" w:lineRule="exact"/>
        <w:rPr>
          <w:sz w:val="20"/>
          <w:szCs w:val="20"/>
          <w:color w:val="auto"/>
        </w:rPr>
      </w:pPr>
    </w:p>
    <w:p>
      <w:pPr>
        <w:ind w:left="360"/>
        <w:spacing w:after="0"/>
        <w:tabs>
          <w:tab w:leader="none" w:pos="980" w:val="left"/>
        </w:tabs>
        <w:rPr>
          <w:sz w:val="20"/>
          <w:szCs w:val="20"/>
          <w:color w:val="auto"/>
        </w:rPr>
      </w:pPr>
      <w:r>
        <w:rPr>
          <w:rFonts w:ascii="Times New Roman" w:cs="Times New Roman" w:eastAsia="Times New Roman" w:hAnsi="Times New Roman"/>
          <w:sz w:val="18"/>
          <w:szCs w:val="18"/>
          <w:color w:val="231F20"/>
        </w:rPr>
        <w:t>6.13</w:t>
      </w:r>
      <w:r>
        <w:rPr>
          <w:sz w:val="20"/>
          <w:szCs w:val="20"/>
          <w:color w:val="auto"/>
        </w:rPr>
        <w:tab/>
      </w:r>
      <w:r>
        <w:rPr>
          <w:rFonts w:ascii="Times New Roman" w:cs="Times New Roman" w:eastAsia="Times New Roman" w:hAnsi="Times New Roman"/>
          <w:sz w:val="17"/>
          <w:szCs w:val="17"/>
          <w:u w:val="single" w:color="auto"/>
          <w:color w:val="231F20"/>
        </w:rPr>
        <w:t>Reload Options</w:t>
      </w:r>
      <w:r>
        <w:rPr>
          <w:rFonts w:ascii="Times New Roman" w:cs="Times New Roman" w:eastAsia="Times New Roman" w:hAnsi="Times New Roman"/>
          <w:sz w:val="17"/>
          <w:szCs w:val="17"/>
          <w:color w:val="231F20"/>
        </w:rPr>
        <w:t>. No Option may include provisions that “reload” the Option upon exercise.</w:t>
      </w:r>
    </w:p>
    <w:p>
      <w:pPr>
        <w:spacing w:after="0" w:line="225"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Provisions of Awards Other Than Options</w:t>
      </w:r>
      <w:r>
        <w:rPr>
          <w:rFonts w:ascii="Times New Roman" w:cs="Times New Roman" w:eastAsia="Times New Roman" w:hAnsi="Times New Roman"/>
          <w:sz w:val="18"/>
          <w:szCs w:val="18"/>
          <w:color w:val="231F20"/>
        </w:rPr>
        <w:t>.</w:t>
      </w:r>
    </w:p>
    <w:p>
      <w:pPr>
        <w:spacing w:after="0" w:line="252" w:lineRule="exact"/>
        <w:rPr>
          <w:rFonts w:ascii="Times New Roman" w:cs="Times New Roman" w:eastAsia="Times New Roman" w:hAnsi="Times New Roman"/>
          <w:sz w:val="18"/>
          <w:szCs w:val="18"/>
          <w:color w:val="231F20"/>
        </w:rPr>
      </w:pPr>
    </w:p>
    <w:p>
      <w:pPr>
        <w:ind w:left="340"/>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7.1 </w:t>
      </w:r>
      <w:r>
        <w:rPr>
          <w:rFonts w:ascii="Times New Roman" w:cs="Times New Roman" w:eastAsia="Times New Roman" w:hAnsi="Times New Roman"/>
          <w:sz w:val="18"/>
          <w:szCs w:val="18"/>
          <w:u w:val="single" w:color="auto"/>
          <w:color w:val="231F20"/>
        </w:rPr>
        <w:t>Stock Appreciation Rights</w:t>
      </w:r>
      <w:r>
        <w:rPr>
          <w:rFonts w:ascii="Times New Roman" w:cs="Times New Roman" w:eastAsia="Times New Roman" w:hAnsi="Times New Roman"/>
          <w:sz w:val="18"/>
          <w:szCs w:val="18"/>
          <w:color w:val="231F20"/>
        </w:rPr>
        <w:t>.</w:t>
      </w:r>
    </w:p>
    <w:p>
      <w:pPr>
        <w:spacing w:after="0" w:line="225" w:lineRule="exact"/>
        <w:rPr>
          <w:rFonts w:ascii="Times New Roman" w:cs="Times New Roman" w:eastAsia="Times New Roman" w:hAnsi="Times New Roman"/>
          <w:sz w:val="18"/>
          <w:szCs w:val="18"/>
          <w:color w:val="231F20"/>
        </w:rPr>
      </w:pPr>
    </w:p>
    <w:p>
      <w:pPr>
        <w:jc w:val="both"/>
        <w:ind w:left="340" w:firstLine="316"/>
        <w:spacing w:after="0" w:line="266" w:lineRule="auto"/>
        <w:tabs>
          <w:tab w:leader="none" w:pos="1286" w:val="left"/>
        </w:tabs>
        <w:numPr>
          <w:ilvl w:val="1"/>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General</w:t>
      </w:r>
      <w:r>
        <w:rPr>
          <w:rFonts w:ascii="Times New Roman" w:cs="Times New Roman" w:eastAsia="Times New Roman" w:hAnsi="Times New Roman"/>
          <w:sz w:val="18"/>
          <w:szCs w:val="18"/>
          <w:color w:val="231F20"/>
        </w:rPr>
        <w:t xml:space="preserve">. Each Stock Appreciation Right granted under the Plan shall be evidenced by an Award Agreement. Each Stock Appreciation Right so granted shall be subject to the conditions set forth in this </w:t>
      </w:r>
      <w:r>
        <w:rPr>
          <w:rFonts w:ascii="Times New Roman" w:cs="Times New Roman" w:eastAsia="Times New Roman" w:hAnsi="Times New Roman"/>
          <w:sz w:val="18"/>
          <w:szCs w:val="18"/>
          <w:u w:val="single" w:color="auto"/>
          <w:color w:val="231F20"/>
        </w:rPr>
        <w:t>Section</w:t>
      </w:r>
      <w:r>
        <w:rPr>
          <w:rFonts w:ascii="Times New Roman" w:cs="Times New Roman" w:eastAsia="Times New Roman" w:hAnsi="Times New Roman"/>
          <w:sz w:val="18"/>
          <w:szCs w:val="18"/>
          <w:color w:val="231F20"/>
        </w:rPr>
        <w:t>, and to such other conditions not inconsistent with the Plan as may be reflected in the applicable Award Agreement.</w:t>
      </w:r>
    </w:p>
    <w:p>
      <w:pPr>
        <w:spacing w:after="0" w:line="175" w:lineRule="exact"/>
        <w:rPr>
          <w:rFonts w:ascii="Times New Roman" w:cs="Times New Roman" w:eastAsia="Times New Roman" w:hAnsi="Times New Roman"/>
          <w:sz w:val="18"/>
          <w:szCs w:val="18"/>
          <w:color w:val="231F20"/>
        </w:rPr>
      </w:pPr>
    </w:p>
    <w:p>
      <w:pPr>
        <w:ind w:left="340" w:right="20" w:firstLine="316"/>
        <w:spacing w:after="0" w:line="282" w:lineRule="auto"/>
        <w:tabs>
          <w:tab w:leader="none" w:pos="1202" w:val="left"/>
        </w:tabs>
        <w:numPr>
          <w:ilvl w:val="1"/>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Term of Stock Appreciation Rights</w:t>
      </w:r>
      <w:r>
        <w:rPr>
          <w:rFonts w:ascii="Times New Roman" w:cs="Times New Roman" w:eastAsia="Times New Roman" w:hAnsi="Times New Roman"/>
          <w:sz w:val="18"/>
          <w:szCs w:val="18"/>
          <w:color w:val="231F20"/>
        </w:rPr>
        <w:t xml:space="preserve">. The term of a Stock Appreciation Right granted under the Plan shall be determined by the Committee; </w:t>
      </w:r>
      <w:r>
        <w:rPr>
          <w:rFonts w:ascii="Times New Roman" w:cs="Times New Roman" w:eastAsia="Times New Roman" w:hAnsi="Times New Roman"/>
          <w:sz w:val="18"/>
          <w:szCs w:val="18"/>
          <w:i w:val="1"/>
          <w:iCs w:val="1"/>
          <w:color w:val="231F20"/>
        </w:rPr>
        <w:t>provided, however</w:t>
      </w:r>
      <w:r>
        <w:rPr>
          <w:rFonts w:ascii="Times New Roman" w:cs="Times New Roman" w:eastAsia="Times New Roman" w:hAnsi="Times New Roman"/>
          <w:sz w:val="18"/>
          <w:szCs w:val="18"/>
          <w:color w:val="231F20"/>
        </w:rPr>
        <w:t>, no Stock Appreciation Right shall be exercisable later than the tenth anniversary of the Grant Date.</w:t>
      </w:r>
    </w:p>
    <w:p>
      <w:pPr>
        <w:spacing w:after="0" w:line="161" w:lineRule="exact"/>
        <w:rPr>
          <w:rFonts w:ascii="Times New Roman" w:cs="Times New Roman" w:eastAsia="Times New Roman" w:hAnsi="Times New Roman"/>
          <w:sz w:val="18"/>
          <w:szCs w:val="18"/>
          <w:color w:val="231F20"/>
        </w:rPr>
      </w:pPr>
    </w:p>
    <w:p>
      <w:pPr>
        <w:jc w:val="both"/>
        <w:ind w:left="340" w:firstLine="316"/>
        <w:spacing w:after="0" w:line="261" w:lineRule="auto"/>
        <w:tabs>
          <w:tab w:leader="none" w:pos="1192" w:val="left"/>
        </w:tabs>
        <w:numPr>
          <w:ilvl w:val="1"/>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Vesting of Stock Appreciation Rights</w:t>
      </w:r>
      <w:r>
        <w:rPr>
          <w:rFonts w:ascii="Times New Roman" w:cs="Times New Roman" w:eastAsia="Times New Roman" w:hAnsi="Times New Roman"/>
          <w:sz w:val="18"/>
          <w:szCs w:val="18"/>
          <w:color w:val="231F20"/>
        </w:rPr>
        <w:t>. Each Stock Appreciation Right may, but need not, vest and therefore become exercisable in periodic installments that may, but need not, be equal. The Stock Appreciation Right may be subject to such other terms and conditions on the time or times when it may be exercised as the Committee may deem appropriate. The vesting provisions of individual Stock Appreciation Rights may vary. No Stock Appreciation Right may be exercised for a fraction of a share.</w:t>
      </w:r>
    </w:p>
    <w:p>
      <w:pPr>
        <w:spacing w:after="0" w:line="179" w:lineRule="exact"/>
        <w:rPr>
          <w:rFonts w:ascii="Times New Roman" w:cs="Times New Roman" w:eastAsia="Times New Roman" w:hAnsi="Times New Roman"/>
          <w:sz w:val="18"/>
          <w:szCs w:val="18"/>
          <w:color w:val="231F20"/>
        </w:rPr>
      </w:pPr>
    </w:p>
    <w:p>
      <w:pPr>
        <w:jc w:val="both"/>
        <w:ind w:left="340" w:firstLine="316"/>
        <w:spacing w:after="0" w:line="256" w:lineRule="auto"/>
        <w:tabs>
          <w:tab w:leader="none" w:pos="1229" w:val="left"/>
        </w:tabs>
        <w:numPr>
          <w:ilvl w:val="1"/>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Exercise and Payment</w:t>
      </w:r>
      <w:r>
        <w:rPr>
          <w:rFonts w:ascii="Times New Roman" w:cs="Times New Roman" w:eastAsia="Times New Roman" w:hAnsi="Times New Roman"/>
          <w:sz w:val="18"/>
          <w:szCs w:val="18"/>
          <w:color w:val="231F20"/>
        </w:rPr>
        <w:t>. Upon exercise of a Stock Appreciation Right, the holder shall be entitled to receive from the Company an amount equal to the number of shares of Common Stock subject to the Stock Appreciation Right that is being exercised multiplied by the excess of (i) the Fair Market Value of a share of Common Stock on the date the Award is exercised, over (ii) the exercise price specified in the Stock Appreciation Right. Payment with respect to the exercise of a Stock Appreciation Right shall be made on the date of exercise. Payment shall be made in the form of Common Stock (with or without restrictions as to substantial risk of forfeiture and transferability, as determined by the Committee in its sole discretion), cash or a combination thereof, as determined by the Committee.</w:t>
      </w:r>
    </w:p>
    <w:p>
      <w:pPr>
        <w:spacing w:after="0" w:line="187" w:lineRule="exact"/>
        <w:rPr>
          <w:rFonts w:ascii="Times New Roman" w:cs="Times New Roman" w:eastAsia="Times New Roman" w:hAnsi="Times New Roman"/>
          <w:sz w:val="18"/>
          <w:szCs w:val="18"/>
          <w:color w:val="231F20"/>
        </w:rPr>
      </w:pPr>
    </w:p>
    <w:p>
      <w:pPr>
        <w:ind w:left="1180" w:hanging="524"/>
        <w:spacing w:after="0"/>
        <w:tabs>
          <w:tab w:leader="none" w:pos="1180" w:val="left"/>
        </w:tabs>
        <w:numPr>
          <w:ilvl w:val="1"/>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Exercise Price</w:t>
      </w:r>
      <w:r>
        <w:rPr>
          <w:rFonts w:ascii="Times New Roman" w:cs="Times New Roman" w:eastAsia="Times New Roman" w:hAnsi="Times New Roman"/>
          <w:sz w:val="18"/>
          <w:szCs w:val="18"/>
          <w:color w:val="231F20"/>
        </w:rPr>
        <w:t>. The exercise price of a Stock Appreciation Right shall be determined by the Committee.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 xml:space="preserve">7.2 </w:t>
      </w:r>
      <w:r>
        <w:rPr>
          <w:rFonts w:ascii="Times New Roman" w:cs="Times New Roman" w:eastAsia="Times New Roman" w:hAnsi="Times New Roman"/>
          <w:sz w:val="18"/>
          <w:szCs w:val="18"/>
          <w:u w:val="single" w:color="auto"/>
          <w:color w:val="231F20"/>
        </w:rPr>
        <w:t>Restricted Awards</w:t>
      </w:r>
      <w:r>
        <w:rPr>
          <w:rFonts w:ascii="Times New Roman" w:cs="Times New Roman" w:eastAsia="Times New Roman" w:hAnsi="Times New Roman"/>
          <w:sz w:val="18"/>
          <w:szCs w:val="18"/>
          <w:color w:val="231F20"/>
        </w:rPr>
        <w:t>.</w:t>
      </w:r>
    </w:p>
    <w:p>
      <w:pPr>
        <w:spacing w:after="0" w:line="248" w:lineRule="exact"/>
        <w:rPr>
          <w:sz w:val="20"/>
          <w:szCs w:val="20"/>
          <w:color w:val="auto"/>
        </w:rPr>
      </w:pPr>
    </w:p>
    <w:p>
      <w:pPr>
        <w:jc w:val="both"/>
        <w:ind w:firstLine="367"/>
        <w:spacing w:after="0" w:line="257" w:lineRule="auto"/>
        <w:tabs>
          <w:tab w:leader="none" w:pos="941"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General</w:t>
      </w:r>
      <w:r>
        <w:rPr>
          <w:rFonts w:ascii="Times New Roman" w:cs="Times New Roman" w:eastAsia="Times New Roman" w:hAnsi="Times New Roman"/>
          <w:sz w:val="18"/>
          <w:szCs w:val="18"/>
          <w:color w:val="231F20"/>
        </w:rPr>
        <w:t>. A Restricted Award is an Award of actual Common Stock (“</w:t>
      </w:r>
      <w:r>
        <w:rPr>
          <w:rFonts w:ascii="Times New Roman" w:cs="Times New Roman" w:eastAsia="Times New Roman" w:hAnsi="Times New Roman"/>
          <w:sz w:val="18"/>
          <w:szCs w:val="18"/>
          <w:b w:val="1"/>
          <w:bCs w:val="1"/>
          <w:color w:val="231F20"/>
        </w:rPr>
        <w:t>Restricted Stock</w:t>
      </w:r>
      <w:r>
        <w:rPr>
          <w:rFonts w:ascii="Times New Roman" w:cs="Times New Roman" w:eastAsia="Times New Roman" w:hAnsi="Times New Roman"/>
          <w:sz w:val="18"/>
          <w:szCs w:val="18"/>
          <w:color w:val="231F20"/>
        </w:rPr>
        <w:t>”) or hypothetical Common Stock units (“</w:t>
      </w:r>
      <w:r>
        <w:rPr>
          <w:rFonts w:ascii="Times New Roman" w:cs="Times New Roman" w:eastAsia="Times New Roman" w:hAnsi="Times New Roman"/>
          <w:sz w:val="18"/>
          <w:szCs w:val="18"/>
          <w:b w:val="1"/>
          <w:bCs w:val="1"/>
          <w:color w:val="231F20"/>
        </w:rPr>
        <w:t>Restricted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Stock Units</w:t>
      </w:r>
      <w:r>
        <w:rPr>
          <w:rFonts w:ascii="Times New Roman" w:cs="Times New Roman" w:eastAsia="Times New Roman" w:hAnsi="Times New Roman"/>
          <w:sz w:val="18"/>
          <w:szCs w:val="18"/>
          <w:color w:val="231F20"/>
        </w:rPr>
        <w:t>”) having a value equal to the Fair Market Value of an identical number of shares of Common Stock, which may, but need not, provide that</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such Restricted Award may not be sold, assigned, transferred or otherwise disposed of, pledged or hypothecated as collateral for a loan or as security for the performance of any obligation or for any other purpose for such period (the “</w:t>
      </w:r>
      <w:r>
        <w:rPr>
          <w:rFonts w:ascii="Times New Roman" w:cs="Times New Roman" w:eastAsia="Times New Roman" w:hAnsi="Times New Roman"/>
          <w:sz w:val="18"/>
          <w:szCs w:val="18"/>
          <w:b w:val="1"/>
          <w:bCs w:val="1"/>
          <w:color w:val="231F20"/>
        </w:rPr>
        <w:t>Restricted Period</w:t>
      </w:r>
      <w:r>
        <w:rPr>
          <w:rFonts w:ascii="Times New Roman" w:cs="Times New Roman" w:eastAsia="Times New Roman" w:hAnsi="Times New Roman"/>
          <w:sz w:val="18"/>
          <w:szCs w:val="18"/>
          <w:color w:val="231F20"/>
        </w:rPr>
        <w:t xml:space="preserve">”) as the Committee shall determine. Each Restricted Award granted under the Plan shall be evidenced by an Award Agreement. Each Restricted Award so granted shall be subject to the conditions set forth in this </w:t>
      </w:r>
      <w:r>
        <w:rPr>
          <w:rFonts w:ascii="Times New Roman" w:cs="Times New Roman" w:eastAsia="Times New Roman" w:hAnsi="Times New Roman"/>
          <w:sz w:val="18"/>
          <w:szCs w:val="18"/>
          <w:u w:val="single" w:color="auto"/>
          <w:color w:val="231F20"/>
        </w:rPr>
        <w:t>Section</w:t>
      </w:r>
      <w:r>
        <w:rPr>
          <w:rFonts w:ascii="Times New Roman" w:cs="Times New Roman" w:eastAsia="Times New Roman" w:hAnsi="Times New Roman"/>
          <w:sz w:val="18"/>
          <w:szCs w:val="18"/>
          <w:color w:val="231F20"/>
        </w:rPr>
        <w:t xml:space="preserve"> and to such other conditions not inconsistent with the Plan as may be reflected in the applicable Award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660" w:hanging="328"/>
        <w:spacing w:after="0"/>
        <w:tabs>
          <w:tab w:leader="none" w:pos="6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Restricted Stock and Restricted Stock Units</w:t>
      </w:r>
      <w:r>
        <w:rPr>
          <w:rFonts w:ascii="Times New Roman" w:cs="Times New Roman" w:eastAsia="Times New Roman" w:hAnsi="Times New Roman"/>
          <w:sz w:val="18"/>
          <w:szCs w:val="18"/>
          <w:color w:val="231F20"/>
        </w:rPr>
        <w:t>.</w:t>
      </w:r>
    </w:p>
    <w:p>
      <w:pPr>
        <w:spacing w:after="0" w:line="225" w:lineRule="exact"/>
        <w:rPr>
          <w:sz w:val="20"/>
          <w:szCs w:val="20"/>
          <w:color w:val="auto"/>
        </w:rPr>
      </w:pPr>
    </w:p>
    <w:p>
      <w:pPr>
        <w:jc w:val="both"/>
        <w:ind w:firstLine="367"/>
        <w:spacing w:after="0" w:line="253" w:lineRule="auto"/>
        <w:tabs>
          <w:tab w:leader="none" w:pos="884"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stock power with respect to the Restricted Stock covered by such agreement. If a Participant fails to execute an agreement evidencing an Award of Restricted Stock and, if applicable, an escrow agreement and stock power, the Award shall be null and void. Subject to the restrictions set forth in the Award, the Participant generally shall have the rights and privileges of a stockholder as to such Restricted Stock, including the right to vote such Restricted Stock and the right to receive dividends; provided that, any cash dividends and stock dividends with respect to the Restricted Stock shall be withheld by the Company for the Participant’s account, and interest may be credited on the amount of the cash dividends withheld at a rate and subject to such terms as determined by the Committee. The cash dividends or stock dividends so withheld by the Committee and attributable to any particular share of Restricted Stock (and earnings thereon, if applicable) shall be distributed to the Participant in cash or, at the discretion of the Committee, in Common Stock having a Fair Market Value equal to the amount of such dividends, if applicable, upon the release of restrictions on such stock and, if such stock is forfeited, the Participant shall have no right to such dividends.</w:t>
      </w:r>
    </w:p>
    <w:p>
      <w:pPr>
        <w:spacing w:after="0" w:line="187" w:lineRule="exact"/>
        <w:rPr>
          <w:rFonts w:ascii="Times New Roman" w:cs="Times New Roman" w:eastAsia="Times New Roman" w:hAnsi="Times New Roman"/>
          <w:sz w:val="18"/>
          <w:szCs w:val="18"/>
          <w:color w:val="231F20"/>
        </w:rPr>
      </w:pPr>
    </w:p>
    <w:p>
      <w:pPr>
        <w:jc w:val="both"/>
        <w:ind w:firstLine="367"/>
        <w:spacing w:after="0" w:line="253" w:lineRule="auto"/>
        <w:tabs>
          <w:tab w:leader="none" w:pos="921" w:val="left"/>
        </w:tabs>
        <w:numPr>
          <w:ilvl w:val="1"/>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terms and conditions of a grant of Restricted Stock Units shall be reflected in an Award Agreement. No Common Stock shall be issued at the time a Restricted Stock Unit is granted, and the Company will not be required to set aside funds for the payment of any such Award. A Participant shall have no voting rights with respect to any Restricted Stock Units granted hereunder. The Committee may also grant Restricted Stock Units with a deferral feature, whereby settlement is deferred beyond the vesting date until the occurrence of a future payment date or event set forth in an Award Agreement (“</w:t>
      </w:r>
      <w:r>
        <w:rPr>
          <w:rFonts w:ascii="Times New Roman" w:cs="Times New Roman" w:eastAsia="Times New Roman" w:hAnsi="Times New Roman"/>
          <w:sz w:val="18"/>
          <w:szCs w:val="18"/>
          <w:b w:val="1"/>
          <w:bCs w:val="1"/>
          <w:i w:val="1"/>
          <w:iCs w:val="1"/>
          <w:color w:val="231F20"/>
        </w:rPr>
        <w:t>Deferred Stock Units</w:t>
      </w:r>
      <w:r>
        <w:rPr>
          <w:rFonts w:ascii="Times New Roman" w:cs="Times New Roman" w:eastAsia="Times New Roman" w:hAnsi="Times New Roman"/>
          <w:sz w:val="18"/>
          <w:szCs w:val="18"/>
          <w:color w:val="231F20"/>
        </w:rPr>
        <w:t>”). At the discretion of the Committee, each Restricted Stock Unit or Deferred Stock Unit (representing one share of Common Stock) may be credited with an amount equal to the cash and stock dividends paid by the Company in respect of one share of Common Stock (“</w:t>
      </w:r>
      <w:r>
        <w:rPr>
          <w:rFonts w:ascii="Times New Roman" w:cs="Times New Roman" w:eastAsia="Times New Roman" w:hAnsi="Times New Roman"/>
          <w:sz w:val="18"/>
          <w:szCs w:val="18"/>
          <w:b w:val="1"/>
          <w:bCs w:val="1"/>
          <w:i w:val="1"/>
          <w:iCs w:val="1"/>
          <w:color w:val="231F20"/>
        </w:rPr>
        <w:t>Dividend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i w:val="1"/>
          <w:iCs w:val="1"/>
          <w:color w:val="231F20"/>
        </w:rPr>
        <w:t>Equivalents</w:t>
      </w:r>
      <w:r>
        <w:rPr>
          <w:rFonts w:ascii="Times New Roman" w:cs="Times New Roman" w:eastAsia="Times New Roman" w:hAnsi="Times New Roman"/>
          <w:sz w:val="18"/>
          <w:szCs w:val="18"/>
          <w:color w:val="231F20"/>
        </w:rPr>
        <w:t>”). Dividend Equivalents shall be withheld by the Company and credited to the Participant’s account, and interest may be credited on the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amount of cash Dividend Equivalents credited to the Participant’s account at a rate and subject to such terms as determined by the Committee. Dividend Equivalents credited to a Participant’s account and attributable to any particular Restricted Stock Unit or Deferred Stock Unit (and earnings thereon, if applicable) shall be distributed in cash or, at the discretion of the Committee, in Common Stock having a Fair Market Value equal to the amount of such Dividend Equivalents and earnings, if applicable, to the Participant upon settlement of such Restricted Stock Unit or Deferred Stock Unit and, if such Restricted Stock Unit or Deferred Stock Unit is forfeited, the Participant shall have no right to such Dividend Equivalents.</w:t>
      </w:r>
    </w:p>
    <w:p>
      <w:pPr>
        <w:spacing w:after="0" w:line="189"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Restrictions</w:t>
      </w:r>
      <w:r>
        <w:rPr>
          <w:rFonts w:ascii="Times New Roman" w:cs="Times New Roman" w:eastAsia="Times New Roman" w:hAnsi="Times New Roman"/>
          <w:sz w:val="18"/>
          <w:szCs w:val="18"/>
          <w:color w:val="231F20"/>
        </w:rPr>
        <w:t>.</w:t>
      </w:r>
    </w:p>
    <w:p>
      <w:pPr>
        <w:spacing w:after="0" w:line="252" w:lineRule="exact"/>
        <w:rPr>
          <w:rFonts w:ascii="Times New Roman" w:cs="Times New Roman" w:eastAsia="Times New Roman" w:hAnsi="Times New Roman"/>
          <w:sz w:val="18"/>
          <w:szCs w:val="18"/>
          <w:color w:val="231F20"/>
        </w:rPr>
      </w:pPr>
    </w:p>
    <w:p>
      <w:pPr>
        <w:jc w:val="both"/>
        <w:ind w:firstLine="367"/>
        <w:spacing w:after="0" w:line="256" w:lineRule="auto"/>
        <w:tabs>
          <w:tab w:leader="none" w:pos="871"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the applicable Award Agreement; and (D) to the extent such shares are forfeited, the stock certificates shall be returned to the Company, and all rights of the Participant to such shares and as a stockholder with respect to such shares shall terminate without further obligation on the part of the Company.</w:t>
      </w:r>
    </w:p>
    <w:p>
      <w:pPr>
        <w:spacing w:after="0" w:line="187" w:lineRule="exact"/>
        <w:rPr>
          <w:rFonts w:ascii="Times New Roman" w:cs="Times New Roman" w:eastAsia="Times New Roman" w:hAnsi="Times New Roman"/>
          <w:sz w:val="18"/>
          <w:szCs w:val="18"/>
          <w:color w:val="231F20"/>
        </w:rPr>
      </w:pPr>
    </w:p>
    <w:p>
      <w:pPr>
        <w:jc w:val="both"/>
        <w:ind w:firstLine="367"/>
        <w:spacing w:after="0" w:line="258" w:lineRule="auto"/>
        <w:tabs>
          <w:tab w:leader="none" w:pos="944" w:val="left"/>
        </w:tabs>
        <w:numPr>
          <w:ilvl w:val="1"/>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Restricted Stock Units and Deferred Stock Units awarded to any Participant shall be subject to (A) forfeiture until the expiration of the Restricted Period, and satisfaction of any applicable Performance Goals during such period, to the extent provided in the applicable Award Agreement, and to the extent such Restricted Stock Units or Deferred Stock Units are forfeited, all rights of the Participant to such Restricted Stock Units or Deferred Stock Units shall terminate without further obligation on the part of the Company and (B) such other terms and conditions as may be set forth in the applicable Award Agreement.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367"/>
        <w:spacing w:after="0" w:line="266" w:lineRule="auto"/>
        <w:tabs>
          <w:tab w:leader="none" w:pos="91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Restricted Period</w:t>
      </w:r>
      <w:r>
        <w:rPr>
          <w:rFonts w:ascii="Times New Roman" w:cs="Times New Roman" w:eastAsia="Times New Roman" w:hAnsi="Times New Roman"/>
          <w:sz w:val="18"/>
          <w:szCs w:val="18"/>
          <w:color w:val="231F20"/>
        </w:rPr>
        <w:t>. With respect to Restricted Awards, the Restricted Period shall commence on the Grant Date and end at the time or times set forth on a schedule established by the Committee in the applicable Award Agreement. No Restricted Award may be granted or settled for a fraction of a share.</w:t>
      </w:r>
    </w:p>
    <w:p>
      <w:pPr>
        <w:spacing w:after="0" w:line="175" w:lineRule="exact"/>
        <w:rPr>
          <w:rFonts w:ascii="Times New Roman" w:cs="Times New Roman" w:eastAsia="Times New Roman" w:hAnsi="Times New Roman"/>
          <w:sz w:val="18"/>
          <w:szCs w:val="18"/>
          <w:color w:val="231F20"/>
        </w:rPr>
      </w:pPr>
    </w:p>
    <w:p>
      <w:pPr>
        <w:jc w:val="both"/>
        <w:ind w:firstLine="367"/>
        <w:spacing w:after="0" w:line="252" w:lineRule="auto"/>
        <w:tabs>
          <w:tab w:leader="none" w:pos="90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Delivery of Restricted Stock and Settlement of Restricted Stock Units</w:t>
      </w:r>
      <w:r>
        <w:rPr>
          <w:rFonts w:ascii="Times New Roman" w:cs="Times New Roman" w:eastAsia="Times New Roman" w:hAnsi="Times New Roman"/>
          <w:sz w:val="18"/>
          <w:szCs w:val="18"/>
          <w:color w:val="231F20"/>
        </w:rPr>
        <w:t xml:space="preserve">. Upon the expiration of the Restricted Period with respect to any shares of Restricted Stock, the restrictions set forth in </w:t>
      </w:r>
      <w:r>
        <w:rPr>
          <w:rFonts w:ascii="Times New Roman" w:cs="Times New Roman" w:eastAsia="Times New Roman" w:hAnsi="Times New Roman"/>
          <w:sz w:val="18"/>
          <w:szCs w:val="18"/>
          <w:u w:val="single" w:color="auto"/>
          <w:color w:val="231F20"/>
        </w:rPr>
        <w:t>Section 7.2(c)</w:t>
      </w:r>
      <w:r>
        <w:rPr>
          <w:rFonts w:ascii="Times New Roman" w:cs="Times New Roman" w:eastAsia="Times New Roman" w:hAnsi="Times New Roman"/>
          <w:sz w:val="18"/>
          <w:szCs w:val="18"/>
          <w:color w:val="231F20"/>
        </w:rPr>
        <w:t xml:space="preserve">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stock certificate evidencing the shares of Restricted Stock which have not then been forfeited and with respect to which the Restricted Period has expired (to the nearest full share) and any cash dividends or stock dividends credited to the Participant’s account with respect to such Restricted Stock and the interest thereon, if any. Upon the expiration of the Restricted Period with respect to any outstanding Restricted Stock Units, or at the expiration of the deferral period with respect to any outstanding Deferred Stock Units, the Company shall deliver to the Participant, or his or her beneficiary, without charge, one share of Common Stock for each such outstanding vested Restricted Stock Unit or Deferred Stock Unit (“</w:t>
      </w:r>
      <w:r>
        <w:rPr>
          <w:rFonts w:ascii="Times New Roman" w:cs="Times New Roman" w:eastAsia="Times New Roman" w:hAnsi="Times New Roman"/>
          <w:sz w:val="18"/>
          <w:szCs w:val="18"/>
          <w:b w:val="1"/>
          <w:bCs w:val="1"/>
          <w:color w:val="231F20"/>
        </w:rPr>
        <w:t>Vested Unit</w:t>
      </w:r>
      <w:r>
        <w:rPr>
          <w:rFonts w:ascii="Times New Roman" w:cs="Times New Roman" w:eastAsia="Times New Roman" w:hAnsi="Times New Roman"/>
          <w:sz w:val="18"/>
          <w:szCs w:val="18"/>
          <w:color w:val="231F20"/>
        </w:rPr>
        <w:t xml:space="preserve">”) and cash equal to any Dividend Equivalents credited with respect to each such Vested Unit in accordance with </w:t>
      </w:r>
      <w:r>
        <w:rPr>
          <w:rFonts w:ascii="Times New Roman" w:cs="Times New Roman" w:eastAsia="Times New Roman" w:hAnsi="Times New Roman"/>
          <w:sz w:val="18"/>
          <w:szCs w:val="18"/>
          <w:u w:val="single" w:color="auto"/>
          <w:color w:val="231F20"/>
        </w:rPr>
        <w:t>Section 7.2(b)(ii)</w:t>
      </w:r>
      <w:r>
        <w:rPr>
          <w:rFonts w:ascii="Times New Roman" w:cs="Times New Roman" w:eastAsia="Times New Roman" w:hAnsi="Times New Roman"/>
          <w:sz w:val="18"/>
          <w:szCs w:val="18"/>
          <w:color w:val="231F20"/>
        </w:rPr>
        <w:t xml:space="preserve"> hereof and the interest thereon or, at the discretion of the Committee, in Common Stock having a Fair Market Value equal to such Dividend Equivalents and the interest thereon, if any; </w:t>
      </w:r>
      <w:r>
        <w:rPr>
          <w:rFonts w:ascii="Times New Roman" w:cs="Times New Roman" w:eastAsia="Times New Roman" w:hAnsi="Times New Roman"/>
          <w:sz w:val="18"/>
          <w:szCs w:val="18"/>
          <w:i w:val="1"/>
          <w:iCs w:val="1"/>
          <w:color w:val="231F20"/>
        </w:rPr>
        <w:t>provided, however</w:t>
      </w:r>
      <w:r>
        <w:rPr>
          <w:rFonts w:ascii="Times New Roman" w:cs="Times New Roman" w:eastAsia="Times New Roman" w:hAnsi="Times New Roman"/>
          <w:sz w:val="18"/>
          <w:szCs w:val="18"/>
          <w:color w:val="231F20"/>
        </w:rPr>
        <w:t>, that, if explicitly provided in the applicable Award Agreement, the Committee may, in its sole discretion, elect to pay cash or part cash and part Common Stock in lieu of delivering only Common Stock for Vested Units. If a cash payment is made in lieu of delivering Common Stock, the amount of such payment shall be equal to the Fair Market Value of the Common Stock as of the date on which the Restricted Period lapsed in the case of Restricted Stock Units, or the delivery date in the case of Deferred Stock Units, with respect to each Vested Unit.</w:t>
      </w:r>
    </w:p>
    <w:p>
      <w:pPr>
        <w:spacing w:after="0" w:line="197" w:lineRule="exact"/>
        <w:rPr>
          <w:rFonts w:ascii="Times New Roman" w:cs="Times New Roman" w:eastAsia="Times New Roman" w:hAnsi="Times New Roman"/>
          <w:sz w:val="18"/>
          <w:szCs w:val="18"/>
          <w:color w:val="231F20"/>
        </w:rPr>
      </w:pPr>
    </w:p>
    <w:p>
      <w:pPr>
        <w:ind w:left="340" w:firstLine="316"/>
        <w:spacing w:after="0" w:line="282" w:lineRule="auto"/>
        <w:tabs>
          <w:tab w:leader="none" w:pos="1141" w:val="left"/>
        </w:tabs>
        <w:numPr>
          <w:ilvl w:val="1"/>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Stock Restrictions</w:t>
      </w:r>
      <w:r>
        <w:rPr>
          <w:rFonts w:ascii="Times New Roman" w:cs="Times New Roman" w:eastAsia="Times New Roman" w:hAnsi="Times New Roman"/>
          <w:sz w:val="18"/>
          <w:szCs w:val="18"/>
          <w:color w:val="231F20"/>
        </w:rPr>
        <w:t>. Each certificate representing Restricted Stock awarded under the Plan shall bear a legend in such form as the Company deems appropriate.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 xml:space="preserve">7.3 </w:t>
      </w:r>
      <w:r>
        <w:rPr>
          <w:rFonts w:ascii="Times New Roman" w:cs="Times New Roman" w:eastAsia="Times New Roman" w:hAnsi="Times New Roman"/>
          <w:sz w:val="18"/>
          <w:szCs w:val="18"/>
          <w:u w:val="single" w:color="auto"/>
          <w:color w:val="231F20"/>
        </w:rPr>
        <w:t>Performance Stock Awards</w:t>
      </w:r>
      <w:r>
        <w:rPr>
          <w:rFonts w:ascii="Times New Roman" w:cs="Times New Roman" w:eastAsia="Times New Roman" w:hAnsi="Times New Roman"/>
          <w:sz w:val="18"/>
          <w:szCs w:val="18"/>
          <w:color w:val="231F20"/>
        </w:rPr>
        <w:t>.</w:t>
      </w:r>
    </w:p>
    <w:p>
      <w:pPr>
        <w:spacing w:after="0" w:line="252" w:lineRule="exact"/>
        <w:rPr>
          <w:sz w:val="20"/>
          <w:szCs w:val="20"/>
          <w:color w:val="auto"/>
        </w:rPr>
      </w:pPr>
    </w:p>
    <w:p>
      <w:pPr>
        <w:jc w:val="both"/>
        <w:ind w:firstLine="332"/>
        <w:spacing w:after="0" w:line="258" w:lineRule="auto"/>
        <w:tabs>
          <w:tab w:leader="none" w:pos="852"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Grant of Performance Stock Awards</w:t>
      </w:r>
      <w:r>
        <w:rPr>
          <w:rFonts w:ascii="Times New Roman" w:cs="Times New Roman" w:eastAsia="Times New Roman" w:hAnsi="Times New Roman"/>
          <w:sz w:val="18"/>
          <w:szCs w:val="18"/>
          <w:color w:val="231F20"/>
        </w:rPr>
        <w:t xml:space="preserve">. Each Performance Stock Award granted under the Plan shall be evidenced by an Award Agreement. Each Performance Stock Award so granted shall be subject to the conditions set forth in this </w:t>
      </w:r>
      <w:r>
        <w:rPr>
          <w:rFonts w:ascii="Times New Roman" w:cs="Times New Roman" w:eastAsia="Times New Roman" w:hAnsi="Times New Roman"/>
          <w:sz w:val="18"/>
          <w:szCs w:val="18"/>
          <w:u w:val="single" w:color="auto"/>
          <w:color w:val="231F20"/>
        </w:rPr>
        <w:t>Section</w:t>
      </w:r>
      <w:r>
        <w:rPr>
          <w:rFonts w:ascii="Times New Roman" w:cs="Times New Roman" w:eastAsia="Times New Roman" w:hAnsi="Times New Roman"/>
          <w:sz w:val="18"/>
          <w:szCs w:val="18"/>
          <w:color w:val="231F20"/>
        </w:rPr>
        <w:t>, and to such other conditions not inconsistent with the Plan as may be reflected in the applicable Award Agreement. The Committee shall have the discretion to determine: (i) the number of shares of Common Stock or share-denominated units subject to a Performance Stock Award granted to any Participant; (ii) the Performance Period applicable to any Award; (iii) the conditions that must be satisfied for a Participant to earn an Award; and (iv) the other terms, conditions and restrictions of the Award.</w:t>
      </w:r>
    </w:p>
    <w:p>
      <w:pPr>
        <w:spacing w:after="0" w:line="183" w:lineRule="exact"/>
        <w:rPr>
          <w:rFonts w:ascii="Times New Roman" w:cs="Times New Roman" w:eastAsia="Times New Roman" w:hAnsi="Times New Roman"/>
          <w:sz w:val="18"/>
          <w:szCs w:val="18"/>
          <w:color w:val="231F20"/>
        </w:rPr>
      </w:pPr>
    </w:p>
    <w:p>
      <w:pPr>
        <w:ind w:firstLine="332"/>
        <w:spacing w:after="0" w:line="282" w:lineRule="auto"/>
        <w:tabs>
          <w:tab w:leader="none" w:pos="848"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Earning Performance Stock Awards</w:t>
      </w:r>
      <w:r>
        <w:rPr>
          <w:rFonts w:ascii="Times New Roman" w:cs="Times New Roman" w:eastAsia="Times New Roman" w:hAnsi="Times New Roman"/>
          <w:sz w:val="18"/>
          <w:szCs w:val="18"/>
          <w:color w:val="231F20"/>
        </w:rPr>
        <w:t>. The number of shares of Performance Stock earned by a Participant will depend on the extent to which the performance goals established by the Committee are attained within the applicable Performance Period, as determined by the Committee.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31F20"/>
        </w:rPr>
        <w:t xml:space="preserve">7.4 </w:t>
      </w:r>
      <w:r>
        <w:rPr>
          <w:rFonts w:ascii="Times New Roman" w:cs="Times New Roman" w:eastAsia="Times New Roman" w:hAnsi="Times New Roman"/>
          <w:sz w:val="18"/>
          <w:szCs w:val="18"/>
          <w:u w:val="single" w:color="auto"/>
          <w:color w:val="231F20"/>
        </w:rPr>
        <w:t>Other Equity-Based Awards and Cash Awards</w:t>
      </w:r>
      <w:r>
        <w:rPr>
          <w:rFonts w:ascii="Times New Roman" w:cs="Times New Roman" w:eastAsia="Times New Roman" w:hAnsi="Times New Roman"/>
          <w:sz w:val="18"/>
          <w:szCs w:val="18"/>
          <w:color w:val="231F20"/>
        </w:rPr>
        <w:t>. The Committee may grant Other Equity-Based Awards, either alone or in tandem with other Awards, in such amounts and subject to such conditions as the Committee shall determine in its sole discretion. Each Equity-Based Award shall be evidenced by an Award Agreement and shall be subject to such conditions, not inconsistent with the Plan, as may be reflected in the applicable Award Agreement. The Committee may grant Cash Awards in such amounts and subject to such Performance Goals, other vesting conditions, and such other terms as the Committee determines in its discretion. Cash Awards shall be evidenced in such form as the Committee may determine.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8"/>
        <w:spacing w:after="0" w:line="253" w:lineRule="auto"/>
        <w:tabs>
          <w:tab w:leader="none" w:pos="477"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Securities Law Compliance</w:t>
      </w:r>
      <w:r>
        <w:rPr>
          <w:rFonts w:ascii="Times New Roman" w:cs="Times New Roman" w:eastAsia="Times New Roman" w:hAnsi="Times New Roman"/>
          <w:sz w:val="18"/>
          <w:szCs w:val="18"/>
          <w:color w:val="231F20"/>
        </w:rPr>
        <w:t xml:space="preserve">. Each Award Agreement shall provide that no Common Stock shall be purchased or sold thereunder unless and until (a) any then applicable requirements of state or federal laws and regulatory agencies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Common Stock upon exercise of the Awards; </w:t>
      </w:r>
      <w:r>
        <w:rPr>
          <w:rFonts w:ascii="Times New Roman" w:cs="Times New Roman" w:eastAsia="Times New Roman" w:hAnsi="Times New Roman"/>
          <w:sz w:val="18"/>
          <w:szCs w:val="18"/>
          <w:i w:val="1"/>
          <w:iCs w:val="1"/>
          <w:color w:val="231F20"/>
        </w:rPr>
        <w:t>provided, however</w:t>
      </w:r>
      <w:r>
        <w:rPr>
          <w:rFonts w:ascii="Times New Roman" w:cs="Times New Roman" w:eastAsia="Times New Roman" w:hAnsi="Times New Roman"/>
          <w:sz w:val="18"/>
          <w:szCs w:val="18"/>
          <w:color w:val="231F20"/>
        </w:rPr>
        <w:t>, that this undertaking shall not require the Company to register under the Securities Act the Plan, any Award or any Common Stock issued or issuable pursuant to any such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Awards unless and until such authority is obtained.</w:t>
      </w:r>
    </w:p>
    <w:p>
      <w:pPr>
        <w:spacing w:after="0" w:line="194" w:lineRule="exact"/>
        <w:rPr>
          <w:rFonts w:ascii="Times New Roman" w:cs="Times New Roman" w:eastAsia="Times New Roman" w:hAnsi="Times New Roman"/>
          <w:sz w:val="18"/>
          <w:szCs w:val="18"/>
          <w:color w:val="231F20"/>
        </w:rPr>
      </w:pPr>
    </w:p>
    <w:p>
      <w:pPr>
        <w:ind w:firstLine="8"/>
        <w:spacing w:after="0" w:line="282" w:lineRule="auto"/>
        <w:tabs>
          <w:tab w:leader="none" w:pos="45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Use of Proceeds from Stock</w:t>
      </w:r>
      <w:r>
        <w:rPr>
          <w:rFonts w:ascii="Times New Roman" w:cs="Times New Roman" w:eastAsia="Times New Roman" w:hAnsi="Times New Roman"/>
          <w:sz w:val="18"/>
          <w:szCs w:val="18"/>
          <w:color w:val="231F20"/>
        </w:rPr>
        <w:t>. Proceeds from the sale of Common Stock pursuant to Awards, or upon exercise thereof, shall constitute general funds of the Company.</w:t>
      </w:r>
    </w:p>
    <w:p>
      <w:pPr>
        <w:spacing w:after="0" w:line="161" w:lineRule="exact"/>
        <w:rPr>
          <w:rFonts w:ascii="Times New Roman" w:cs="Times New Roman" w:eastAsia="Times New Roman" w:hAnsi="Times New Roman"/>
          <w:sz w:val="18"/>
          <w:szCs w:val="18"/>
          <w:color w:val="231F20"/>
        </w:rPr>
      </w:pPr>
    </w:p>
    <w:p>
      <w:pPr>
        <w:ind w:left="420" w:hanging="412"/>
        <w:spacing w:after="0"/>
        <w:tabs>
          <w:tab w:leader="none" w:pos="4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Miscellaneous</w:t>
      </w:r>
      <w:r>
        <w:rPr>
          <w:rFonts w:ascii="Times New Roman" w:cs="Times New Roman" w:eastAsia="Times New Roman" w:hAnsi="Times New Roman"/>
          <w:sz w:val="18"/>
          <w:szCs w:val="18"/>
          <w:color w:val="231F20"/>
        </w:rPr>
        <w:t>.</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10.1 </w:t>
      </w:r>
      <w:r>
        <w:rPr>
          <w:rFonts w:ascii="Times New Roman" w:cs="Times New Roman" w:eastAsia="Times New Roman" w:hAnsi="Times New Roman"/>
          <w:sz w:val="18"/>
          <w:szCs w:val="18"/>
          <w:u w:val="single" w:color="auto"/>
          <w:color w:val="231F20"/>
        </w:rPr>
        <w:t>Acceleration of Exercisability and Vesting</w:t>
      </w:r>
      <w:r>
        <w:rPr>
          <w:rFonts w:ascii="Times New Roman" w:cs="Times New Roman" w:eastAsia="Times New Roman" w:hAnsi="Times New Roman"/>
          <w:sz w:val="18"/>
          <w:szCs w:val="18"/>
          <w:color w:val="231F20"/>
        </w:rPr>
        <w:t>. Notwithstanding anything herein or in the Award to the contrary, the Committee shall have the power to accelerate the time at which an Award may first be exercised or the time during which an Award or any part thereof will vest.</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31F20"/>
        </w:rPr>
        <w:t xml:space="preserve">10.2 </w:t>
      </w:r>
      <w:r>
        <w:rPr>
          <w:rFonts w:ascii="Times New Roman" w:cs="Times New Roman" w:eastAsia="Times New Roman" w:hAnsi="Times New Roman"/>
          <w:sz w:val="18"/>
          <w:szCs w:val="18"/>
          <w:u w:val="single" w:color="auto"/>
          <w:color w:val="231F20"/>
        </w:rPr>
        <w:t>Stockholder Rights</w:t>
      </w:r>
      <w:r>
        <w:rPr>
          <w:rFonts w:ascii="Times New Roman" w:cs="Times New Roman" w:eastAsia="Times New Roman" w:hAnsi="Times New Roman"/>
          <w:sz w:val="18"/>
          <w:szCs w:val="18"/>
          <w:color w:val="231F20"/>
        </w:rPr>
        <w:t xml:space="preserve">. Except as provided in the Plan or an Award Agreement, no Participant shall be deemed to be the holder of, or to have any of the rights of a holder with respect to, any Common Stock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Common Stock certificate is issued, except as provided in </w:t>
      </w:r>
      <w:r>
        <w:rPr>
          <w:rFonts w:ascii="Times New Roman" w:cs="Times New Roman" w:eastAsia="Times New Roman" w:hAnsi="Times New Roman"/>
          <w:sz w:val="18"/>
          <w:szCs w:val="18"/>
          <w:u w:val="single" w:color="auto"/>
          <w:color w:val="231F20"/>
        </w:rPr>
        <w:t>Section 11</w:t>
      </w:r>
      <w:r>
        <w:rPr>
          <w:rFonts w:ascii="Times New Roman" w:cs="Times New Roman" w:eastAsia="Times New Roman" w:hAnsi="Times New Roman"/>
          <w:sz w:val="18"/>
          <w:szCs w:val="18"/>
          <w:color w:val="231F20"/>
        </w:rPr>
        <w:t xml:space="preserve"> hereof.</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31F20"/>
        </w:rPr>
        <w:t xml:space="preserve">10.3 </w:t>
      </w:r>
      <w:r>
        <w:rPr>
          <w:rFonts w:ascii="Times New Roman" w:cs="Times New Roman" w:eastAsia="Times New Roman" w:hAnsi="Times New Roman"/>
          <w:sz w:val="18"/>
          <w:szCs w:val="18"/>
          <w:u w:val="single" w:color="auto"/>
          <w:color w:val="231F20"/>
        </w:rPr>
        <w:t>No Employment or Other Service Rights</w:t>
      </w:r>
      <w:r>
        <w:rPr>
          <w:rFonts w:ascii="Times New Roman" w:cs="Times New Roman" w:eastAsia="Times New Roman" w:hAnsi="Times New Roman"/>
          <w:sz w:val="18"/>
          <w:szCs w:val="18"/>
          <w:color w:val="231F20"/>
        </w:rPr>
        <w:t>. Nothing in the Plan or any instrument executed or Award granted pursuant thereto shall confer upon any 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Bylaws of the Company or an Affiliate, and any applicable provisions of the corporate law of the state in which the Company or the Affiliate is incorporated, as the case may be.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31F20"/>
        </w:rPr>
        <w:t xml:space="preserve">10.4 </w:t>
      </w:r>
      <w:r>
        <w:rPr>
          <w:rFonts w:ascii="Times New Roman" w:cs="Times New Roman" w:eastAsia="Times New Roman" w:hAnsi="Times New Roman"/>
          <w:sz w:val="18"/>
          <w:szCs w:val="18"/>
          <w:u w:val="single" w:color="auto"/>
          <w:color w:val="231F20"/>
        </w:rPr>
        <w:t>Transfer; Approved Leave of Absence</w:t>
      </w:r>
      <w:r>
        <w:rPr>
          <w:rFonts w:ascii="Times New Roman" w:cs="Times New Roman" w:eastAsia="Times New Roman" w:hAnsi="Times New Roman"/>
          <w:sz w:val="18"/>
          <w:szCs w:val="18"/>
          <w:color w:val="231F20"/>
        </w:rPr>
        <w:t>. For purposes of the Plan, no termination of employment by an Employee shall be deemed to result from either (a) a transfer of employment to the Company from an Affiliate or from the Company to an Affiliate, or from one Affiliate to another, or (b)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in either case, except to the extent inconsistent with Section 409A of the Code if the applicable Award is subject thereto.</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231F20"/>
        </w:rPr>
        <w:t xml:space="preserve">10.5 </w:t>
      </w:r>
      <w:r>
        <w:rPr>
          <w:rFonts w:ascii="Times New Roman" w:cs="Times New Roman" w:eastAsia="Times New Roman" w:hAnsi="Times New Roman"/>
          <w:sz w:val="18"/>
          <w:szCs w:val="18"/>
          <w:u w:val="single" w:color="auto"/>
          <w:color w:val="231F20"/>
        </w:rPr>
        <w:t>Withholding Obligations</w:t>
      </w:r>
      <w:r>
        <w:rPr>
          <w:rFonts w:ascii="Times New Roman" w:cs="Times New Roman" w:eastAsia="Times New Roman" w:hAnsi="Times New Roman"/>
          <w:sz w:val="18"/>
          <w:szCs w:val="18"/>
          <w:color w:val="231F20"/>
        </w:rPr>
        <w:t xml:space="preserve">. To the extent provided by the terms of an Award Agreement and subject to the discretion of the Committee, the Participant may satisfy any federal, state or local tax withholding obligation relating to the exercise or acquisition of Common Stock under an Award by any of the following means (in addition to the Company’s right to withhold from any compensation paid to the Participant by the Company) or by a combination of such means: (a) tendering a cash payment; (b) authorizing the Company to withhold Common Stock from the Common Stock otherwise issuable to the Participant as a result of the exercise or acquisition of Common Stock under the Award, </w:t>
      </w:r>
      <w:r>
        <w:rPr>
          <w:rFonts w:ascii="Times New Roman" w:cs="Times New Roman" w:eastAsia="Times New Roman" w:hAnsi="Times New Roman"/>
          <w:sz w:val="18"/>
          <w:szCs w:val="18"/>
          <w:i w:val="1"/>
          <w:iCs w:val="1"/>
          <w:color w:val="231F20"/>
        </w:rPr>
        <w:t>provided, however</w:t>
      </w:r>
      <w:r>
        <w:rPr>
          <w:rFonts w:ascii="Times New Roman" w:cs="Times New Roman" w:eastAsia="Times New Roman" w:hAnsi="Times New Roman"/>
          <w:sz w:val="18"/>
          <w:szCs w:val="18"/>
          <w:color w:val="231F20"/>
        </w:rPr>
        <w:t>, that no Common Stock is withheld for such purpose with a value exceeding the maximum amount of tax required to be withheld by law; (c) delivering to the Company previously owned and unencumbered Common Stock of the Company; or (d) if the Common Stock is listed on any established stock exchange or a national market system, through the delivery of irrevocable instructions to a broker to deliver promptly to the Company an amount equal to the tax required to be withheld by law (i.e., by means of a “cashless” exercise procedure).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8"/>
        <w:spacing w:after="0" w:line="252" w:lineRule="auto"/>
        <w:tabs>
          <w:tab w:leader="none" w:pos="641"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Adjustments Upon Changes in Stock</w:t>
      </w:r>
      <w:r>
        <w:rPr>
          <w:rFonts w:ascii="Times New Roman" w:cs="Times New Roman" w:eastAsia="Times New Roman" w:hAnsi="Times New Roman"/>
          <w:sz w:val="18"/>
          <w:szCs w:val="18"/>
          <w:color w:val="231F20"/>
        </w:rPr>
        <w:t>.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Stock Appreciation Rights, the Performance Goals to which Performance Stock Awards and Cash Awards are subject, the maximum number of shares of Common Stock subject to all Awards stated in Section 4 will be equitably adjusted or substituted, as to the number, price or kind of Common Stock or other consideration subject to such Awards to the extent necessary to preserve the economic intent of such Award. In the case of adjustments made pursuant to this Section, unless the Committee specifically determines that such adjustment is in the best interests of the Company or its Affiliates, the Committee shall, in the case of Incentive Stock Options, ensure that any adjustments under this Section will not constitute modification, extension or renewal of the Incentive Stock Options within the meaning of Section 424(h)</w:t>
      </w:r>
    </w:p>
    <w:p>
      <w:pPr>
        <w:spacing w:after="0" w:line="6" w:lineRule="exact"/>
        <w:rPr>
          <w:rFonts w:ascii="Times New Roman" w:cs="Times New Roman" w:eastAsia="Times New Roman" w:hAnsi="Times New Roman"/>
          <w:sz w:val="18"/>
          <w:szCs w:val="18"/>
          <w:color w:val="231F20"/>
        </w:rPr>
      </w:pPr>
    </w:p>
    <w:p>
      <w:pPr>
        <w:jc w:val="both"/>
        <w:spacing w:after="0" w:line="253"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(3) of the Code and in the case of Non-Qualified Stock Options, ensure that any adjustments under this Section will not constitute a modification of such Non-Qualified Stock Options within the meaning of Section 409A of the Code. Any adjustments made under this Section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w:t>
      </w:r>
    </w:p>
    <w:p>
      <w:pPr>
        <w:spacing w:after="0" w:line="188" w:lineRule="exact"/>
        <w:rPr>
          <w:rFonts w:ascii="Times New Roman" w:cs="Times New Roman" w:eastAsia="Times New Roman" w:hAnsi="Times New Roman"/>
          <w:sz w:val="18"/>
          <w:szCs w:val="18"/>
          <w:color w:val="231F20"/>
        </w:rPr>
      </w:pPr>
    </w:p>
    <w:p>
      <w:pPr>
        <w:jc w:val="both"/>
        <w:ind w:firstLine="8"/>
        <w:spacing w:after="0" w:line="258" w:lineRule="auto"/>
        <w:tabs>
          <w:tab w:leader="none" w:pos="648"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Effect of Change in Control</w:t>
      </w:r>
      <w:r>
        <w:rPr>
          <w:rFonts w:ascii="Times New Roman" w:cs="Times New Roman" w:eastAsia="Times New Roman" w:hAnsi="Times New Roman"/>
          <w:sz w:val="18"/>
          <w:szCs w:val="18"/>
          <w:color w:val="231F20"/>
        </w:rPr>
        <w:t>. Notwithstanding any other provision of the Plan to the contrary, immediately upon the occurrence of a Change in Control, the following provisions of this Section shall apply except to the extent an Award Agreement provides for a different treatment (in which case the Award Agreement shall govern): all then-outstanding Awards held by a Participant and not previously vested shall become 100% vested; provided that, if the achievement of the performance goals applicable to an Award have not been measured, then such performance goals shall be deemed satisfied as if target performance was achieved.</w:t>
      </w:r>
    </w:p>
    <w:p>
      <w:pPr>
        <w:spacing w:after="0" w:line="183" w:lineRule="exact"/>
        <w:rPr>
          <w:rFonts w:ascii="Times New Roman" w:cs="Times New Roman" w:eastAsia="Times New Roman" w:hAnsi="Times New Roman"/>
          <w:sz w:val="18"/>
          <w:szCs w:val="18"/>
          <w:color w:val="231F20"/>
        </w:rPr>
      </w:pPr>
    </w:p>
    <w:p>
      <w:pPr>
        <w:ind w:left="420" w:hanging="412"/>
        <w:spacing w:after="0"/>
        <w:tabs>
          <w:tab w:leader="none" w:pos="4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Amendment of the Plan and Awards</w:t>
      </w:r>
      <w:r>
        <w:rPr>
          <w:rFonts w:ascii="Times New Roman" w:cs="Times New Roman" w:eastAsia="Times New Roman" w:hAnsi="Times New Roman"/>
          <w:sz w:val="18"/>
          <w:szCs w:val="18"/>
          <w:color w:val="231F20"/>
        </w:rPr>
        <w: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13.1 </w:t>
      </w:r>
      <w:r>
        <w:rPr>
          <w:rFonts w:ascii="Times New Roman" w:cs="Times New Roman" w:eastAsia="Times New Roman" w:hAnsi="Times New Roman"/>
          <w:sz w:val="18"/>
          <w:szCs w:val="18"/>
          <w:u w:val="single" w:color="auto"/>
          <w:color w:val="231F20"/>
        </w:rPr>
        <w:t>Amendment of Plan</w:t>
      </w:r>
      <w:r>
        <w:rPr>
          <w:rFonts w:ascii="Times New Roman" w:cs="Times New Roman" w:eastAsia="Times New Roman" w:hAnsi="Times New Roman"/>
          <w:sz w:val="18"/>
          <w:szCs w:val="18"/>
          <w:color w:val="231F20"/>
        </w:rPr>
        <w:t xml:space="preserve">. The Board at any time, and from time to time, may amend or terminate the Plan. However, except as provided in </w:t>
      </w:r>
      <w:r>
        <w:rPr>
          <w:rFonts w:ascii="Times New Roman" w:cs="Times New Roman" w:eastAsia="Times New Roman" w:hAnsi="Times New Roman"/>
          <w:sz w:val="18"/>
          <w:szCs w:val="18"/>
          <w:u w:val="single" w:color="auto"/>
          <w:color w:val="231F20"/>
        </w:rPr>
        <w:t>Section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u w:val="single" w:color="auto"/>
          <w:color w:val="231F20"/>
        </w:rPr>
        <w:t>11</w:t>
      </w:r>
      <w:r>
        <w:rPr>
          <w:rFonts w:ascii="Times New Roman" w:cs="Times New Roman" w:eastAsia="Times New Roman" w:hAnsi="Times New Roman"/>
          <w:sz w:val="18"/>
          <w:szCs w:val="18"/>
          <w:color w:val="231F20"/>
        </w:rPr>
        <w:t xml:space="preserve"> relating to adjustments upon changes in Common Stock and </w:t>
      </w:r>
      <w:r>
        <w:rPr>
          <w:rFonts w:ascii="Times New Roman" w:cs="Times New Roman" w:eastAsia="Times New Roman" w:hAnsi="Times New Roman"/>
          <w:sz w:val="18"/>
          <w:szCs w:val="18"/>
          <w:u w:val="single" w:color="auto"/>
          <w:color w:val="231F20"/>
        </w:rPr>
        <w:t>Section 13.3</w:t>
      </w:r>
      <w:r>
        <w:rPr>
          <w:rFonts w:ascii="Times New Roman" w:cs="Times New Roman" w:eastAsia="Times New Roman" w:hAnsi="Times New Roman"/>
          <w:sz w:val="18"/>
          <w:szCs w:val="18"/>
          <w:color w:val="231F20"/>
        </w:rPr>
        <w:t>, no amendment shall be effective unless approved by the stockholders of the Company to the extent stockholder approval is necessary to satisfy any Applicable Laws. At the time of such amendment, the Board shall determine, upon advice from counsel, whether such amendment will be contingent on stockholder approval.</w:t>
      </w:r>
    </w:p>
    <w:p>
      <w:pPr>
        <w:spacing w:after="0" w:line="180"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231F20"/>
        </w:rPr>
        <w:t>13.2</w:t>
      </w:r>
      <w:r>
        <w:rPr>
          <w:sz w:val="20"/>
          <w:szCs w:val="20"/>
          <w:color w:val="auto"/>
        </w:rPr>
        <w:tab/>
      </w:r>
      <w:r>
        <w:rPr>
          <w:rFonts w:ascii="Times New Roman" w:cs="Times New Roman" w:eastAsia="Times New Roman" w:hAnsi="Times New Roman"/>
          <w:sz w:val="17"/>
          <w:szCs w:val="17"/>
          <w:u w:val="single" w:color="auto"/>
          <w:color w:val="231F20"/>
        </w:rPr>
        <w:t>Stockholder Approval</w:t>
      </w:r>
      <w:r>
        <w:rPr>
          <w:rFonts w:ascii="Times New Roman" w:cs="Times New Roman" w:eastAsia="Times New Roman" w:hAnsi="Times New Roman"/>
          <w:sz w:val="17"/>
          <w:szCs w:val="17"/>
          <w:color w:val="231F20"/>
        </w:rPr>
        <w:t>. The Board may, in its sole discretion, submit any other amendment to the Plan for stockholder approval.</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13.3 </w:t>
      </w:r>
      <w:r>
        <w:rPr>
          <w:rFonts w:ascii="Times New Roman" w:cs="Times New Roman" w:eastAsia="Times New Roman" w:hAnsi="Times New Roman"/>
          <w:sz w:val="18"/>
          <w:szCs w:val="18"/>
          <w:u w:val="single" w:color="auto"/>
          <w:color w:val="231F20"/>
        </w:rPr>
        <w:t>Contemplated Amendments</w:t>
      </w:r>
      <w:r>
        <w:rPr>
          <w:rFonts w:ascii="Times New Roman" w:cs="Times New Roman" w:eastAsia="Times New Roman" w:hAnsi="Times New Roman"/>
          <w:sz w:val="18"/>
          <w:szCs w:val="18"/>
          <w:color w:val="231F20"/>
        </w:rPr>
        <w:t>. It is expressly contemplated that the Board may amend the Plan in any respect the Board deems necessary or 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13.4 </w:t>
      </w:r>
      <w:r>
        <w:rPr>
          <w:rFonts w:ascii="Times New Roman" w:cs="Times New Roman" w:eastAsia="Times New Roman" w:hAnsi="Times New Roman"/>
          <w:sz w:val="18"/>
          <w:szCs w:val="18"/>
          <w:u w:val="single" w:color="auto"/>
          <w:color w:val="231F20"/>
        </w:rPr>
        <w:t>No Impairment of Rights</w:t>
      </w:r>
      <w:r>
        <w:rPr>
          <w:rFonts w:ascii="Times New Roman" w:cs="Times New Roman" w:eastAsia="Times New Roman" w:hAnsi="Times New Roman"/>
          <w:sz w:val="18"/>
          <w:szCs w:val="18"/>
          <w:color w:val="231F20"/>
        </w:rPr>
        <w:t>. Rights under any Award granted before amendment of the Plan shall not be impaired by any amendment of the Plan unless (a) the Company requests the consent of the Participant and (b) the Participant consents in writing.</w:t>
      </w:r>
    </w:p>
    <w:p>
      <w:pPr>
        <w:spacing w:after="0" w:line="16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231F20"/>
        </w:rPr>
        <w:t xml:space="preserve">13.5 </w:t>
      </w:r>
      <w:r>
        <w:rPr>
          <w:rFonts w:ascii="Times New Roman" w:cs="Times New Roman" w:eastAsia="Times New Roman" w:hAnsi="Times New Roman"/>
          <w:sz w:val="18"/>
          <w:szCs w:val="18"/>
          <w:u w:val="single" w:color="auto"/>
          <w:color w:val="231F20"/>
        </w:rPr>
        <w:t>Amendment of Awards</w:t>
      </w:r>
      <w:r>
        <w:rPr>
          <w:rFonts w:ascii="Times New Roman" w:cs="Times New Roman" w:eastAsia="Times New Roman" w:hAnsi="Times New Roman"/>
          <w:sz w:val="18"/>
          <w:szCs w:val="18"/>
          <w:color w:val="231F20"/>
        </w:rPr>
        <w:t xml:space="preserve">. The Committee at any time, and from time to time, may amend the terms of any one or more Awards; </w:t>
      </w:r>
      <w:r>
        <w:rPr>
          <w:rFonts w:ascii="Times New Roman" w:cs="Times New Roman" w:eastAsia="Times New Roman" w:hAnsi="Times New Roman"/>
          <w:sz w:val="18"/>
          <w:szCs w:val="18"/>
          <w:i w:val="1"/>
          <w:iCs w:val="1"/>
          <w:color w:val="231F20"/>
        </w:rPr>
        <w:t>provided,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however</w:t>
      </w:r>
      <w:r>
        <w:rPr>
          <w:rFonts w:ascii="Times New Roman" w:cs="Times New Roman" w:eastAsia="Times New Roman" w:hAnsi="Times New Roman"/>
          <w:sz w:val="18"/>
          <w:szCs w:val="18"/>
          <w:color w:val="231F20"/>
        </w:rPr>
        <w:t>, that the Committee may not make any amendment which would otherwise constitute an impairment of the rights of a Participant under any Award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unless the Participant consents in writing.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420" w:hanging="412"/>
        <w:spacing w:after="0"/>
        <w:tabs>
          <w:tab w:leader="none" w:pos="4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General Provisions</w:t>
      </w:r>
      <w:r>
        <w:rPr>
          <w:rFonts w:ascii="Times New Roman" w:cs="Times New Roman" w:eastAsia="Times New Roman" w:hAnsi="Times New Roman"/>
          <w:sz w:val="18"/>
          <w:szCs w:val="18"/>
          <w:color w:val="231F20"/>
        </w:rPr>
        <w:t>.</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31F20"/>
        </w:rPr>
        <w:t xml:space="preserve">14.1 </w:t>
      </w:r>
      <w:r>
        <w:rPr>
          <w:rFonts w:ascii="Times New Roman" w:cs="Times New Roman" w:eastAsia="Times New Roman" w:hAnsi="Times New Roman"/>
          <w:sz w:val="18"/>
          <w:szCs w:val="18"/>
          <w:u w:val="single" w:color="auto"/>
          <w:color w:val="231F20"/>
        </w:rPr>
        <w:t>Forfeiture Events</w:t>
      </w:r>
      <w:r>
        <w:rPr>
          <w:rFonts w:ascii="Times New Roman" w:cs="Times New Roman" w:eastAsia="Times New Roman" w:hAnsi="Times New Roman"/>
          <w:sz w:val="18"/>
          <w:szCs w:val="18"/>
          <w:color w:val="231F20"/>
        </w:rPr>
        <w:t>. The Committee may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Continuous Service for Cause, or other conduct by the Participant that is detrimental to the business or reputation of the Company and/or its Affiliates.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14.2 </w:t>
      </w:r>
      <w:r>
        <w:rPr>
          <w:rFonts w:ascii="Times New Roman" w:cs="Times New Roman" w:eastAsia="Times New Roman" w:hAnsi="Times New Roman"/>
          <w:sz w:val="18"/>
          <w:szCs w:val="18"/>
          <w:u w:val="single" w:color="auto"/>
          <w:color w:val="231F20"/>
        </w:rPr>
        <w:t>Clawback</w:t>
      </w:r>
      <w:r>
        <w:rPr>
          <w:rFonts w:ascii="Times New Roman" w:cs="Times New Roman" w:eastAsia="Times New Roman" w:hAnsi="Times New Roman"/>
          <w:sz w:val="18"/>
          <w:szCs w:val="18"/>
          <w:color w:val="231F20"/>
        </w:rPr>
        <w:t>. Notwithstanding any other provisions in this Plan, the Company may cancel any Award, require reimbursement of any Award by a Participant, and effect any other right of recoupment of equity or other compensation provided under the Plan in accordance with any Company policies that may be adopted and/or modified from time to time (</w:t>
      </w:r>
      <w:r>
        <w:rPr>
          <w:rFonts w:ascii="Times New Roman" w:cs="Times New Roman" w:eastAsia="Times New Roman" w:hAnsi="Times New Roman"/>
          <w:sz w:val="18"/>
          <w:szCs w:val="18"/>
          <w:b w:val="1"/>
          <w:bCs w:val="1"/>
          <w:color w:val="231F20"/>
        </w:rPr>
        <w:t>“Clawback Policy”</w:t>
      </w:r>
      <w:r>
        <w:rPr>
          <w:rFonts w:ascii="Times New Roman" w:cs="Times New Roman" w:eastAsia="Times New Roman" w:hAnsi="Times New Roman"/>
          <w:sz w:val="18"/>
          <w:szCs w:val="18"/>
          <w:color w:val="231F20"/>
        </w:rPr>
        <w:t>). In addition, a Participant may be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31F20"/>
        </w:rPr>
        <w:t>required to repay to the Company previously paid compensation, whether provided pursuant to the Plan or an Award Agreement, in accordance with the Clawback Policy. By accepting an Award, the Participant is agreeing to be bound by the Clawback Policy, as in effect or as may be adopted and/or modified from time to time by the Company in its discretion (including, without limitation, to comply with applicable law or stock exchange listing requirements).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14.3 </w:t>
      </w:r>
      <w:r>
        <w:rPr>
          <w:rFonts w:ascii="Times New Roman" w:cs="Times New Roman" w:eastAsia="Times New Roman" w:hAnsi="Times New Roman"/>
          <w:sz w:val="18"/>
          <w:szCs w:val="18"/>
          <w:u w:val="single" w:color="auto"/>
          <w:color w:val="231F20"/>
        </w:rPr>
        <w:t>Other Compensation Arrangements</w:t>
      </w:r>
      <w:r>
        <w:rPr>
          <w:rFonts w:ascii="Times New Roman" w:cs="Times New Roman" w:eastAsia="Times New Roman" w:hAnsi="Times New Roman"/>
          <w:sz w:val="18"/>
          <w:szCs w:val="18"/>
          <w:color w:val="231F20"/>
        </w:rPr>
        <w:t>. Nothing contained in this Plan shall prevent the Board from adopting other or additional compensation arrangements, subject to stockholder approval if such approval is required; and such arrangements may be either generally applicable or applicable only in specific cases.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14.4 </w:t>
      </w:r>
      <w:r>
        <w:rPr>
          <w:rFonts w:ascii="Times New Roman" w:cs="Times New Roman" w:eastAsia="Times New Roman" w:hAnsi="Times New Roman"/>
          <w:sz w:val="18"/>
          <w:szCs w:val="18"/>
          <w:u w:val="single" w:color="auto"/>
          <w:color w:val="231F20"/>
        </w:rPr>
        <w:t>Sub-Plans</w:t>
      </w:r>
      <w:r>
        <w:rPr>
          <w:rFonts w:ascii="Times New Roman" w:cs="Times New Roman" w:eastAsia="Times New Roman" w:hAnsi="Times New Roman"/>
          <w:sz w:val="18"/>
          <w:szCs w:val="18"/>
          <w:color w:val="231F20"/>
        </w:rPr>
        <w:t>. The Committee may from time to time establish sub-plans under the Plan for purposes of satisfying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31F20"/>
        </w:rPr>
        <w:t xml:space="preserve">14.5 </w:t>
      </w:r>
      <w:r>
        <w:rPr>
          <w:rFonts w:ascii="Times New Roman" w:cs="Times New Roman" w:eastAsia="Times New Roman" w:hAnsi="Times New Roman"/>
          <w:sz w:val="18"/>
          <w:szCs w:val="18"/>
          <w:u w:val="single" w:color="auto"/>
          <w:color w:val="231F20"/>
        </w:rPr>
        <w:t>Deferral of Awards</w:t>
      </w:r>
      <w:r>
        <w:rPr>
          <w:rFonts w:ascii="Times New Roman" w:cs="Times New Roman" w:eastAsia="Times New Roman" w:hAnsi="Times New Roman"/>
          <w:sz w:val="18"/>
          <w:szCs w:val="18"/>
          <w:color w:val="231F20"/>
        </w:rPr>
        <w:t>. The Committee may establish one or more programs under the Plan to permit selected Participants the opportunity to elect to defer receipt of consideration upon exercise of an Award, satisfaction of performance criteria, or other event that absent the election would entitle the Participant to payment or receipt of Common Stock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14.6 </w:t>
      </w:r>
      <w:r>
        <w:rPr>
          <w:rFonts w:ascii="Times New Roman" w:cs="Times New Roman" w:eastAsia="Times New Roman" w:hAnsi="Times New Roman"/>
          <w:sz w:val="18"/>
          <w:szCs w:val="18"/>
          <w:u w:val="single" w:color="auto"/>
          <w:color w:val="231F20"/>
        </w:rPr>
        <w:t>Unfunded Plan</w:t>
      </w:r>
      <w:r>
        <w:rPr>
          <w:rFonts w:ascii="Times New Roman" w:cs="Times New Roman" w:eastAsia="Times New Roman" w:hAnsi="Times New Roman"/>
          <w:sz w:val="18"/>
          <w:szCs w:val="18"/>
          <w:color w:val="231F20"/>
        </w:rPr>
        <w:t>. The Plan shall be unfunded. Neither the Company, the Board nor the Committee shall be required to establish any special or separate fund or to segregate any assets to assure the performance of its obligations under the Plan.</w:t>
      </w:r>
    </w:p>
    <w:p>
      <w:pPr>
        <w:spacing w:after="0" w:line="162"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231F20"/>
        </w:rPr>
        <w:t>14.7</w:t>
      </w:r>
      <w:r>
        <w:rPr>
          <w:sz w:val="20"/>
          <w:szCs w:val="20"/>
          <w:color w:val="auto"/>
        </w:rPr>
        <w:tab/>
      </w:r>
      <w:r>
        <w:rPr>
          <w:rFonts w:ascii="Times New Roman" w:cs="Times New Roman" w:eastAsia="Times New Roman" w:hAnsi="Times New Roman"/>
          <w:sz w:val="17"/>
          <w:szCs w:val="17"/>
          <w:u w:val="single" w:color="auto"/>
          <w:color w:val="231F20"/>
        </w:rPr>
        <w:t>Recapitalizations</w:t>
      </w:r>
      <w:r>
        <w:rPr>
          <w:rFonts w:ascii="Times New Roman" w:cs="Times New Roman" w:eastAsia="Times New Roman" w:hAnsi="Times New Roman"/>
          <w:sz w:val="17"/>
          <w:szCs w:val="17"/>
          <w:color w:val="231F20"/>
        </w:rPr>
        <w:t>. Each Award Agreement may contain provisions to reflect the provisions of</w:t>
      </w:r>
      <w:r>
        <w:rPr>
          <w:rFonts w:ascii="Times New Roman" w:cs="Times New Roman" w:eastAsia="Times New Roman" w:hAnsi="Times New Roman"/>
          <w:sz w:val="17"/>
          <w:szCs w:val="17"/>
          <w:u w:val="single" w:color="auto"/>
          <w:color w:val="231F20"/>
        </w:rPr>
        <w:t xml:space="preserve"> Section 11</w:t>
      </w:r>
      <w:r>
        <w:rPr>
          <w:rFonts w:ascii="Times New Roman" w:cs="Times New Roman" w:eastAsia="Times New Roman" w:hAnsi="Times New Roman"/>
          <w:sz w:val="17"/>
          <w:szCs w:val="17"/>
          <w:color w:val="231F20"/>
        </w:rPr>
        <w: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14.8 </w:t>
      </w:r>
      <w:r>
        <w:rPr>
          <w:rFonts w:ascii="Times New Roman" w:cs="Times New Roman" w:eastAsia="Times New Roman" w:hAnsi="Times New Roman"/>
          <w:sz w:val="18"/>
          <w:szCs w:val="18"/>
          <w:u w:val="single" w:color="auto"/>
          <w:color w:val="231F20"/>
        </w:rPr>
        <w:t>Delivery</w:t>
      </w:r>
      <w:r>
        <w:rPr>
          <w:rFonts w:ascii="Times New Roman" w:cs="Times New Roman" w:eastAsia="Times New Roman" w:hAnsi="Times New Roman"/>
          <w:sz w:val="18"/>
          <w:szCs w:val="18"/>
          <w:color w:val="231F20"/>
        </w:rPr>
        <w:t>. Upon exercise of a right granted under this Plan, the Company shall issue Common Stock or pay any amounts due within a reasonable period of time thereafter. Subject to any statutory or regulatory obligations the Company may otherwise have, for purposes of this Plan, 30 days shall be considered a reasonable period of time.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14.9 </w:t>
      </w:r>
      <w:r>
        <w:rPr>
          <w:rFonts w:ascii="Times New Roman" w:cs="Times New Roman" w:eastAsia="Times New Roman" w:hAnsi="Times New Roman"/>
          <w:sz w:val="18"/>
          <w:szCs w:val="18"/>
          <w:u w:val="single" w:color="auto"/>
          <w:color w:val="231F20"/>
        </w:rPr>
        <w:t>No Fractional Shares</w:t>
      </w:r>
      <w:r>
        <w:rPr>
          <w:rFonts w:ascii="Times New Roman" w:cs="Times New Roman" w:eastAsia="Times New Roman" w:hAnsi="Times New Roman"/>
          <w:sz w:val="18"/>
          <w:szCs w:val="18"/>
          <w:color w:val="231F20"/>
        </w:rPr>
        <w:t>. No fractional Common Stock shall be issued or delivered pursuant to the Plan. The Committee shall determine whether cash, additional Awards or other securities or property shall be issued or paid in lieu of fractional Common Stock or whether any fractional shares should be rounded, forfeited or otherwise eliminated.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14.10 </w:t>
      </w:r>
      <w:r>
        <w:rPr>
          <w:rFonts w:ascii="Times New Roman" w:cs="Times New Roman" w:eastAsia="Times New Roman" w:hAnsi="Times New Roman"/>
          <w:sz w:val="18"/>
          <w:szCs w:val="18"/>
          <w:u w:val="single" w:color="auto"/>
          <w:color w:val="231F20"/>
        </w:rPr>
        <w:t>Other Provisions</w:t>
      </w:r>
      <w:r>
        <w:rPr>
          <w:rFonts w:ascii="Times New Roman" w:cs="Times New Roman" w:eastAsia="Times New Roman" w:hAnsi="Times New Roman"/>
          <w:sz w:val="18"/>
          <w:szCs w:val="18"/>
          <w:color w:val="231F20"/>
        </w:rPr>
        <w:t>. The Award Agreements authorized under the Plan may contain such other provisions not inconsistent with this Plan, including, without limitation, restrictions upon the exercise of Awards, as the Committee may deem advisable.</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231F20"/>
        </w:rPr>
        <w:t xml:space="preserve">14.11 </w:t>
      </w:r>
      <w:r>
        <w:rPr>
          <w:rFonts w:ascii="Times New Roman" w:cs="Times New Roman" w:eastAsia="Times New Roman" w:hAnsi="Times New Roman"/>
          <w:sz w:val="18"/>
          <w:szCs w:val="18"/>
          <w:u w:val="single" w:color="auto"/>
          <w:color w:val="231F20"/>
        </w:rPr>
        <w:t>Section 409A</w:t>
      </w:r>
      <w:r>
        <w:rPr>
          <w:rFonts w:ascii="Times New Roman" w:cs="Times New Roman" w:eastAsia="Times New Roman" w:hAnsi="Times New Roman"/>
          <w:sz w:val="18"/>
          <w:szCs w:val="18"/>
          <w:color w:val="231F20"/>
        </w:rPr>
        <w:t>. The Plan is intended to comply with Section 409A of the Code to the extent subject thereto, and, accordingly, to the 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to the extent required to avoid accelerated taxation and tax penalties under Section 409A of the Code, amounts that would otherwise be payable and benefits that would otherwise be provided pursuant to the Plan during the six month period immediately following the Participant’s termination of Continuous Service shall instead be paid on the first payroll date after the six-month anniversary of the Participant’s separation from service (or the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14.12 </w:t>
      </w:r>
      <w:r>
        <w:rPr>
          <w:rFonts w:ascii="Times New Roman" w:cs="Times New Roman" w:eastAsia="Times New Roman" w:hAnsi="Times New Roman"/>
          <w:sz w:val="18"/>
          <w:szCs w:val="18"/>
          <w:u w:val="single" w:color="auto"/>
          <w:color w:val="231F20"/>
        </w:rPr>
        <w:t>Disqualifying Dispositions</w:t>
      </w:r>
      <w:r>
        <w:rPr>
          <w:rFonts w:ascii="Times New Roman" w:cs="Times New Roman" w:eastAsia="Times New Roman" w:hAnsi="Times New Roman"/>
          <w:sz w:val="18"/>
          <w:szCs w:val="18"/>
          <w:color w:val="231F20"/>
        </w:rPr>
        <w:t>. Any Participant who shall make a “disposition” (as defined in Section 424 of the Code) of all or any portion of Common Stock acquired upon exercise of an Incentive Stock Option within two years from the Grant Date of such Incentive Stock Option or within one year after the issuance of the Common Stock acquired upon exercise of such Incentive Stock Option (a “</w:t>
      </w:r>
      <w:r>
        <w:rPr>
          <w:rFonts w:ascii="Times New Roman" w:cs="Times New Roman" w:eastAsia="Times New Roman" w:hAnsi="Times New Roman"/>
          <w:sz w:val="18"/>
          <w:szCs w:val="18"/>
          <w:b w:val="1"/>
          <w:bCs w:val="1"/>
          <w:color w:val="231F20"/>
        </w:rPr>
        <w:t>Disqualifying Disposition</w:t>
      </w:r>
      <w:r>
        <w:rPr>
          <w:rFonts w:ascii="Times New Roman" w:cs="Times New Roman" w:eastAsia="Times New Roman" w:hAnsi="Times New Roman"/>
          <w:sz w:val="18"/>
          <w:szCs w:val="18"/>
          <w:color w:val="231F20"/>
        </w:rPr>
        <w:t>”) shall be required to immediately advise the Company in writing as to the occurrence of the sale and the price realized upon the sale of such Common Stock.</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31F20"/>
        </w:rPr>
        <w:t xml:space="preserve">14.13 </w:t>
      </w:r>
      <w:r>
        <w:rPr>
          <w:rFonts w:ascii="Times New Roman" w:cs="Times New Roman" w:eastAsia="Times New Roman" w:hAnsi="Times New Roman"/>
          <w:sz w:val="18"/>
          <w:szCs w:val="18"/>
          <w:u w:val="single" w:color="auto"/>
          <w:color w:val="231F20"/>
        </w:rPr>
        <w:t>Section 16</w:t>
      </w:r>
      <w:r>
        <w:rPr>
          <w:rFonts w:ascii="Times New Roman" w:cs="Times New Roman" w:eastAsia="Times New Roman" w:hAnsi="Times New Roman"/>
          <w:sz w:val="18"/>
          <w:szCs w:val="18"/>
          <w:color w:val="231F20"/>
        </w:rPr>
        <w:t xml:space="preserve">.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w:t>
      </w:r>
      <w:r>
        <w:rPr>
          <w:rFonts w:ascii="Times New Roman" w:cs="Times New Roman" w:eastAsia="Times New Roman" w:hAnsi="Times New Roman"/>
          <w:sz w:val="18"/>
          <w:szCs w:val="18"/>
          <w:u w:val="single" w:color="auto"/>
          <w:color w:val="231F20"/>
        </w:rPr>
        <w:t>Section</w:t>
      </w:r>
      <w:r>
        <w:rPr>
          <w:rFonts w:ascii="Times New Roman" w:cs="Times New Roman" w:eastAsia="Times New Roman" w:hAnsi="Times New Roman"/>
          <w:sz w:val="18"/>
          <w:szCs w:val="18"/>
          <w:color w:val="231F20"/>
        </w:rPr>
        <w:t>, such provision to the extent possible shall be interpreted and/or deemed amended so as to avoid such conflict.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14.14 </w:t>
      </w:r>
      <w:r>
        <w:rPr>
          <w:rFonts w:ascii="Times New Roman" w:cs="Times New Roman" w:eastAsia="Times New Roman" w:hAnsi="Times New Roman"/>
          <w:sz w:val="18"/>
          <w:szCs w:val="18"/>
          <w:u w:val="single" w:color="auto"/>
          <w:color w:val="231F20"/>
        </w:rPr>
        <w:t>Beneficiary Designation</w:t>
      </w:r>
      <w:r>
        <w:rPr>
          <w:rFonts w:ascii="Times New Roman" w:cs="Times New Roman" w:eastAsia="Times New Roman" w:hAnsi="Times New Roman"/>
          <w:sz w:val="18"/>
          <w:szCs w:val="18"/>
          <w:color w:val="231F20"/>
        </w:rPr>
        <w:t>. Each Participant under the Plan may from time to time name any beneficiary or beneficiaries by whom any 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w:t>
      </w:r>
    </w:p>
    <w:p>
      <w:pPr>
        <w:spacing w:after="0" w:line="180"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231F20"/>
        </w:rPr>
        <w:t>14.15</w:t>
      </w:r>
      <w:r>
        <w:rPr>
          <w:sz w:val="20"/>
          <w:szCs w:val="20"/>
          <w:color w:val="auto"/>
        </w:rPr>
        <w:tab/>
      </w:r>
      <w:r>
        <w:rPr>
          <w:rFonts w:ascii="Times New Roman" w:cs="Times New Roman" w:eastAsia="Times New Roman" w:hAnsi="Times New Roman"/>
          <w:sz w:val="17"/>
          <w:szCs w:val="17"/>
          <w:u w:val="single" w:color="auto"/>
          <w:color w:val="231F20"/>
        </w:rPr>
        <w:t>Expenses</w:t>
      </w:r>
      <w:r>
        <w:rPr>
          <w:rFonts w:ascii="Times New Roman" w:cs="Times New Roman" w:eastAsia="Times New Roman" w:hAnsi="Times New Roman"/>
          <w:sz w:val="17"/>
          <w:szCs w:val="17"/>
          <w:color w:val="231F20"/>
        </w:rPr>
        <w:t>. The costs of administering the Plan shall be paid by the Company.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14.16 </w:t>
      </w:r>
      <w:r>
        <w:rPr>
          <w:rFonts w:ascii="Times New Roman" w:cs="Times New Roman" w:eastAsia="Times New Roman" w:hAnsi="Times New Roman"/>
          <w:sz w:val="18"/>
          <w:szCs w:val="18"/>
          <w:u w:val="single" w:color="auto"/>
          <w:color w:val="231F20"/>
        </w:rPr>
        <w:t>Severability</w:t>
      </w:r>
      <w:r>
        <w:rPr>
          <w:rFonts w:ascii="Times New Roman" w:cs="Times New Roman" w:eastAsia="Times New Roman" w:hAnsi="Times New Roman"/>
          <w:sz w:val="18"/>
          <w:szCs w:val="18"/>
          <w:color w:val="231F20"/>
        </w:rPr>
        <w:t>. 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14.17 </w:t>
      </w:r>
      <w:r>
        <w:rPr>
          <w:rFonts w:ascii="Times New Roman" w:cs="Times New Roman" w:eastAsia="Times New Roman" w:hAnsi="Times New Roman"/>
          <w:sz w:val="18"/>
          <w:szCs w:val="18"/>
          <w:u w:val="single" w:color="auto"/>
          <w:color w:val="231F20"/>
        </w:rPr>
        <w:t>Plan Headings</w:t>
      </w:r>
      <w:r>
        <w:rPr>
          <w:rFonts w:ascii="Times New Roman" w:cs="Times New Roman" w:eastAsia="Times New Roman" w:hAnsi="Times New Roman"/>
          <w:sz w:val="18"/>
          <w:szCs w:val="18"/>
          <w:color w:val="231F20"/>
        </w:rPr>
        <w:t>. The headings in the Plan are for purposes of convenience only and are not intended to define or limit the construction of the provisions hereof.</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14.18 </w:t>
      </w:r>
      <w:r>
        <w:rPr>
          <w:rFonts w:ascii="Times New Roman" w:cs="Times New Roman" w:eastAsia="Times New Roman" w:hAnsi="Times New Roman"/>
          <w:sz w:val="18"/>
          <w:szCs w:val="18"/>
          <w:u w:val="single" w:color="auto"/>
          <w:color w:val="231F20"/>
        </w:rPr>
        <w:t>Non-Uniform Treatment</w:t>
      </w:r>
      <w:r>
        <w:rPr>
          <w:rFonts w:ascii="Times New Roman" w:cs="Times New Roman" w:eastAsia="Times New Roman" w:hAnsi="Times New Roman"/>
          <w:sz w:val="18"/>
          <w:szCs w:val="18"/>
          <w:color w:val="231F20"/>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spacing w:after="0" w:line="176" w:lineRule="exact"/>
        <w:rPr>
          <w:sz w:val="20"/>
          <w:szCs w:val="20"/>
          <w:color w:val="auto"/>
        </w:rPr>
      </w:pPr>
    </w:p>
    <w:p>
      <w:pPr>
        <w:jc w:val="both"/>
        <w:ind w:firstLine="8"/>
        <w:spacing w:after="0" w:line="266" w:lineRule="auto"/>
        <w:tabs>
          <w:tab w:leader="none" w:pos="567"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Effective Date of Plan</w:t>
      </w:r>
      <w:r>
        <w:rPr>
          <w:rFonts w:ascii="Times New Roman" w:cs="Times New Roman" w:eastAsia="Times New Roman" w:hAnsi="Times New Roman"/>
          <w:sz w:val="18"/>
          <w:szCs w:val="18"/>
          <w:color w:val="231F20"/>
        </w:rPr>
        <w:t>. The Plan shall become effective as of the Effective Date, but no Award shall be exercised (or, in the case of a stock Award, shall be granted) unless and until the Plan has been approved by the stockholders of the Company, which approval shall be within twelve (12) months before or after the date the Plan is adopted by the Board.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8"/>
        <w:spacing w:after="0" w:line="266" w:lineRule="auto"/>
        <w:tabs>
          <w:tab w:leader="none" w:pos="675"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Termination or Suspension of the Plan</w:t>
      </w:r>
      <w:r>
        <w:rPr>
          <w:rFonts w:ascii="Times New Roman" w:cs="Times New Roman" w:eastAsia="Times New Roman" w:hAnsi="Times New Roman"/>
          <w:sz w:val="18"/>
          <w:szCs w:val="18"/>
          <w:color w:val="231F20"/>
        </w:rPr>
        <w:t>. The Plan shall terminate automatically on tenth anniversary of the Effective Date. No Award shall be granted pursuant to the Plan after such date, but Awards theretofore granted may extend beyond that date. The Board may suspend or terminate the Plan at any earlier date pursuant to Section 13.1 hereof. No Awards may be granted under the Plan while the Plan is suspended or after it is terminated.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17.</w:t>
      </w:r>
    </w:p>
    <w:p>
      <w:pPr>
        <w:spacing w:after="0" w:line="225" w:lineRule="exact"/>
        <w:rPr>
          <w:sz w:val="20"/>
          <w:szCs w:val="20"/>
          <w:color w:val="auto"/>
        </w:rPr>
      </w:pPr>
    </w:p>
    <w:p>
      <w:pPr>
        <w:ind w:firstLine="8"/>
        <w:spacing w:after="0" w:line="282" w:lineRule="auto"/>
        <w:tabs>
          <w:tab w:leader="none" w:pos="621"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Choice of Law</w:t>
      </w:r>
      <w:r>
        <w:rPr>
          <w:rFonts w:ascii="Times New Roman" w:cs="Times New Roman" w:eastAsia="Times New Roman" w:hAnsi="Times New Roman"/>
          <w:sz w:val="18"/>
          <w:szCs w:val="18"/>
          <w:color w:val="231F20"/>
        </w:rPr>
        <w:t>. The law of the State of Delaware shall govern all questions concerning the construction, validity and interpretation of this Plan, without regard to such state’s conflict of law rules.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7,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the Chief Accountant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360"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XpresSpa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001-34785</w:t>
      </w:r>
    </w:p>
    <w:p>
      <w:pPr>
        <w:spacing w:after="0" w:line="200" w:lineRule="exact"/>
        <w:rPr>
          <w:sz w:val="20"/>
          <w:szCs w:val="20"/>
          <w:color w:val="auto"/>
        </w:rPr>
      </w:pPr>
    </w:p>
    <w:p>
      <w:pPr>
        <w:sectPr>
          <w:pgSz w:w="11900" w:h="16838" w:orient="portrait"/>
          <w:cols w:equalWidth="0" w:num="2">
            <w:col w:w="260" w:space="400"/>
            <w:col w:w="10580"/>
          </w:cols>
          <w:pgMar w:left="320" w:top="360"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read Item 4.01 of XpresSpa Group Inc.’s Form 8-K dated October 4, 2022, and we agree with the statements set forth in Item 4.01, insofar as they relate to our firm. We have no basis to agree or disagree with other statements made by the registrant contained in Item 4.01.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 Friedman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Friedman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Hanover, NJ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lowerLetter"/>
      <w:start w:val="1"/>
    </w:lvl>
  </w:abstractNum>
  <w:abstractNum w:abstractNumId="2">
    <w:nsid w:val="41A7C4C9"/>
    <w:multiLevelType w:val="hybridMultilevel"/>
    <w:lvl w:ilvl="0">
      <w:lvlJc w:val="left"/>
      <w:lvlText w:val="(%1)"/>
      <w:numFmt w:val="lowerLetter"/>
      <w:start w:val="2"/>
    </w:lvl>
  </w:abstractNum>
  <w:abstractNum w:abstractNumId="3">
    <w:nsid w:val="6B68079A"/>
    <w:multiLevelType w:val="hybridMultilevel"/>
    <w:lvl w:ilvl="0">
      <w:lvlJc w:val="left"/>
      <w:lvlText w:val="(%1)"/>
      <w:numFmt w:val="lowerLetter"/>
      <w:start w:val="4"/>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2"/>
    </w:lvl>
  </w:abstractNum>
  <w:abstractNum w:abstractNumId="6">
    <w:nsid w:val="519B500D"/>
    <w:multiLevelType w:val="hybridMultilevel"/>
    <w:lvl w:ilvl="0">
      <w:lvlJc w:val="left"/>
      <w:lvlText w:val="(%1)"/>
      <w:numFmt w:val="lowerRoman"/>
      <w:start w:val="1"/>
    </w:lvl>
  </w:abstractNum>
  <w:abstractNum w:abstractNumId="7">
    <w:nsid w:val="431BD7B7"/>
    <w:multiLevelType w:val="hybridMultilevel"/>
    <w:lvl w:ilvl="0">
      <w:lvlJc w:val="left"/>
      <w:lvlText w:val="%1."/>
      <w:numFmt w:val="decimal"/>
      <w:start w:val="3"/>
    </w:lvl>
  </w:abstractNum>
  <w:abstractNum w:abstractNumId="8">
    <w:nsid w:val="3F2DBA31"/>
    <w:multiLevelType w:val="hybridMultilevel"/>
    <w:lvl w:ilvl="0">
      <w:lvlJc w:val="left"/>
      <w:lvlText w:val="(%1)"/>
      <w:numFmt w:val="lowerLetter"/>
      <w:start w:val="1"/>
    </w:lvl>
  </w:abstractNum>
  <w:abstractNum w:abstractNumId="9">
    <w:nsid w:val="7C83E458"/>
    <w:multiLevelType w:val="hybridMultilevel"/>
    <w:lvl w:ilvl="0">
      <w:lvlJc w:val="left"/>
      <w:lvlText w:val="(%1)"/>
      <w:numFmt w:val="lowerLetter"/>
      <w:start w:val="15"/>
    </w:lvl>
  </w:abstractNum>
  <w:abstractNum w:abstractNumId="10">
    <w:nsid w:val="257130A3"/>
    <w:multiLevelType w:val="hybridMultilevel"/>
    <w:lvl w:ilvl="0">
      <w:lvlJc w:val="left"/>
      <w:lvlText w:val="%1."/>
      <w:numFmt w:val="decimal"/>
      <w:start w:val="4"/>
    </w:lvl>
  </w:abstractNum>
  <w:abstractNum w:abstractNumId="11">
    <w:nsid w:val="62BBD95A"/>
    <w:multiLevelType w:val="hybridMultilevel"/>
    <w:lvl w:ilvl="0">
      <w:lvlJc w:val="left"/>
      <w:lvlText w:val="%1."/>
      <w:numFmt w:val="decimal"/>
      <w:start w:val="5"/>
    </w:lvl>
  </w:abstractNum>
  <w:abstractNum w:abstractNumId="12">
    <w:nsid w:val="436C6125"/>
    <w:multiLevelType w:val="hybridMultilevel"/>
    <w:lvl w:ilvl="0">
      <w:lvlJc w:val="left"/>
      <w:lvlText w:val="%1."/>
      <w:numFmt w:val="decimal"/>
      <w:start w:val="6"/>
    </w:lvl>
  </w:abstractNum>
  <w:abstractNum w:abstractNumId="13">
    <w:nsid w:val="628C895D"/>
    <w:multiLevelType w:val="hybridMultilevel"/>
    <w:lvl w:ilvl="0">
      <w:lvlJc w:val="left"/>
      <w:lvlText w:val="(%1)"/>
      <w:numFmt w:val="lowerLetter"/>
      <w:start w:val="2"/>
    </w:lvl>
  </w:abstractNum>
  <w:abstractNum w:abstractNumId="14">
    <w:nsid w:val="333AB105"/>
    <w:multiLevelType w:val="hybridMultilevel"/>
    <w:lvl w:ilvl="0">
      <w:lvlJc w:val="left"/>
      <w:lvlText w:val="%1."/>
      <w:numFmt w:val="decimal"/>
      <w:start w:val="7"/>
    </w:lvl>
    <w:lvl w:ilvl="1">
      <w:lvlJc w:val="left"/>
      <w:lvlText w:val="(%2)"/>
      <w:numFmt w:val="lowerLetter"/>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1)"/>
      <w:numFmt w:val="lowerLetter"/>
      <w:start w:val="2"/>
    </w:lvl>
  </w:abstractNum>
  <w:abstractNum w:abstractNumId="17">
    <w:nsid w:val="2D1D5AE9"/>
    <w:multiLevelType w:val="hybridMultilevel"/>
    <w:lvl w:ilvl="0">
      <w:lvlJc w:val="left"/>
      <w:lvlText w:val="(%1)"/>
      <w:numFmt w:val="lowerLetter"/>
      <w:start w:val="9"/>
    </w:lvl>
    <w:lvl w:ilvl="1">
      <w:lvlJc w:val="left"/>
      <w:lvlText w:val="(%2)"/>
      <w:numFmt w:val="lowerRoman"/>
      <w:start w:val="2"/>
    </w:lvl>
  </w:abstractNum>
  <w:abstractNum w:abstractNumId="18">
    <w:nsid w:val="6763845E"/>
    <w:multiLevelType w:val="hybridMultilevel"/>
    <w:lvl w:ilvl="0">
      <w:lvlJc w:val="left"/>
      <w:lvlText w:val="(%1)"/>
      <w:numFmt w:val="lowerLetter"/>
      <w:start w:val="3"/>
    </w:lvl>
    <w:lvl w:ilvl="1">
      <w:lvlJc w:val="left"/>
      <w:lvlText w:val="%2"/>
      <w:numFmt w:val="lowerRoman"/>
      <w:start w:val="1"/>
    </w:lvl>
  </w:abstractNum>
  <w:abstractNum w:abstractNumId="19">
    <w:nsid w:val="75A2A8D4"/>
    <w:multiLevelType w:val="hybridMultilevel"/>
    <w:lvl w:ilvl="0">
      <w:lvlJc w:val="left"/>
      <w:lvlText w:val="(%1)"/>
      <w:numFmt w:val="lowerLetter"/>
      <w:start w:val="9"/>
    </w:lvl>
    <w:lvl w:ilvl="1">
      <w:lvlJc w:val="left"/>
      <w:lvlText w:val="(%2)"/>
      <w:numFmt w:val="lowerRoman"/>
      <w:start w:val="2"/>
    </w:lvl>
  </w:abstractNum>
  <w:abstractNum w:abstractNumId="20">
    <w:nsid w:val="8EDBDAB"/>
    <w:multiLevelType w:val="hybridMultilevel"/>
    <w:lvl w:ilvl="0">
      <w:lvlJc w:val="left"/>
      <w:lvlText w:val="(%1)"/>
      <w:numFmt w:val="lowerLetter"/>
      <w:start w:val="4"/>
    </w:lvl>
    <w:lvl w:ilvl="1">
      <w:lvlJc w:val="left"/>
      <w:lvlText w:val="(%2)"/>
      <w:numFmt w:val="lowerLetter"/>
      <w:start w:val="6"/>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8"/>
    </w:lvl>
  </w:abstractNum>
  <w:abstractNum w:abstractNumId="23">
    <w:nsid w:val="B03E0C6"/>
    <w:multiLevelType w:val="hybridMultilevel"/>
    <w:lvl w:ilvl="0">
      <w:lvlJc w:val="left"/>
      <w:lvlText w:val="%1."/>
      <w:numFmt w:val="decimal"/>
      <w:start w:val="11"/>
    </w:lvl>
  </w:abstractNum>
  <w:abstractNum w:abstractNumId="24">
    <w:nsid w:val="189A769B"/>
    <w:multiLevelType w:val="hybridMultilevel"/>
    <w:lvl w:ilvl="0">
      <w:lvlJc w:val="left"/>
      <w:lvlText w:val="%1."/>
      <w:numFmt w:val="decimal"/>
      <w:start w:val="14"/>
    </w:lvl>
  </w:abstractNum>
  <w:abstractNum w:abstractNumId="25">
    <w:nsid w:val="54E49EB4"/>
    <w:multiLevelType w:val="hybridMultilevel"/>
    <w:lvl w:ilvl="0">
      <w:lvlJc w:val="left"/>
      <w:lvlText w:val="%1."/>
      <w:numFmt w:val="decimal"/>
      <w:start w:val="15"/>
    </w:lvl>
  </w:abstractNum>
  <w:abstractNum w:abstractNumId="26">
    <w:nsid w:val="71F32454"/>
    <w:multiLevelType w:val="hybridMultilevel"/>
    <w:lvl w:ilvl="0">
      <w:lvlJc w:val="left"/>
      <w:lvlText w:val="%1."/>
      <w:numFmt w:val="decimal"/>
      <w:start w:val="16"/>
    </w:lvl>
  </w:abstractNum>
  <w:abstractNum w:abstractNumId="27">
    <w:nsid w:val="2CA88611"/>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2022-10-07T07:33:35Z</dcterms:created>
  <dcterms:modified xsi:type="dcterms:W3CDTF">2022-10-07T07:33:35Z</dcterms:modified>
</cp:coreProperties>
</file>