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Lang Andrew Kennedy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CTO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114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09/30/2013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4,008</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2.8802</w:t>
            </w:r>
          </w:p>
        </w:tc>
        <w:tc>
          <w:tcPr>
            <w:tcW w:w="120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rPr>
              <w:t>2,774,413</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4"/>
            <w:vMerge w:val="restart"/>
          </w:tcPr>
          <w:p>
            <w:pPr>
              <w:ind w:left="60"/>
              <w:spacing w:after="0"/>
              <w:rPr>
                <w:sz w:val="20"/>
                <w:szCs w:val="20"/>
                <w:color w:val="auto"/>
              </w:rPr>
            </w:pPr>
            <w:r>
              <w:rPr>
                <w:rFonts w:ascii="Arial" w:cs="Arial" w:eastAsia="Arial" w:hAnsi="Arial"/>
                <w:sz w:val="18"/>
                <w:szCs w:val="18"/>
                <w:color w:val="0000FF"/>
                <w:w w:val="91"/>
              </w:rPr>
              <w:t>Common Stock, $0.01 par value per share</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199"/>
              <w:spacing w:after="0"/>
              <w:rPr>
                <w:sz w:val="20"/>
                <w:szCs w:val="20"/>
                <w:color w:val="auto"/>
              </w:rPr>
            </w:pPr>
            <w:r>
              <w:rPr>
                <w:rFonts w:ascii="Arial" w:cs="Arial" w:eastAsia="Arial" w:hAnsi="Arial"/>
                <w:sz w:val="18"/>
                <w:szCs w:val="18"/>
                <w:color w:val="0000FF"/>
              </w:rPr>
              <w:t>2,931,752</w:t>
            </w:r>
          </w:p>
        </w:tc>
        <w:tc>
          <w:tcPr>
            <w:tcW w:w="300" w:type="dxa"/>
            <w:vAlign w:val="bottom"/>
          </w:tcPr>
          <w:p>
            <w:pPr>
              <w:spacing w:after="0"/>
              <w:rPr>
                <w:sz w:val="18"/>
                <w:szCs w:val="18"/>
                <w:color w:val="auto"/>
              </w:rPr>
            </w:pPr>
          </w:p>
        </w:tc>
        <w:tc>
          <w:tcPr>
            <w:tcW w:w="700" w:type="dxa"/>
            <w:vAlign w:val="bottom"/>
            <w:vMerge w:val="restart"/>
          </w:tcPr>
          <w:p>
            <w:pPr>
              <w:ind w:left="14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spacing w:after="0"/>
              <w:rPr>
                <w:sz w:val="20"/>
                <w:szCs w:val="20"/>
                <w:color w:val="auto"/>
              </w:rPr>
            </w:pPr>
            <w:r>
              <w:rPr>
                <w:rFonts w:ascii="Arial" w:cs="Arial" w:eastAsia="Arial" w:hAnsi="Arial"/>
                <w:sz w:val="18"/>
                <w:szCs w:val="18"/>
                <w:color w:val="0000FF"/>
              </w:rPr>
              <w:t>Innovation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60" w:type="dxa"/>
            <w:vAlign w:val="bottom"/>
            <w:gridSpan w:val="2"/>
            <w:vMerge w:val="restart"/>
          </w:tcPr>
          <w:p>
            <w:pPr>
              <w:spacing w:after="0"/>
              <w:rPr>
                <w:sz w:val="20"/>
                <w:szCs w:val="20"/>
                <w:color w:val="auto"/>
              </w:rPr>
            </w:pPr>
            <w:r>
              <w:rPr>
                <w:rFonts w:ascii="Arial" w:cs="Arial" w:eastAsia="Arial" w:hAnsi="Arial"/>
                <w:sz w:val="18"/>
                <w:szCs w:val="18"/>
                <w:color w:val="0000FF"/>
              </w:rPr>
              <w:t>Spring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960" w:type="dxa"/>
            <w:vAlign w:val="bottom"/>
            <w:gridSpan w:val="8"/>
          </w:tcPr>
          <w:p>
            <w:pPr>
              <w:ind w:left="10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Of which, 117,188 shares of common stock are represented by unvested restricted stock units.</w:t>
      </w:r>
    </w:p>
    <w:p>
      <w:pPr>
        <w:spacing w:after="0" w:line="41"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Lang is the manager of Innovation Spring LLC ("Innovation Spring") and has the sole power to dispose or direct the disposition of the securities held by Innovation Spring. Innovation Spring Trust is the sole member and 100% owner of Innovation Spring and has the sole power to vote or direct the vote over the securities held by Innovation Spring. Mr. Lang does not have power to vote or direct the vote over the securities held by Innovation Spring.</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The transactions reported in this Form 4 were effected pursuant to a Rule 10b5-1 trading plan adopted by the reporting person on June 21, 2013 to cover tax liabilities.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Andrew Kennedy Lang</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10/02/2013</w:t>
            </w: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67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2019-12-17T07:19:41Z</dcterms:created>
  <dcterms:modified xsi:type="dcterms:W3CDTF">2019-12-17T07:19:41Z</dcterms:modified>
</cp:coreProperties>
</file>