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3740" w:right="1580" w:hanging="3732"/>
        <w:spacing w:after="0" w:line="473" w:lineRule="auto"/>
        <w:tabs>
          <w:tab w:leader="none" w:pos="692"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2014</w:t>
      </w:r>
    </w:p>
    <w:p>
      <w:pPr>
        <w:spacing w:after="0" w:line="30" w:lineRule="exact"/>
        <w:rPr>
          <w:sz w:val="24"/>
          <w:szCs w:val="24"/>
          <w:color w:val="auto"/>
        </w:rPr>
      </w:pPr>
    </w:p>
    <w:p>
      <w:pPr>
        <w:ind w:left="4460" w:right="1560" w:hanging="4452"/>
        <w:spacing w:after="0" w:line="501" w:lineRule="auto"/>
        <w:tabs>
          <w:tab w:leader="none" w:pos="70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jc w:val="center"/>
        <w:spacing w:after="0"/>
        <w:rPr>
          <w:sz w:val="20"/>
          <w:szCs w:val="20"/>
          <w:color w:val="auto"/>
        </w:rPr>
      </w:pPr>
      <w:r>
        <w:rPr>
          <w:rFonts w:ascii="Arial" w:cs="Arial" w:eastAsia="Arial" w:hAnsi="Arial"/>
          <w:sz w:val="18"/>
          <w:szCs w:val="18"/>
          <w:b w:val="1"/>
          <w:bCs w:val="1"/>
          <w:color w:val="auto"/>
        </w:rPr>
        <w:t>Commission file number: 001-34785</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VRINGO,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900" w:type="dxa"/>
            <w:vAlign w:val="bottom"/>
            <w:gridSpan w:val="5"/>
          </w:tcPr>
          <w:p>
            <w:pPr>
              <w:jc w:val="center"/>
              <w:ind w:right="2400"/>
              <w:spacing w:after="0"/>
              <w:rPr>
                <w:sz w:val="20"/>
                <w:szCs w:val="20"/>
                <w:color w:val="auto"/>
              </w:rPr>
            </w:pPr>
            <w:r>
              <w:rPr>
                <w:rFonts w:ascii="Arial" w:cs="Arial" w:eastAsia="Arial" w:hAnsi="Arial"/>
                <w:sz w:val="18"/>
                <w:szCs w:val="18"/>
                <w:b w:val="1"/>
                <w:bCs w:val="1"/>
                <w:color w:val="auto"/>
                <w:w w:val="93"/>
              </w:rPr>
              <w:t>Delaware</w:t>
            </w:r>
          </w:p>
        </w:tc>
        <w:tc>
          <w:tcPr>
            <w:tcW w:w="3520" w:type="dxa"/>
            <w:vAlign w:val="bottom"/>
          </w:tcPr>
          <w:p>
            <w:pPr>
              <w:jc w:val="right"/>
              <w:ind w:right="2210"/>
              <w:spacing w:after="0"/>
              <w:rPr>
                <w:sz w:val="20"/>
                <w:szCs w:val="20"/>
                <w:color w:val="auto"/>
              </w:rPr>
            </w:pPr>
            <w:r>
              <w:rPr>
                <w:rFonts w:ascii="Arial" w:cs="Arial" w:eastAsia="Arial" w:hAnsi="Arial"/>
                <w:sz w:val="18"/>
                <w:szCs w:val="18"/>
                <w:b w:val="1"/>
                <w:bCs w:val="1"/>
                <w:color w:val="auto"/>
              </w:rPr>
              <w:t>20-4988129</w:t>
            </w:r>
          </w:p>
        </w:tc>
      </w:tr>
      <w:tr>
        <w:trPr>
          <w:trHeight w:val="191"/>
        </w:trPr>
        <w:tc>
          <w:tcPr>
            <w:tcW w:w="55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1"/>
              </w:rPr>
              <w:t>(State or other jurisdiction of</w:t>
            </w:r>
          </w:p>
        </w:tc>
        <w:tc>
          <w:tcPr>
            <w:tcW w:w="46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3520" w:type="dxa"/>
            <w:vAlign w:val="bottom"/>
            <w:tcBorders>
              <w:top w:val="single" w:sz="8" w:color="auto"/>
            </w:tcBorders>
          </w:tcPr>
          <w:p>
            <w:pPr>
              <w:jc w:val="center"/>
              <w:ind w:right="1850"/>
              <w:spacing w:after="0" w:line="191"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7900" w:type="dxa"/>
            <w:vAlign w:val="bottom"/>
            <w:gridSpan w:val="5"/>
          </w:tcPr>
          <w:p>
            <w:pPr>
              <w:jc w:val="center"/>
              <w:ind w:right="2400"/>
              <w:spacing w:after="0"/>
              <w:rPr>
                <w:sz w:val="20"/>
                <w:szCs w:val="20"/>
                <w:color w:val="auto"/>
              </w:rPr>
            </w:pPr>
            <w:r>
              <w:rPr>
                <w:rFonts w:ascii="Arial" w:cs="Arial" w:eastAsia="Arial" w:hAnsi="Arial"/>
                <w:sz w:val="18"/>
                <w:szCs w:val="18"/>
                <w:b w:val="1"/>
                <w:bCs w:val="1"/>
                <w:color w:val="auto"/>
                <w:w w:val="91"/>
              </w:rPr>
              <w:t>incorporation or organization)</w:t>
            </w:r>
          </w:p>
        </w:tc>
        <w:tc>
          <w:tcPr>
            <w:tcW w:w="3520" w:type="dxa"/>
            <w:vAlign w:val="bottom"/>
          </w:tcPr>
          <w:p>
            <w:pPr>
              <w:jc w:val="center"/>
              <w:ind w:right="1850"/>
              <w:spacing w:after="0"/>
              <w:rPr>
                <w:sz w:val="20"/>
                <w:szCs w:val="20"/>
                <w:color w:val="auto"/>
              </w:rPr>
            </w:pPr>
            <w:r>
              <w:rPr>
                <w:rFonts w:ascii="Arial" w:cs="Arial" w:eastAsia="Arial" w:hAnsi="Arial"/>
                <w:sz w:val="18"/>
                <w:szCs w:val="18"/>
                <w:b w:val="1"/>
                <w:bCs w:val="1"/>
                <w:color w:val="auto"/>
                <w:w w:val="93"/>
              </w:rPr>
              <w:t>Identification No.)</w:t>
            </w:r>
          </w:p>
        </w:tc>
      </w:tr>
      <w:tr>
        <w:trPr>
          <w:trHeight w:val="432"/>
        </w:trPr>
        <w:tc>
          <w:tcPr>
            <w:tcW w:w="7900" w:type="dxa"/>
            <w:vAlign w:val="bottom"/>
            <w:gridSpan w:val="5"/>
          </w:tcPr>
          <w:p>
            <w:pPr>
              <w:jc w:val="center"/>
              <w:ind w:right="2420"/>
              <w:spacing w:after="0"/>
              <w:rPr>
                <w:sz w:val="20"/>
                <w:szCs w:val="20"/>
                <w:color w:val="auto"/>
              </w:rPr>
            </w:pPr>
            <w:r>
              <w:rPr>
                <w:rFonts w:ascii="Arial" w:cs="Arial" w:eastAsia="Arial" w:hAnsi="Arial"/>
                <w:sz w:val="18"/>
                <w:szCs w:val="18"/>
                <w:b w:val="1"/>
                <w:bCs w:val="1"/>
                <w:color w:val="auto"/>
                <w:w w:val="91"/>
              </w:rPr>
              <w:t>780 3rd Avenue, 12th Floor, New York, NY</w:t>
            </w:r>
          </w:p>
        </w:tc>
        <w:tc>
          <w:tcPr>
            <w:tcW w:w="3520" w:type="dxa"/>
            <w:vAlign w:val="bottom"/>
          </w:tcPr>
          <w:p>
            <w:pPr>
              <w:jc w:val="right"/>
              <w:ind w:right="2410"/>
              <w:spacing w:after="0"/>
              <w:rPr>
                <w:sz w:val="20"/>
                <w:szCs w:val="20"/>
                <w:color w:val="auto"/>
              </w:rPr>
            </w:pPr>
            <w:r>
              <w:rPr>
                <w:rFonts w:ascii="Arial" w:cs="Arial" w:eastAsia="Arial" w:hAnsi="Arial"/>
                <w:sz w:val="18"/>
                <w:szCs w:val="18"/>
                <w:b w:val="1"/>
                <w:bCs w:val="1"/>
                <w:color w:val="auto"/>
              </w:rPr>
              <w:t>10017</w:t>
            </w:r>
          </w:p>
        </w:tc>
      </w:tr>
      <w:tr>
        <w:trPr>
          <w:trHeight w:val="228"/>
        </w:trPr>
        <w:tc>
          <w:tcPr>
            <w:tcW w:w="55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4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3520" w:type="dxa"/>
            <w:vAlign w:val="bottom"/>
            <w:tcBorders>
              <w:top w:val="single" w:sz="8" w:color="auto"/>
            </w:tcBorders>
          </w:tcPr>
          <w:p>
            <w:pPr>
              <w:jc w:val="center"/>
              <w:ind w:right="1870"/>
              <w:spacing w:after="0"/>
              <w:rPr>
                <w:sz w:val="20"/>
                <w:szCs w:val="20"/>
                <w:color w:val="auto"/>
              </w:rPr>
            </w:pPr>
            <w:r>
              <w:rPr>
                <w:rFonts w:ascii="Arial" w:cs="Arial" w:eastAsia="Arial" w:hAnsi="Arial"/>
                <w:sz w:val="18"/>
                <w:szCs w:val="18"/>
                <w:b w:val="1"/>
                <w:bCs w:val="1"/>
                <w:color w:val="auto"/>
                <w:w w:val="94"/>
              </w:rPr>
              <w:t>(Zip Code)</w:t>
            </w:r>
          </w:p>
        </w:tc>
      </w:tr>
      <w:tr>
        <w:trPr>
          <w:trHeight w:val="373"/>
        </w:trPr>
        <w:tc>
          <w:tcPr>
            <w:tcW w:w="6280" w:type="dxa"/>
            <w:vAlign w:val="bottom"/>
            <w:gridSpan w:val="4"/>
          </w:tcPr>
          <w:p>
            <w:pPr>
              <w:jc w:val="right"/>
              <w:spacing w:after="0"/>
              <w:rPr>
                <w:sz w:val="20"/>
                <w:szCs w:val="20"/>
                <w:color w:val="auto"/>
              </w:rPr>
            </w:pPr>
            <w:r>
              <w:rPr>
                <w:rFonts w:ascii="Arial" w:cs="Arial" w:eastAsia="Arial" w:hAnsi="Arial"/>
                <w:sz w:val="18"/>
                <w:szCs w:val="18"/>
                <w:b w:val="1"/>
                <w:bCs w:val="1"/>
                <w:color w:val="auto"/>
              </w:rPr>
              <w:t>(212) 309-7549</w:t>
            </w:r>
          </w:p>
        </w:tc>
        <w:tc>
          <w:tcPr>
            <w:tcW w:w="16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0"/>
        </w:trPr>
        <w:tc>
          <w:tcPr>
            <w:tcW w:w="516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237"/>
        </w:trPr>
        <w:tc>
          <w:tcPr>
            <w:tcW w:w="7900" w:type="dxa"/>
            <w:vAlign w:val="bottom"/>
            <w:gridSpan w:val="5"/>
          </w:tcPr>
          <w:p>
            <w:pPr>
              <w:jc w:val="center"/>
              <w:ind w:left="3450"/>
              <w:spacing w:after="0"/>
              <w:rPr>
                <w:sz w:val="20"/>
                <w:szCs w:val="20"/>
                <w:color w:val="auto"/>
              </w:rPr>
            </w:pPr>
            <w:r>
              <w:rPr>
                <w:rFonts w:ascii="Arial" w:cs="Arial" w:eastAsia="Arial" w:hAnsi="Arial"/>
                <w:sz w:val="18"/>
                <w:szCs w:val="18"/>
                <w:b w:val="1"/>
                <w:bCs w:val="1"/>
                <w:color w:val="auto"/>
                <w:w w:val="90"/>
              </w:rPr>
              <w:t>(Registrant’s Telephone Number, Including Area Code)</w:t>
            </w:r>
          </w:p>
        </w:tc>
        <w:tc>
          <w:tcPr>
            <w:tcW w:w="3520" w:type="dxa"/>
            <w:vAlign w:val="bottom"/>
          </w:tcPr>
          <w:p>
            <w:pPr>
              <w:spacing w:after="0"/>
              <w:rPr>
                <w:sz w:val="20"/>
                <w:szCs w:val="20"/>
                <w:color w:val="auto"/>
              </w:rPr>
            </w:pPr>
          </w:p>
        </w:tc>
      </w:tr>
    </w:tbl>
    <w:p>
      <w:pPr>
        <w:spacing w:after="0" w:line="202"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445" w:right="239" w:bottom="1440" w:gutter="0" w:footer="0" w:header="0"/>
        </w:sectPr>
      </w:pP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4"/>
          <w:szCs w:val="24"/>
          <w:color w:val="auto"/>
        </w:rPr>
      </w:pPr>
    </w:p>
    <w:p>
      <w:pPr>
        <w:sectPr>
          <w:pgSz w:w="11900" w:h="16838" w:orient="portrait"/>
          <w:cols w:equalWidth="0" w:num="4">
            <w:col w:w="1920" w:space="720"/>
            <w:col w:w="4180" w:space="720"/>
            <w:col w:w="2600" w:space="720"/>
            <w:col w:w="560"/>
          </w:cols>
          <w:pgMar w:left="240" w:top="445"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920" w:space="720"/>
            <w:col w:w="160" w:space="40"/>
            <w:col w:w="3980" w:space="720"/>
            <w:col w:w="2600" w:space="720"/>
            <w:col w:w="560"/>
          </w:cols>
          <w:pgMar w:left="240" w:top="445" w:right="239" w:bottom="1440" w:gutter="0" w:footer="0" w:header="0"/>
          <w:type w:val="continuous"/>
        </w:sectPr>
      </w:pPr>
    </w:p>
    <w:p>
      <w:pPr>
        <w:spacing w:after="0" w:line="16" w:lineRule="exact"/>
        <w:rPr>
          <w:sz w:val="24"/>
          <w:szCs w:val="24"/>
          <w:color w:val="auto"/>
        </w:rPr>
      </w:pPr>
    </w:p>
    <w:p>
      <w:pPr>
        <w:spacing w:after="0" w:line="196" w:lineRule="exact"/>
        <w:tabs>
          <w:tab w:leader="none" w:pos="83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92"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8880" w:space="220"/>
            <w:col w:w="2320"/>
          </w:cols>
          <w:pgMar w:left="240" w:top="445" w:right="239" w:bottom="1440" w:gutter="0" w:footer="0" w:header="0"/>
          <w:type w:val="continuous"/>
        </w:sectPr>
      </w:pP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As of October 24, 2014, 93,175,380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40" w:type="dxa"/>
            <w:vAlign w:val="bottom"/>
            <w:gridSpan w:val="3"/>
          </w:tcPr>
          <w:p>
            <w:pPr>
              <w:jc w:val="center"/>
              <w:ind w:right="2880"/>
              <w:spacing w:after="0"/>
              <w:rPr>
                <w:sz w:val="20"/>
                <w:szCs w:val="20"/>
                <w:color w:val="auto"/>
              </w:rPr>
            </w:pPr>
            <w:r>
              <w:rPr>
                <w:rFonts w:ascii="Arial" w:cs="Arial" w:eastAsia="Arial" w:hAnsi="Arial"/>
                <w:sz w:val="18"/>
                <w:szCs w:val="18"/>
                <w:b w:val="1"/>
                <w:bCs w:val="1"/>
                <w:color w:val="auto"/>
              </w:rPr>
              <w:t>VRINGO, INC.</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40" w:type="dxa"/>
            <w:vAlign w:val="bottom"/>
            <w:gridSpan w:val="3"/>
          </w:tcPr>
          <w:p>
            <w:pPr>
              <w:jc w:val="center"/>
              <w:ind w:right="2880"/>
              <w:spacing w:after="0"/>
              <w:rPr>
                <w:sz w:val="20"/>
                <w:szCs w:val="20"/>
                <w:color w:val="auto"/>
              </w:rPr>
            </w:pPr>
            <w:r>
              <w:rPr>
                <w:rFonts w:ascii="Arial" w:cs="Arial" w:eastAsia="Arial" w:hAnsi="Arial"/>
                <w:sz w:val="18"/>
                <w:szCs w:val="18"/>
                <w:b w:val="1"/>
                <w:bCs w:val="1"/>
                <w:color w:val="auto"/>
                <w:w w:val="89"/>
              </w:rPr>
              <w:t>Table of Contents</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60" w:type="dxa"/>
            <w:vAlign w:val="bottom"/>
            <w:gridSpan w:val="2"/>
          </w:tcPr>
          <w:p>
            <w:pPr>
              <w:ind w:left="78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4"/>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540" w:type="dxa"/>
            <w:vAlign w:val="bottom"/>
            <w:shd w:val="clear" w:color="auto" w:fill="CCEEFF"/>
          </w:tcPr>
          <w:p>
            <w:pPr>
              <w:spacing w:after="0"/>
              <w:rPr>
                <w:sz w:val="15"/>
                <w:szCs w:val="15"/>
                <w:color w:val="auto"/>
              </w:rPr>
            </w:pPr>
          </w:p>
        </w:tc>
        <w:tc>
          <w:tcPr>
            <w:tcW w:w="8560" w:type="dxa"/>
            <w:vAlign w:val="bottom"/>
            <w:gridSpan w:val="1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540" w:type="dxa"/>
            <w:vAlign w:val="bottom"/>
          </w:tcPr>
          <w:p>
            <w:pPr>
              <w:spacing w:after="0"/>
              <w:rPr>
                <w:sz w:val="15"/>
                <w:szCs w:val="15"/>
                <w:color w:val="auto"/>
              </w:rPr>
            </w:pPr>
          </w:p>
        </w:tc>
        <w:tc>
          <w:tcPr>
            <w:tcW w:w="8560" w:type="dxa"/>
            <w:vAlign w:val="bottom"/>
            <w:gridSpan w:val="12"/>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540" w:type="dxa"/>
            <w:vAlign w:val="bottom"/>
            <w:shd w:val="clear" w:color="auto" w:fill="CCEEFF"/>
          </w:tcPr>
          <w:p>
            <w:pPr>
              <w:spacing w:after="0"/>
              <w:rPr>
                <w:sz w:val="17"/>
                <w:szCs w:val="17"/>
                <w:color w:val="auto"/>
              </w:rPr>
            </w:pPr>
          </w:p>
        </w:tc>
        <w:tc>
          <w:tcPr>
            <w:tcW w:w="8560" w:type="dxa"/>
            <w:vAlign w:val="bottom"/>
            <w:gridSpan w:val="12"/>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Quantitative and Qualitative Disclosures About Market Risk</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4.</w:t>
            </w:r>
          </w:p>
        </w:tc>
        <w:tc>
          <w:tcPr>
            <w:tcW w:w="540" w:type="dxa"/>
            <w:vAlign w:val="bottom"/>
            <w:tcBorders>
              <w:top w:val="single" w:sz="8" w:color="CCEEFF"/>
            </w:tcBorders>
          </w:tcPr>
          <w:p>
            <w:pPr>
              <w:spacing w:after="0"/>
              <w:rPr>
                <w:sz w:val="15"/>
                <w:szCs w:val="15"/>
                <w:color w:val="auto"/>
              </w:rPr>
            </w:pPr>
          </w:p>
        </w:tc>
        <w:tc>
          <w:tcPr>
            <w:tcW w:w="436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4200" w:type="dxa"/>
            <w:vAlign w:val="bottom"/>
            <w:tcBorders>
              <w:top w:val="single" w:sz="8" w:color="CCEEFF"/>
            </w:tcBorders>
            <w:gridSpan w:val="2"/>
          </w:tcPr>
          <w:p>
            <w:pPr>
              <w:spacing w:after="0"/>
              <w:rPr>
                <w:sz w:val="15"/>
                <w:szCs w:val="15"/>
                <w:color w:val="auto"/>
              </w:rPr>
            </w:pPr>
          </w:p>
        </w:tc>
        <w:tc>
          <w:tcPr>
            <w:tcW w:w="11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60" w:type="dxa"/>
            <w:vAlign w:val="bottom"/>
            <w:gridSpan w:val="14"/>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PART II. OTHER INFORMATION</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9100" w:type="dxa"/>
            <w:vAlign w:val="bottom"/>
            <w:gridSpan w:val="13"/>
          </w:tcPr>
          <w:p>
            <w:pPr>
              <w:ind w:left="54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540" w:type="dxa"/>
            <w:vAlign w:val="bottom"/>
            <w:shd w:val="clear" w:color="auto" w:fill="CCEEFF"/>
          </w:tcPr>
          <w:p>
            <w:pPr>
              <w:spacing w:after="0"/>
              <w:rPr>
                <w:sz w:val="15"/>
                <w:szCs w:val="15"/>
                <w:color w:val="auto"/>
              </w:rPr>
            </w:pPr>
          </w:p>
        </w:tc>
        <w:tc>
          <w:tcPr>
            <w:tcW w:w="8560" w:type="dxa"/>
            <w:vAlign w:val="bottom"/>
            <w:gridSpan w:val="12"/>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540" w:type="dxa"/>
            <w:vAlign w:val="bottom"/>
          </w:tcPr>
          <w:p>
            <w:pPr>
              <w:spacing w:after="0"/>
              <w:rPr>
                <w:sz w:val="15"/>
                <w:szCs w:val="15"/>
                <w:color w:val="auto"/>
              </w:rPr>
            </w:pPr>
          </w:p>
        </w:tc>
        <w:tc>
          <w:tcPr>
            <w:tcW w:w="8560" w:type="dxa"/>
            <w:vAlign w:val="bottom"/>
            <w:gridSpan w:val="12"/>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Unregistered Sales of Equity Securities and Use of Proceeds</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540" w:type="dxa"/>
            <w:vAlign w:val="bottom"/>
            <w:shd w:val="clear" w:color="auto" w:fill="CCEEFF"/>
          </w:tcPr>
          <w:p>
            <w:pPr>
              <w:spacing w:after="0"/>
              <w:rPr>
                <w:sz w:val="17"/>
                <w:szCs w:val="17"/>
                <w:color w:val="auto"/>
              </w:rPr>
            </w:pPr>
          </w:p>
        </w:tc>
        <w:tc>
          <w:tcPr>
            <w:tcW w:w="8560" w:type="dxa"/>
            <w:vAlign w:val="bottom"/>
            <w:gridSpan w:val="12"/>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Defaults Upon Senior Securities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4.</w:t>
            </w:r>
          </w:p>
        </w:tc>
        <w:tc>
          <w:tcPr>
            <w:tcW w:w="540" w:type="dxa"/>
            <w:vAlign w:val="bottom"/>
            <w:tcBorders>
              <w:top w:val="single" w:sz="8" w:color="CCEEFF"/>
            </w:tcBorders>
          </w:tcPr>
          <w:p>
            <w:pPr>
              <w:spacing w:after="0"/>
              <w:rPr>
                <w:sz w:val="15"/>
                <w:szCs w:val="15"/>
                <w:color w:val="auto"/>
              </w:rPr>
            </w:pPr>
          </w:p>
        </w:tc>
        <w:tc>
          <w:tcPr>
            <w:tcW w:w="232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Mine Safety Disclosures</w:t>
              </w:r>
            </w:hyperlink>
          </w:p>
        </w:tc>
        <w:tc>
          <w:tcPr>
            <w:tcW w:w="6240" w:type="dxa"/>
            <w:vAlign w:val="bottom"/>
            <w:tcBorders>
              <w:top w:val="single" w:sz="8" w:color="CCEEFF"/>
            </w:tcBorders>
            <w:gridSpan w:val="3"/>
          </w:tcPr>
          <w:p>
            <w:pPr>
              <w:spacing w:after="0"/>
              <w:rPr>
                <w:sz w:val="15"/>
                <w:szCs w:val="15"/>
                <w:color w:val="auto"/>
              </w:rPr>
            </w:pPr>
          </w:p>
        </w:tc>
        <w:tc>
          <w:tcPr>
            <w:tcW w:w="11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5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Other Information</w:t>
              </w:r>
            </w:hyperlink>
          </w:p>
        </w:tc>
        <w:tc>
          <w:tcPr>
            <w:tcW w:w="7240" w:type="dxa"/>
            <w:vAlign w:val="bottom"/>
            <w:tcBorders>
              <w:bottom w:val="single" w:sz="8" w:color="CCEEFF"/>
            </w:tcBorders>
            <w:gridSpan w:val="7"/>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540" w:type="dxa"/>
            <w:vAlign w:val="bottom"/>
          </w:tcPr>
          <w:p>
            <w:pPr>
              <w:spacing w:after="0"/>
              <w:rPr>
                <w:sz w:val="15"/>
                <w:szCs w:val="15"/>
                <w:color w:val="auto"/>
              </w:rPr>
            </w:pPr>
          </w:p>
        </w:tc>
        <w:tc>
          <w:tcPr>
            <w:tcW w:w="8560" w:type="dxa"/>
            <w:vAlign w:val="bottom"/>
            <w:gridSpan w:val="12"/>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3760" w:type="dxa"/>
            <w:vAlign w:val="bottom"/>
            <w:tcBorders>
              <w:bottom w:val="single" w:sz="8" w:color="auto"/>
            </w:tcBorders>
            <w:gridSpan w:val="9"/>
          </w:tcPr>
          <w:p>
            <w:pPr>
              <w:jc w:val="center"/>
              <w:ind w:left="2930"/>
              <w:spacing w:after="0"/>
              <w:rPr>
                <w:sz w:val="20"/>
                <w:szCs w:val="20"/>
                <w:color w:val="auto"/>
              </w:rPr>
            </w:pPr>
            <w:r>
              <w:rPr>
                <w:rFonts w:ascii="Arial" w:cs="Arial" w:eastAsia="Arial" w:hAnsi="Arial"/>
                <w:sz w:val="18"/>
                <w:szCs w:val="18"/>
                <w:color w:val="auto"/>
                <w:w w:val="99"/>
              </w:rPr>
              <w:t>2</w:t>
            </w:r>
          </w:p>
        </w:tc>
        <w:tc>
          <w:tcPr>
            <w:tcW w:w="2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ind w:left="4120"/>
              <w:spacing w:after="0"/>
              <w:rPr>
                <w:sz w:val="20"/>
                <w:szCs w:val="20"/>
                <w:color w:val="auto"/>
              </w:rPr>
            </w:pPr>
            <w:r>
              <w:rPr>
                <w:rFonts w:ascii="Arial" w:cs="Arial" w:eastAsia="Arial" w:hAnsi="Arial"/>
                <w:sz w:val="18"/>
                <w:szCs w:val="18"/>
                <w:b w:val="1"/>
                <w:bCs w:val="1"/>
                <w:color w:val="auto"/>
              </w:rPr>
              <w:t>Part I — FINANCIAL INFORMATION</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6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060" w:type="dxa"/>
            <w:vAlign w:val="bottom"/>
          </w:tcPr>
          <w:p>
            <w:pPr>
              <w:jc w:val="center"/>
              <w:ind w:left="3290"/>
              <w:spacing w:after="0"/>
              <w:rPr>
                <w:sz w:val="20"/>
                <w:szCs w:val="20"/>
                <w:color w:val="auto"/>
              </w:rPr>
            </w:pPr>
            <w:r>
              <w:rPr>
                <w:rFonts w:ascii="Arial" w:cs="Arial" w:eastAsia="Arial" w:hAnsi="Arial"/>
                <w:sz w:val="18"/>
                <w:szCs w:val="18"/>
                <w:b w:val="1"/>
                <w:bCs w:val="1"/>
                <w:color w:val="auto"/>
                <w:w w:val="90"/>
              </w:rPr>
              <w:t>Vringo, Inc. and Subsidiaries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060" w:type="dxa"/>
            <w:vAlign w:val="bottom"/>
          </w:tcPr>
          <w:p>
            <w:pPr>
              <w:jc w:val="center"/>
              <w:ind w:left="3290"/>
              <w:spacing w:after="0"/>
              <w:rPr>
                <w:sz w:val="20"/>
                <w:szCs w:val="20"/>
                <w:color w:val="auto"/>
              </w:rPr>
            </w:pPr>
            <w:r>
              <w:rPr>
                <w:rFonts w:ascii="Arial" w:cs="Arial" w:eastAsia="Arial" w:hAnsi="Arial"/>
                <w:sz w:val="18"/>
                <w:szCs w:val="18"/>
                <w:b w:val="1"/>
                <w:bCs w:val="1"/>
                <w:color w:val="auto"/>
                <w:w w:val="99"/>
              </w:rPr>
              <w:t>CONSOLIDATED BALANCE SHEETS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60" w:type="dxa"/>
            <w:vAlign w:val="bottom"/>
          </w:tcPr>
          <w:p>
            <w:pPr>
              <w:jc w:val="center"/>
              <w:ind w:left="329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8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September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December 31,</w:t>
            </w:r>
          </w:p>
        </w:tc>
      </w:tr>
      <w:tr>
        <w:trPr>
          <w:trHeight w:val="230"/>
        </w:trPr>
        <w:tc>
          <w:tcPr>
            <w:tcW w:w="8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(Unaudited)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r>
      <w:tr>
        <w:trPr>
          <w:trHeight w:val="210"/>
        </w:trPr>
        <w:tc>
          <w:tcPr>
            <w:tcW w:w="8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24,290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33,586</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Deposits with courts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2,304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w:t>
            </w:r>
          </w:p>
        </w:tc>
      </w:tr>
      <w:tr>
        <w:trPr>
          <w:trHeight w:val="210"/>
        </w:trPr>
        <w:tc>
          <w:tcPr>
            <w:tcW w:w="80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current assets</w:t>
            </w:r>
          </w:p>
        </w:tc>
        <w:tc>
          <w:tcPr>
            <w:tcW w:w="5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27,875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34,828</w:t>
            </w:r>
          </w:p>
        </w:tc>
        <w:tc>
          <w:tcPr>
            <w:tcW w:w="100" w:type="dxa"/>
            <w:vAlign w:val="bottom"/>
            <w:tcBorders>
              <w:bottom w:val="single" w:sz="8" w:color="CCEEFF"/>
            </w:tcBorders>
          </w:tcPr>
          <w:p>
            <w:pPr>
              <w:spacing w:after="0"/>
              <w:rPr>
                <w:sz w:val="18"/>
                <w:szCs w:val="18"/>
                <w:color w:val="auto"/>
              </w:rPr>
            </w:pPr>
          </w:p>
        </w:tc>
      </w:tr>
      <w:tr>
        <w:trPr>
          <w:trHeight w:val="182"/>
        </w:trPr>
        <w:tc>
          <w:tcPr>
            <w:tcW w:w="80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Property and equipment, at cost, net of $371 and $134 accumulated depreciation</w:t>
            </w: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as of September 30, 2014 and December 31, 2013, respectively</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Intangible assets, net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18,490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22,748</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65,757</w:t>
            </w: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Other assets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r>
      <w:tr>
        <w:trPr>
          <w:trHeight w:val="223"/>
        </w:trPr>
        <w:tc>
          <w:tcPr>
            <w:tcW w:w="8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877" w:right="239" w:bottom="1440" w:gutter="0" w:footer="0" w:header="0"/>
        </w:sectPr>
      </w:pPr>
    </w:p>
    <w:p>
      <w:pPr>
        <w:spacing w:after="0"/>
        <w:rPr>
          <w:sz w:val="20"/>
          <w:szCs w:val="20"/>
          <w:color w:val="auto"/>
        </w:rPr>
      </w:pPr>
      <w:r>
        <w:rPr>
          <w:rFonts w:ascii="Arial" w:cs="Arial" w:eastAsia="Arial" w:hAnsi="Arial"/>
          <w:sz w:val="18"/>
          <w:szCs w:val="18"/>
          <w:b w:val="1"/>
          <w:b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Accounts payable and accrued expenses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Derivative warrant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Total current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7,551</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5,445</w:t>
            </w:r>
          </w:p>
        </w:tc>
      </w:tr>
      <w:tr>
        <w:trPr>
          <w:trHeight w:val="230"/>
        </w:trPr>
        <w:tc>
          <w:tcPr>
            <w:tcW w:w="4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0"/>
        </w:trPr>
        <w:tc>
          <w:tcPr>
            <w:tcW w:w="4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5,488</w:t>
            </w:r>
          </w:p>
        </w:tc>
      </w:tr>
    </w:tbl>
    <w:p>
      <w:pPr>
        <w:spacing w:after="0" w:line="20" w:lineRule="exact"/>
        <w:rPr>
          <w:sz w:val="20"/>
          <w:szCs w:val="20"/>
          <w:color w:val="auto"/>
        </w:rPr>
      </w:pPr>
    </w:p>
    <w:p>
      <w:pPr>
        <w:sectPr>
          <w:pgSz w:w="11900" w:h="16838" w:orient="portrait"/>
          <w:cols w:equalWidth="0" w:num="2">
            <w:col w:w="7860" w:space="720"/>
            <w:col w:w="2840"/>
          </w:cols>
          <w:pgMar w:left="240" w:top="877"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8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Long-term liabilities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Derivative warrant liabilities</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607</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w w:val="90"/>
              </w:rPr>
              <w:t>Series A Convertible Preferred stock, $0.01 par value per share; 5,000,000 authorized; none issued and outstanding</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Common stock, $0.01 par value per share 150,000,000 authorized; 93,175,380 and 84,502,653 issued and</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September 30, 2014 and December 31, 2013, respectively</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931</w:t>
            </w: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213,550</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189,465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(109,562)</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(76,028)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104,919</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114,282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113,396</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Operating legal costs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Amortization and impairment of intangibles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w:t>
      </w:r>
    </w:p>
    <w:p>
      <w:pPr>
        <w:spacing w:after="0" w:line="20" w:lineRule="exact"/>
        <w:rPr>
          <w:sz w:val="20"/>
          <w:szCs w:val="20"/>
          <w:color w:val="auto"/>
        </w:rPr>
      </w:pPr>
      <w:r>
        <w:rPr>
          <w:sz w:val="20"/>
          <w:szCs w:val="20"/>
          <w:color w:val="auto"/>
        </w:rPr>
        <w:br w:type="column"/>
      </w:r>
    </w:p>
    <w:p>
      <w:pPr>
        <w:jc w:val="center"/>
        <w:ind w:right="3600"/>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ind w:right="360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1" w:lineRule="exact"/>
        <w:rPr>
          <w:sz w:val="20"/>
          <w:szCs w:val="20"/>
          <w:color w:val="auto"/>
        </w:rPr>
      </w:pPr>
    </w:p>
    <w:p>
      <w:pPr>
        <w:jc w:val="center"/>
        <w:ind w:right="36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6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tbl>
      <w:tblPr>
        <w:tblLayout w:type="fixed"/>
        <w:tblInd w:w="2020" w:type="dxa"/>
        <w:tblCellMar>
          <w:top w:w="0" w:type="dxa"/>
          <w:left w:w="0" w:type="dxa"/>
          <w:bottom w:w="0" w:type="dxa"/>
          <w:right w:w="0" w:type="dxa"/>
        </w:tblCellMar>
      </w:tblPr>
      <w:tr>
        <w:trPr>
          <w:trHeight w:val="216"/>
        </w:trPr>
        <w:tc>
          <w:tcPr>
            <w:tcW w:w="2340" w:type="dxa"/>
            <w:vAlign w:val="bottom"/>
            <w:gridSpan w:val="5"/>
          </w:tcPr>
          <w:p>
            <w:pPr>
              <w:jc w:val="center"/>
              <w:ind w:left="335"/>
              <w:spacing w:after="0"/>
              <w:rPr>
                <w:sz w:val="20"/>
                <w:szCs w:val="20"/>
                <w:color w:val="auto"/>
              </w:rPr>
            </w:pPr>
            <w:r>
              <w:rPr>
                <w:rFonts w:ascii="Arial" w:cs="Arial" w:eastAsia="Arial" w:hAnsi="Arial"/>
                <w:sz w:val="18"/>
                <w:szCs w:val="18"/>
                <w:color w:val="auto"/>
                <w:w w:val="89"/>
              </w:rPr>
              <w:t>Three months ended</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gridSpan w:val="5"/>
          </w:tcPr>
          <w:p>
            <w:pPr>
              <w:jc w:val="center"/>
              <w:ind w:right="300"/>
              <w:spacing w:after="0"/>
              <w:rPr>
                <w:sz w:val="20"/>
                <w:szCs w:val="20"/>
                <w:color w:val="auto"/>
              </w:rPr>
            </w:pPr>
            <w:r>
              <w:rPr>
                <w:rFonts w:ascii="Arial" w:cs="Arial" w:eastAsia="Arial" w:hAnsi="Arial"/>
                <w:sz w:val="18"/>
                <w:szCs w:val="18"/>
                <w:color w:val="auto"/>
                <w:w w:val="89"/>
              </w:rPr>
              <w:t>Nine months ended</w:t>
            </w:r>
          </w:p>
        </w:tc>
      </w:tr>
      <w:tr>
        <w:trPr>
          <w:trHeight w:val="230"/>
        </w:trPr>
        <w:tc>
          <w:tcPr>
            <w:tcW w:w="8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right="330"/>
              <w:spacing w:after="0"/>
              <w:rPr>
                <w:sz w:val="20"/>
                <w:szCs w:val="20"/>
                <w:color w:val="auto"/>
              </w:rPr>
            </w:pPr>
            <w:r>
              <w:rPr>
                <w:rFonts w:ascii="Arial" w:cs="Arial" w:eastAsia="Arial" w:hAnsi="Arial"/>
                <w:sz w:val="18"/>
                <w:szCs w:val="18"/>
                <w:color w:val="auto"/>
                <w:w w:val="88"/>
              </w:rPr>
              <w:t>September 30,</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color w:val="auto"/>
                <w:w w:val="88"/>
              </w:rPr>
              <w:t>September 30,</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840" w:type="dxa"/>
            <w:vAlign w:val="bottom"/>
          </w:tcPr>
          <w:p>
            <w:pPr>
              <w:jc w:val="right"/>
              <w:spacing w:after="0"/>
              <w:rPr>
                <w:sz w:val="20"/>
                <w:szCs w:val="20"/>
                <w:color w:val="auto"/>
              </w:rPr>
            </w:pPr>
            <w:r>
              <w:rPr>
                <w:rFonts w:ascii="Arial" w:cs="Arial" w:eastAsia="Arial" w:hAnsi="Arial"/>
                <w:sz w:val="18"/>
                <w:szCs w:val="18"/>
                <w:color w:val="auto"/>
              </w:rPr>
              <w:t>2014</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w w:val="89"/>
              </w:rPr>
              <w:t>2013</w:t>
            </w:r>
          </w:p>
        </w:tc>
        <w:tc>
          <w:tcPr>
            <w:tcW w:w="20" w:type="dxa"/>
            <w:vAlign w:val="bottom"/>
          </w:tcPr>
          <w:p>
            <w:pPr>
              <w:spacing w:after="0"/>
              <w:rPr>
                <w:sz w:val="19"/>
                <w:szCs w:val="19"/>
                <w:color w:val="auto"/>
              </w:rPr>
            </w:pPr>
          </w:p>
        </w:tc>
      </w:tr>
      <w:tr>
        <w:trPr>
          <w:trHeight w:val="210"/>
        </w:trPr>
        <w:tc>
          <w:tcPr>
            <w:tcW w:w="840" w:type="dxa"/>
            <w:vAlign w:val="bottom"/>
            <w:tcBorders>
              <w:top w:val="single" w:sz="8" w:color="auto"/>
              <w:bottom w:val="single" w:sz="8" w:color="auto"/>
            </w:tcBorders>
          </w:tcPr>
          <w:p>
            <w:pPr>
              <w:jc w:val="right"/>
              <w:ind w:right="67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2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20" w:type="dxa"/>
            <w:vAlign w:val="bottom"/>
            <w:tcBorders>
              <w:bottom w:val="single" w:sz="8" w:color="auto"/>
            </w:tcBorders>
          </w:tcPr>
          <w:p>
            <w:pPr>
              <w:spacing w:after="0"/>
              <w:rPr>
                <w:sz w:val="18"/>
                <w:szCs w:val="18"/>
                <w:color w:val="auto"/>
              </w:rPr>
            </w:pPr>
          </w:p>
        </w:tc>
      </w:tr>
      <w:tr>
        <w:trPr>
          <w:trHeight w:val="627"/>
        </w:trPr>
        <w:tc>
          <w:tcPr>
            <w:tcW w:w="8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8,865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5,414</w:t>
            </w:r>
          </w:p>
        </w:tc>
        <w:tc>
          <w:tcPr>
            <w:tcW w:w="26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19,722</w:t>
            </w:r>
          </w:p>
        </w:tc>
        <w:tc>
          <w:tcPr>
            <w:tcW w:w="44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15,603</w:t>
            </w:r>
          </w:p>
        </w:tc>
      </w:tr>
      <w:tr>
        <w:trPr>
          <w:trHeight w:val="216"/>
        </w:trPr>
        <w:tc>
          <w:tcPr>
            <w:tcW w:w="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2,333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860</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4,258</w:t>
            </w:r>
          </w:p>
        </w:tc>
        <w:tc>
          <w:tcPr>
            <w:tcW w:w="4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2,538</w:t>
            </w:r>
          </w:p>
        </w:tc>
      </w:tr>
      <w:tr>
        <w:trPr>
          <w:trHeight w:val="230"/>
        </w:trPr>
        <w:tc>
          <w:tcPr>
            <w:tcW w:w="84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542</w:t>
            </w: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670</w:t>
            </w:r>
          </w:p>
        </w:tc>
        <w:tc>
          <w:tcPr>
            <w:tcW w:w="4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1,279</w:t>
            </w:r>
          </w:p>
        </w:tc>
      </w:tr>
      <w:tr>
        <w:trPr>
          <w:trHeight w:val="230"/>
        </w:trPr>
        <w:tc>
          <w:tcPr>
            <w:tcW w:w="8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3,920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3,703</w:t>
            </w:r>
          </w:p>
        </w:tc>
        <w:tc>
          <w:tcPr>
            <w:tcW w:w="2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11,924</w:t>
            </w:r>
          </w:p>
        </w:tc>
        <w:tc>
          <w:tcPr>
            <w:tcW w:w="44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11,453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-985520</wp:posOffset>
            </wp:positionV>
            <wp:extent cx="7246620" cy="14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-694055</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-419735</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-145415</wp:posOffset>
            </wp:positionV>
            <wp:extent cx="72466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180" w:space="420"/>
            <w:col w:w="7820"/>
          </w:cols>
          <w:pgMar w:left="240" w:top="877" w:right="239" w:bottom="1440" w:gutter="0" w:footer="0" w:header="0"/>
        </w:sect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36,574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30,873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loss from continuing operations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(15,196</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(10,519</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(35,374</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(29,773</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Non-operating income, net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Gain (loss) on revaluation of warrants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Issuance of warrants</w:t>
            </w: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(12,376</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(9,849</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(33,325</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(30,937</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continuing operations</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(12,376</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(33,325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(30,937</w:t>
            </w: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b w:val="1"/>
                <w:bCs w:val="1"/>
                <w:color w:val="auto"/>
              </w:rPr>
              <w:t>Loss from discontinued operations before income taxes*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Loss from discontinued operations</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(2,527</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(12,376</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(33,464</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Loss per share:</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340"/>
              <w:spacing w:after="0"/>
              <w:rPr>
                <w:sz w:val="20"/>
                <w:szCs w:val="20"/>
                <w:color w:val="auto"/>
              </w:rPr>
            </w:pPr>
            <w:r>
              <w:rPr>
                <w:rFonts w:ascii="Arial" w:cs="Arial" w:eastAsia="Arial" w:hAnsi="Arial"/>
                <w:sz w:val="18"/>
                <w:szCs w:val="18"/>
                <w:color w:val="auto"/>
              </w:rPr>
              <w:t>Loss per share from continuing operations</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(0.38)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per share from discontinued operations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63"/>
        </w:trPr>
        <w:tc>
          <w:tcPr>
            <w:tcW w:w="56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net loss per share</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562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340"/>
              <w:spacing w:after="0"/>
              <w:rPr>
                <w:sz w:val="20"/>
                <w:szCs w:val="20"/>
                <w:color w:val="auto"/>
              </w:rPr>
            </w:pPr>
            <w:r>
              <w:rPr>
                <w:rFonts w:ascii="Arial" w:cs="Arial" w:eastAsia="Arial" w:hAnsi="Arial"/>
                <w:sz w:val="18"/>
                <w:szCs w:val="18"/>
                <w:color w:val="auto"/>
              </w:rPr>
              <w:t>Loss per share from continuing operations</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(0.16)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(0.40)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per share from discontinued operations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63"/>
        </w:trPr>
        <w:tc>
          <w:tcPr>
            <w:tcW w:w="56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net loss per share</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Weighted-average number of shares outstanding during the period:</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5620" w:type="dxa"/>
            <w:vAlign w:val="bottom"/>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4"/>
                <w:szCs w:val="2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92,624,983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83,538,767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88,463,526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82,882,405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562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92,645,299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86,101,857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89,514,852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82,972,082</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 Includes stock-based compensation expense, as follows:</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Operating legal costs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307</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1,035</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7,055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Common</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Additional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Accumulated</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620" w:type="dxa"/>
            <w:vAlign w:val="bottom"/>
          </w:tcPr>
          <w:p>
            <w:pPr>
              <w:spacing w:after="0"/>
              <w:rPr>
                <w:sz w:val="20"/>
                <w:szCs w:val="20"/>
                <w:color w:val="auto"/>
              </w:rPr>
            </w:pP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stock</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paid-in capital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deficit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2013</w:t>
            </w:r>
          </w:p>
        </w:tc>
        <w:tc>
          <w:tcPr>
            <w:tcW w:w="960" w:type="dxa"/>
            <w:vAlign w:val="bottom"/>
            <w:tcBorders>
              <w:top w:val="single" w:sz="8" w:color="auto"/>
              <w:bottom w:val="single" w:sz="8" w:color="auto"/>
            </w:tcBorders>
            <w:shd w:val="clear" w:color="auto" w:fill="CCEEFF"/>
          </w:tcPr>
          <w:p>
            <w:pPr>
              <w:jc w:val="right"/>
              <w:ind w:right="79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845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189,465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(76,028</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Exercise of stock options and vesting of restricted stock units (“RSU”)</w:t>
            </w:r>
          </w:p>
        </w:tc>
        <w:tc>
          <w:tcPr>
            <w:tcW w:w="9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2,160</w:t>
            </w: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Issuance of warrants (Note 8)</w:t>
            </w:r>
          </w:p>
        </w:tc>
        <w:tc>
          <w:tcPr>
            <w:tcW w:w="9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Exercise of warrants</w:t>
            </w:r>
          </w:p>
        </w:tc>
        <w:tc>
          <w:tcPr>
            <w:tcW w:w="9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12,935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12,999</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for services</w:t>
            </w:r>
          </w:p>
        </w:tc>
        <w:tc>
          <w:tcPr>
            <w:tcW w:w="9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8,563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8,563</w:t>
            </w: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9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(33,534)</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(33,534)</w:t>
            </w:r>
          </w:p>
        </w:tc>
      </w:tr>
      <w:tr>
        <w:trPr>
          <w:trHeight w:val="210"/>
        </w:trPr>
        <w:tc>
          <w:tcPr>
            <w:tcW w:w="5620" w:type="dxa"/>
            <w:vAlign w:val="bottom"/>
          </w:tcPr>
          <w:p>
            <w:pPr>
              <w:spacing w:after="0"/>
              <w:rPr>
                <w:sz w:val="20"/>
                <w:szCs w:val="20"/>
                <w:color w:val="auto"/>
              </w:rPr>
            </w:pPr>
            <w:r>
              <w:rPr>
                <w:rFonts w:ascii="Arial" w:cs="Arial" w:eastAsia="Arial" w:hAnsi="Arial"/>
                <w:sz w:val="18"/>
                <w:szCs w:val="18"/>
                <w:b w:val="1"/>
                <w:bCs w:val="1"/>
                <w:color w:val="auto"/>
              </w:rPr>
              <w:t>Balance as of September 30, 2014</w:t>
            </w:r>
          </w:p>
        </w:tc>
        <w:tc>
          <w:tcPr>
            <w:tcW w:w="960" w:type="dxa"/>
            <w:vAlign w:val="bottom"/>
            <w:tcBorders>
              <w:top w:val="single" w:sz="8" w:color="auto"/>
              <w:bottom w:val="single" w:sz="8" w:color="auto"/>
            </w:tcBorders>
          </w:tcPr>
          <w:p>
            <w:pPr>
              <w:jc w:val="right"/>
              <w:ind w:right="79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931</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213,550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(109,562</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104,919</w:t>
            </w:r>
          </w:p>
        </w:tc>
        <w:tc>
          <w:tcPr>
            <w:tcW w:w="100" w:type="dxa"/>
            <w:vAlign w:val="bottom"/>
          </w:tcPr>
          <w:p>
            <w:pPr>
              <w:spacing w:after="0"/>
              <w:rPr>
                <w:sz w:val="18"/>
                <w:szCs w:val="18"/>
                <w:color w:val="auto"/>
              </w:rPr>
            </w:pPr>
          </w:p>
        </w:tc>
      </w:tr>
      <w:tr>
        <w:trPr>
          <w:trHeight w:val="411"/>
        </w:trPr>
        <w:tc>
          <w:tcPr>
            <w:tcW w:w="56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Common</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Additional</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Accumulated</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620" w:type="dxa"/>
            <w:vAlign w:val="bottom"/>
          </w:tcPr>
          <w:p>
            <w:pPr>
              <w:spacing w:after="0"/>
              <w:rPr>
                <w:sz w:val="20"/>
                <w:szCs w:val="20"/>
                <w:color w:val="auto"/>
              </w:rPr>
            </w:pP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stock</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paid-in capital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deficit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2012</w:t>
            </w:r>
          </w:p>
        </w:tc>
        <w:tc>
          <w:tcPr>
            <w:tcW w:w="960" w:type="dxa"/>
            <w:vAlign w:val="bottom"/>
            <w:tcBorders>
              <w:top w:val="single" w:sz="8" w:color="auto"/>
              <w:bottom w:val="single" w:sz="8" w:color="auto"/>
            </w:tcBorders>
            <w:shd w:val="clear" w:color="auto" w:fill="CCEEFF"/>
          </w:tcPr>
          <w:p>
            <w:pPr>
              <w:jc w:val="right"/>
              <w:ind w:right="79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819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171,108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(23,595</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Exercise of stock options and vesting of RSU</w:t>
            </w:r>
          </w:p>
        </w:tc>
        <w:tc>
          <w:tcPr>
            <w:tcW w:w="9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9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1,356</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Conversion of derivative warrants into equity warrants</w:t>
            </w:r>
          </w:p>
        </w:tc>
        <w:tc>
          <w:tcPr>
            <w:tcW w:w="96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3,918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3,918</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8,975</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960" w:type="dxa"/>
            <w:vAlign w:val="bottom"/>
          </w:tcPr>
          <w:p>
            <w:pPr>
              <w:spacing w:after="0"/>
              <w:rPr>
                <w:sz w:val="19"/>
                <w:szCs w:val="19"/>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(33,464)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(33,464)</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2013</w:t>
            </w:r>
          </w:p>
        </w:tc>
        <w:tc>
          <w:tcPr>
            <w:tcW w:w="960" w:type="dxa"/>
            <w:vAlign w:val="bottom"/>
            <w:tcBorders>
              <w:top w:val="single" w:sz="8" w:color="auto"/>
              <w:bottom w:val="single" w:sz="8" w:color="auto"/>
            </w:tcBorders>
            <w:shd w:val="clear" w:color="auto" w:fill="CCEEFF"/>
          </w:tcPr>
          <w:p>
            <w:pPr>
              <w:jc w:val="right"/>
              <w:ind w:right="79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841</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186,308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(57,059</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130,090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6"/>
          </w:tcPr>
          <w:p>
            <w:pPr>
              <w:jc w:val="right"/>
              <w:ind w:right="140"/>
              <w:spacing w:after="0"/>
              <w:rPr>
                <w:sz w:val="20"/>
                <w:szCs w:val="20"/>
                <w:color w:val="auto"/>
              </w:rPr>
            </w:pPr>
            <w:r>
              <w:rPr>
                <w:rFonts w:ascii="Arial" w:cs="Arial" w:eastAsia="Arial" w:hAnsi="Arial"/>
                <w:sz w:val="18"/>
                <w:szCs w:val="18"/>
                <w:color w:val="auto"/>
                <w:w w:val="89"/>
              </w:rPr>
              <w:t>Nine months ended September 30,</w:t>
            </w:r>
          </w:p>
        </w:tc>
      </w:tr>
      <w:tr>
        <w:trPr>
          <w:trHeight w:val="223"/>
        </w:trPr>
        <w:tc>
          <w:tcPr>
            <w:tcW w:w="674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19"/>
                <w:szCs w:val="19"/>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Net loss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(33,534)</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(33,464)</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cash flows used in operating activities: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b w:val="1"/>
                <w:bCs w:val="1"/>
                <w:color w:val="auto"/>
              </w:rPr>
              <w:t>Items not affecting cash flows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amortization and impairment of intangibles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4,495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3,856</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Change in deferred tax assets and liabilities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8,563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8,975</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Issuance of warrants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Assignment of patents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Change in fair value of warrants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(2,057)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1,220</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Exchange rate loss (gain), net</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6740" w:type="dxa"/>
            <w:vAlign w:val="bottom"/>
          </w:tcPr>
          <w:p>
            <w:pPr>
              <w:spacing w:after="0"/>
              <w:rPr>
                <w:sz w:val="20"/>
                <w:szCs w:val="20"/>
                <w:color w:val="auto"/>
              </w:rPr>
            </w:pPr>
            <w:r>
              <w:rPr>
                <w:rFonts w:ascii="Arial" w:cs="Arial" w:eastAsia="Arial" w:hAnsi="Arial"/>
                <w:sz w:val="18"/>
                <w:szCs w:val="18"/>
                <w:b w:val="1"/>
                <w:bCs w:val="1"/>
                <w:color w:val="auto"/>
              </w:rPr>
              <w:t>Changes in current assets and liabilities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Increase in other current assets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Increase in payables and accruals</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2,698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2,400</w:t>
            </w: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(20,215</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67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property and equipment</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Increase in short-term investments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(673)</w:t>
            </w:r>
          </w:p>
        </w:tc>
      </w:tr>
      <w:tr>
        <w:trPr>
          <w:trHeight w:val="23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deposits</w:t>
            </w: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r>
      <w:tr>
        <w:trPr>
          <w:trHeight w:val="210"/>
        </w:trPr>
        <w:tc>
          <w:tcPr>
            <w:tcW w:w="67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8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2,160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973</w:t>
            </w:r>
          </w:p>
        </w:tc>
      </w:tr>
      <w:tr>
        <w:trPr>
          <w:trHeight w:val="23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11,292</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566</w:t>
            </w:r>
          </w:p>
        </w:tc>
      </w:tr>
      <w:tr>
        <w:trPr>
          <w:trHeight w:val="210"/>
        </w:trPr>
        <w:tc>
          <w:tcPr>
            <w:tcW w:w="67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provided by financing activities</w:t>
            </w:r>
          </w:p>
        </w:tc>
        <w:tc>
          <w:tcPr>
            <w:tcW w:w="18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13,452</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Borders>
              <w:bottom w:val="single" w:sz="8" w:color="CCEEFF"/>
            </w:tcBorders>
          </w:tcPr>
          <w:p>
            <w:pPr>
              <w:spacing w:after="0"/>
              <w:rPr>
                <w:sz w:val="18"/>
                <w:szCs w:val="18"/>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(9,296)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(16,524)</w:t>
            </w:r>
          </w:p>
        </w:tc>
      </w:tr>
      <w:tr>
        <w:trPr>
          <w:trHeight w:val="23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33,586</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56,960</w:t>
            </w:r>
          </w:p>
        </w:tc>
      </w:tr>
      <w:tr>
        <w:trPr>
          <w:trHeight w:val="263"/>
        </w:trPr>
        <w:tc>
          <w:tcPr>
            <w:tcW w:w="6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18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24,290</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40,436</w:t>
            </w:r>
          </w:p>
        </w:tc>
        <w:tc>
          <w:tcPr>
            <w:tcW w:w="100" w:type="dxa"/>
            <w:vAlign w:val="bottom"/>
            <w:tcBorders>
              <w:bottom w:val="single" w:sz="8" w:color="CCEEFF"/>
            </w:tcBorders>
          </w:tcPr>
          <w:p>
            <w:pPr>
              <w:spacing w:after="0"/>
              <w:rPr>
                <w:sz w:val="22"/>
                <w:szCs w:val="22"/>
                <w:color w:val="auto"/>
              </w:rPr>
            </w:pPr>
          </w:p>
        </w:tc>
      </w:tr>
      <w:tr>
        <w:trPr>
          <w:trHeight w:val="197"/>
        </w:trPr>
        <w:tc>
          <w:tcPr>
            <w:tcW w:w="6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flows information</w:t>
            </w: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Income taxes paid</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transactions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Non-cash acquisition of cost method investment</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787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Conversion of derivative warrants into common stock</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790</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Conversion of derivative warrants into equity warrants</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3,918</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Vringo, Inc., together with its consolidated subsidiaries (“Vringo” or the “Company”), is engaged in the development and monetization of intellectual property worldwide. The Company's intellectual property portfolio consists of over 600 patents and patent applications covering telecom infrastructure, internet search and mobile technologies. The Company’s patents and patent applications have been developed internally or acquired from third parties. Prior to December 31, 2013, the Company operated a global platform for the distribution of mobile social applications and the services that it developed. On February 18, 2014, the Company executed the sale of its mobile social application business to InfoMedia Services Limited (“InfoMedia”), receiving an 8.25% ownership interest as consideration (Note 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Recent development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15, 2014, the United States Court of Appeals for the Federal Circuit (“Federal Circuit”) reversed a judgment of the United States District Court for the Eastern District of Virginia by holding that the asserted claims of the patents-in-suit in the Company's wholly-owned subsidiary I/P Engine's litigation against AOL Inc., Google Inc. et al. are invalid for obviousness. The Company filed a petition with the Federal Circuit on October 15, 2014 seeking en banc review of the decision. On October 20, 2014, the Federal Circuit invited the defendants/appellants to respond to the petition.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Accounting and Reporting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presentation and principles of consolidation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interim consolidated financial statements have been prepared in accordance with generally accepted accounting principles in the United States of America (“U.S. GAAP”) for interim financial information and the instructions to Rule 10-01 of Regulation S-X, and should be read in conjunction with the Company's Annual Report on Form 10-K for the year ended December 31, 2013. The results of operations for the three month and nine month periods ended September 30, 2014 are not necessarily indicative of the results that may be expected for the entire fiscal year or for any other interim period. All significant intercompany balances and transactions have been eliminated in consolidation.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accompanying consolidated financial statements in conformity with U.S. GAAP requires management to make certain estimates and assumptions that affect the reported amounts of assets and liabilities and disclosure of contingent assets and liabilities as of the date of the consolidated financial statements and the reported amounts of revenues and expenses for the periods presented. Actual results may differ from such estimates. Significant items subject to such estimates and assumptions include the valuation of goodwill and the Company’s intangibles assets, the useful lives of the Company’s intangible assets, the valuation of the Company’s derivative warrants, the valuation of stock-based compensation, deferred tax assets and liabilities, income tax uncertainties and other contingencies.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Translation into U.S. dollars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conducts certain transactions in foreign currencies, which are recorded at the exchange rate as of the transaction date. All exchange gains and losses occurring from the remeasurement of monetary balance sheet items denominated in non-dollar currencies are reflected as non-operating income or expense in the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Cash and cash equivalents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invests its cash in money market funds with financial institutions. The Company has established guidelines relating to diversification and maturities of its investments in order to minimize credit risk and maintain high liquidity of funds. All highly liquid investments with original maturities of three months or less at acquisition date are considered cash equivalents.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Derivative instruments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recognizes all derivative instruments as either assets or liabilities in the consolidated balance sheets at their respective fair values. The Company's derivative instruments, which are discussed in Notes 6 and 8, have been recorded as liabilities at fair value, and are revalued at each reporting date, with changes in the fair value of the instruments included in the consolidated statements of operations as non-operating income (expense).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(f) Goodwill</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Goodwill is an asset representing the future economic benefits arising from other assets acquired in a business combination that are not individually identified and separately recognized. Goodwill is reviewed for impairment at least annually, and when triggering events occur, in accordance with the provisions of Financial Accounting Standards Board (“FASB”) Accounting Standards Codification (“ASC”) Topic 350, Intangibles - Goodwill and Other. The Company has one reporting unit for purposes of evaluating goodwill impairment and performs its annual goodwill impairment test on December 31.</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the option to perform a qualitative assessment to determine if an impairment is more likely than not to have occurred. If the Company can support the conclusion that it is not more likely than not that the fair value of a reporting unit is less than its carrying amount, the Company would not need to perform the two-step impairment test for the reporting unit. If the Company cannot support such a conclusion or the Company does not elect to perform the qualitative assessment, then the first step of the goodwill impairment test is used to identify potential impairment by comparing the fair value of the reporting unit with its carrying amount, including goodwill. Fair value of the reporting unit is determined using certain valuation techniques, including the estimation of an implied control premium, in addition to the Company’s market capitalization on the measurement date.</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the fair value of the reporting unit exceeds its carrying value, then the second step of the impairment test (measurement) does not need to be performed. If the fair value of the reporting unit is less than its carrying value, an indication of goodwill impairment exists for the reporting unit and the entity must perform the second step of the impairment test. Under the second step, an impairment loss is recognized for any excess of the carrying amount of the reporting unit’s goodwill over the implied fair value of that goodwill. The implied fair value of goodwill is determined by allocating the fair value of the reporting unit in a manner similar to an acquisition price allocation and the residual fair value after this allocation is the implied fair value of the reporting unit goodwill. A significant amount of judgment is required in estimating the fair value of a reporting unit and performing goodwill impairment tests. Refer to Note 3 for further discussion of the interim goodwill impairment test performed by the Company as of September 30, 2014.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Intangible assets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Intangible assets include purchased patents which are recorded based on the cost to acquire them. These assets are amortized over their remaining estimated useful lives, which are periodically evaluated for reasonableness. The Company’s intangible assets are reviewed for impairment whenever events or changes in circumstances indicate that the carrying amount of an asset may not be recoverable. In assessing the recoverability of the Company's intangible assets, the Company must make estimates and assumptions regarding future cash flows and other factors to determine the fair value of the respective assets. These estimates and assumptions could have a significant impact on whether an impairment charge is recognized and also the magnitude of any such charge. Fair value estimates are made at a specific point in time, based on relevant information. These estimates are subjective in nature and involve uncertainties and matters of significant judgments and therefore cannot be determined with precision. Changes in assumptions could significantly affect the estimates. If these estimates or material related assumptions change in the future, the Company may be required to record impairment charges related to its intangible assets. Refer to Note 3 for further discussion of an impairment charge recorded by the Company during the quarter ended September 30, 2014 related to its intangible assets.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Revenue recognition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from patent licensing and enforcement is recognized if collectability is reasonably assured, persuasive evidence of an arrangement exists, the sales price is fixed or determinable and delivery of the service has been rendered. The Company uses management's best estimate of selling price for individual elements in multiple-element arrangements, where vendor specific evidence or third party evidence of selling price is not available.</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Currently, the Company’s revenue arrangements provide for the payment of contractually determined fees and other consideration for the grant of certain intellectual property rights related to the Company’s patents. These rights typically include some combination of the following: (i) the grant of a non-exclusive, retroactive and future license to manufacture and/or sell products covered by patents, (ii) the release of the licensee from certain claims, and (iii) the dismissal of any pending litigation. The intellectual property rights granted typically extend until the expiration of the related patents. Pursuant to the terms of these agreements, the Company has no further obligation with respect to the grant of the non-exclusive retroactive and future licenses, covenants-not-to-sue, releases, and other deliverables, including no express or implied obligation on the Company’s part to maintain or upgrade the related technology, or provide future support or services. Generally, the agreements provide for the grant of the licenses, covenants-not-to-sue, releases, and other significant deliverables upon execution of the agreement, or upon receipt of the upfront payment. As such, the earnings process is complete and revenue is recognized upon the execution of the agreement, upon receipt of the upfront fee, and when all other revenue recognition criteria have been met.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Operating legal costs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legal costs mainly include expenses incurred in connection with the Company’s patent licensing and enforcement activities, patent-related legal expenses paid to external patent counsel (including contingent legal fees), licensing and enforcement related research, consulting and other expenses paid to third parties, as well as related internal payroll expenses and stock-based compensation.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(j) Recently Issued Accounting Pronouncements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July 2013, the FASB issued Accounting Standards Update (“ASU”) No. 2013-11</w:t>
      </w:r>
      <w:r>
        <w:rPr>
          <w:rFonts w:ascii="Arial" w:cs="Arial" w:eastAsia="Arial" w:hAnsi="Arial"/>
          <w:sz w:val="17"/>
          <w:szCs w:val="17"/>
          <w:i w:val="1"/>
          <w:iCs w:val="1"/>
          <w:color w:val="auto"/>
        </w:rPr>
        <w:t>, Presentation of an Unrecognized Tax Benefit When a Net Operating Loss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Carryforward, a Similar Tax Loss, or a Tax Credit Carryforward Exists, </w:t>
      </w:r>
      <w:r>
        <w:rPr>
          <w:rFonts w:ascii="Arial" w:cs="Arial" w:eastAsia="Arial" w:hAnsi="Arial"/>
          <w:sz w:val="17"/>
          <w:szCs w:val="17"/>
          <w:color w:val="auto"/>
        </w:rPr>
        <w:t>which provides guidance on the presentation of unrecognized tax benefits. This</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requires an entity to present an unrecognized tax benefit, or a portion of an unrecognized tax benefit, as a reduction to a deferred tax asset for a net operating loss carryforward, a similar tax loss, or a tax credit carryforward, except as follows: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 unrecognized tax benefit should be presented in the financial statements as a liability and should not be combined with deferred tax assets. This guidance is effective beginning January 1, 2014 and is to be applied prospectively with retroactive application permitted. The Company adopted this guidance as of January 1, 2014, as required. There was no material impact of the consolidated financial statements resulting from the adoption.</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April 2014, the FASB issued ASU No. 2014-08, </w:t>
      </w:r>
      <w:r>
        <w:rPr>
          <w:rFonts w:ascii="Arial" w:cs="Arial" w:eastAsia="Arial" w:hAnsi="Arial"/>
          <w:sz w:val="17"/>
          <w:szCs w:val="17"/>
          <w:i w:val="1"/>
          <w:iCs w:val="1"/>
          <w:color w:val="auto"/>
        </w:rPr>
        <w:t>Presentation of Financial Statements (Topic 205) and Property, Plant, and Equipment (Topic 360):</w:t>
      </w:r>
      <w:r>
        <w:rPr>
          <w:rFonts w:ascii="Arial" w:cs="Arial" w:eastAsia="Arial" w:hAnsi="Arial"/>
          <w:sz w:val="17"/>
          <w:szCs w:val="17"/>
          <w:color w:val="auto"/>
        </w:rPr>
        <w:t xml:space="preserve"> </w:t>
      </w:r>
      <w:r>
        <w:rPr>
          <w:rFonts w:ascii="Arial" w:cs="Arial" w:eastAsia="Arial" w:hAnsi="Arial"/>
          <w:sz w:val="17"/>
          <w:szCs w:val="17"/>
          <w:i w:val="1"/>
          <w:iCs w:val="1"/>
          <w:color w:val="auto"/>
        </w:rPr>
        <w:t>Reporting Discontinued Operations and Disclosures of Disposals of Components of an Entity</w:t>
      </w:r>
      <w:r>
        <w:rPr>
          <w:rFonts w:ascii="Arial" w:cs="Arial" w:eastAsia="Arial" w:hAnsi="Arial"/>
          <w:sz w:val="17"/>
          <w:szCs w:val="17"/>
          <w:color w:val="auto"/>
        </w:rPr>
        <w:t>. This guidance changes the criteria for reporting a discontinued</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 while enhancing disclosures in this area. This standard will be effective for the Company beginning January 1, 2015. Early adoption of the standard is permitted, but only for disposals (or classifications as held for sale) that have not been reported in financial statements previously issued or available for issuance. The Company is currently evaluating the impact of the adoption on its consolidated financial statements.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which impacts virtually all aspects of an entity's revenue recognition. The core principle of the new standard is that revenue should be recognized to depict the transfer of promised goods or services to customers in an amount that reflects the consideration to which the entity expects to be entitled in exchange for those goods or services. This guidance is effective for annual reporting periods beginning after December 15, 2016. The Company is currently evaluating the impact of the adoption on its consolidated financial statements.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June 2014, the FASB issued ASU No. 2014-10, </w:t>
      </w:r>
      <w:r>
        <w:rPr>
          <w:rFonts w:ascii="Arial" w:cs="Arial" w:eastAsia="Arial" w:hAnsi="Arial"/>
          <w:sz w:val="17"/>
          <w:szCs w:val="17"/>
          <w:i w:val="1"/>
          <w:iCs w:val="1"/>
          <w:color w:val="auto"/>
        </w:rPr>
        <w:t>Development Stage Entities (Topic 915): Elimination of Certain Financial Reporting Requirements,</w:t>
      </w:r>
      <w:r>
        <w:rPr>
          <w:rFonts w:ascii="Arial" w:cs="Arial" w:eastAsia="Arial" w:hAnsi="Arial"/>
          <w:sz w:val="17"/>
          <w:szCs w:val="17"/>
          <w:color w:val="auto"/>
        </w:rPr>
        <w:t xml:space="preserve"> </w:t>
      </w:r>
      <w:r>
        <w:rPr>
          <w:rFonts w:ascii="Arial" w:cs="Arial" w:eastAsia="Arial" w:hAnsi="Arial"/>
          <w:sz w:val="17"/>
          <w:szCs w:val="17"/>
          <w:i w:val="1"/>
          <w:iCs w:val="1"/>
          <w:color w:val="auto"/>
        </w:rPr>
        <w:t>Including an Amendment to Variable Interest Entities Guidance in Topic 810, Consolidation</w:t>
      </w:r>
      <w:r>
        <w:rPr>
          <w:rFonts w:ascii="Arial" w:cs="Arial" w:eastAsia="Arial" w:hAnsi="Arial"/>
          <w:sz w:val="17"/>
          <w:szCs w:val="17"/>
          <w:color w:val="auto"/>
        </w:rPr>
        <w:t>, which removes the definition of development stage entity, as</w:t>
      </w:r>
      <w:r>
        <w:rPr>
          <w:rFonts w:ascii="Arial" w:cs="Arial" w:eastAsia="Arial" w:hAnsi="Arial"/>
          <w:sz w:val="17"/>
          <w:szCs w:val="17"/>
          <w:i w:val="1"/>
          <w:iCs w:val="1"/>
          <w:color w:val="auto"/>
        </w:rPr>
        <w:t xml:space="preserve"> </w:t>
      </w:r>
      <w:r>
        <w:rPr>
          <w:rFonts w:ascii="Arial" w:cs="Arial" w:eastAsia="Arial" w:hAnsi="Arial"/>
          <w:sz w:val="17"/>
          <w:szCs w:val="17"/>
          <w:color w:val="auto"/>
        </w:rPr>
        <w:t>was previously defined under U.S. GAAP, thereby removing the financial reporting distinction between development stage entities and other reporting entities. In addition, the ASU eliminates the requirements for development stage entities to (i) present inception-to-date information in their financial statements, (ii) label the financial statements as those of a development stage entity, (iii) disclose a description of the development stage activities in which the entity is engaged, and (iv) disclose in the first year in which the entity is no longer a development stage entity that in prior years it had been in the development stage. This guidance is effective for annual reporting periods beginning after December 31, 2014 and early adoption of the standard is permitted. The Company adopted this guidance during the second quarter of 2014.</w:t>
      </w:r>
    </w:p>
    <w:p>
      <w:pPr>
        <w:spacing w:after="0" w:line="1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August 2014, the FASB issued ASU No. 2014-15, </w:t>
      </w:r>
      <w:r>
        <w:rPr>
          <w:rFonts w:ascii="Arial" w:cs="Arial" w:eastAsia="Arial" w:hAnsi="Arial"/>
          <w:sz w:val="16"/>
          <w:szCs w:val="16"/>
          <w:i w:val="1"/>
          <w:iCs w:val="1"/>
          <w:color w:val="auto"/>
        </w:rPr>
        <w:t>Presentation of Financial Statements (Topic 205): Going Concern</w:t>
      </w:r>
      <w:r>
        <w:rPr>
          <w:rFonts w:ascii="Arial" w:cs="Arial" w:eastAsia="Arial" w:hAnsi="Arial"/>
          <w:sz w:val="16"/>
          <w:szCs w:val="16"/>
          <w:color w:val="auto"/>
        </w:rPr>
        <w:t>. The new standard provides guidance around management's responsibility to evaluate whether there is substantial doubt about an entity's ability to continue as a going concern and to provide related footnote disclosures. This guidance is effective for fiscal years, and interim periods within those fiscal years, beginning after December 15, 2016 and early adoption is permitted. The Company is currently evaluating the impact of the adoption on its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Reclassification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balances have been reclassified to conform to presentation requirements including discontinued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Goodwill and Intangible Assets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Based upon a combination of factors and developments during the third quarter of 2014, including the announcement of the Federal Circuit’s decision on August 15, 2014, described in Note 1, as well as a decline in the Company’s stock price, the Company determined that there were impairment indicators related to its goodwill and certain intangible assets. The Company’s stock price opened at $3.18, reached a low of $0.67, and closed at $0.88 on August 15, 2014. The closing price of the Company’s stock on September 30, 2014 was $0.95. The average closing stock price of the Company from August 15, 2014 through September 30, 2014 was approximately $1.05, ranging from $0.95 to $1.40 during that time period. The Company concluded that these factors and developments were deemed “triggering” events requiring that goodwill and certain of the Company’s intangibles assets be tested for impairment as of September 30, 2014. The results of these impairment tests are discussed below in further detail.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6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Intangible assets</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32"/>
        </w:trPr>
        <w:tc>
          <w:tcPr>
            <w:tcW w:w="8460" w:type="dxa"/>
            <w:vAlign w:val="bottom"/>
            <w:gridSpan w:val="5"/>
          </w:tcPr>
          <w:p>
            <w:pPr>
              <w:spacing w:after="0"/>
              <w:rPr>
                <w:sz w:val="20"/>
                <w:szCs w:val="20"/>
                <w:color w:val="auto"/>
              </w:rPr>
            </w:pPr>
            <w:r>
              <w:rPr>
                <w:rFonts w:ascii="Arial" w:cs="Arial" w:eastAsia="Arial" w:hAnsi="Arial"/>
                <w:sz w:val="18"/>
                <w:szCs w:val="18"/>
                <w:color w:val="auto"/>
                <w:w w:val="94"/>
              </w:rPr>
              <w:t>The following table provides information regarding the Company’s intangible assets, which consist of its patents:</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418"/>
        </w:trPr>
        <w:tc>
          <w:tcPr>
            <w:tcW w:w="6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jc w:val="right"/>
              <w:ind w:right="270"/>
              <w:spacing w:after="0"/>
              <w:rPr>
                <w:sz w:val="20"/>
                <w:szCs w:val="20"/>
                <w:color w:val="auto"/>
              </w:rPr>
            </w:pPr>
            <w:r>
              <w:rPr>
                <w:rFonts w:ascii="Arial" w:cs="Arial" w:eastAsia="Arial" w:hAnsi="Arial"/>
                <w:sz w:val="18"/>
                <w:szCs w:val="18"/>
                <w:color w:val="auto"/>
              </w:rPr>
              <w:t>Weighted average</w:t>
            </w:r>
          </w:p>
        </w:tc>
      </w:tr>
      <w:tr>
        <w:trPr>
          <w:trHeight w:val="230"/>
        </w:trPr>
        <w:tc>
          <w:tcPr>
            <w:tcW w:w="6180" w:type="dxa"/>
            <w:vAlign w:val="bottom"/>
          </w:tcPr>
          <w:p>
            <w:pPr>
              <w:spacing w:after="0"/>
              <w:rPr>
                <w:sz w:val="20"/>
                <w:szCs w:val="20"/>
                <w:color w:val="auto"/>
              </w:rPr>
            </w:pPr>
          </w:p>
        </w:tc>
        <w:tc>
          <w:tcPr>
            <w:tcW w:w="1640" w:type="dxa"/>
            <w:vAlign w:val="bottom"/>
            <w:gridSpan w:val="3"/>
          </w:tcPr>
          <w:p>
            <w:pPr>
              <w:spacing w:after="0"/>
              <w:rPr>
                <w:sz w:val="20"/>
                <w:szCs w:val="20"/>
                <w:color w:val="auto"/>
              </w:rPr>
            </w:pPr>
            <w:r>
              <w:rPr>
                <w:rFonts w:ascii="Arial" w:cs="Arial" w:eastAsia="Arial" w:hAnsi="Arial"/>
                <w:sz w:val="18"/>
                <w:szCs w:val="18"/>
                <w:color w:val="auto"/>
                <w:w w:val="99"/>
              </w:rPr>
              <w:t>September 30, 2014</w:t>
            </w:r>
          </w:p>
        </w:tc>
        <w:tc>
          <w:tcPr>
            <w:tcW w:w="3600" w:type="dxa"/>
            <w:vAlign w:val="bottom"/>
            <w:gridSpan w:val="5"/>
          </w:tcPr>
          <w:p>
            <w:pPr>
              <w:spacing w:after="0"/>
              <w:rPr>
                <w:sz w:val="20"/>
                <w:szCs w:val="20"/>
                <w:color w:val="auto"/>
              </w:rPr>
            </w:pPr>
            <w:r>
              <w:rPr>
                <w:rFonts w:ascii="Arial" w:cs="Arial" w:eastAsia="Arial" w:hAnsi="Arial"/>
                <w:sz w:val="18"/>
                <w:szCs w:val="18"/>
                <w:color w:val="auto"/>
                <w:w w:val="92"/>
              </w:rPr>
              <w:t>December 31, 2013   amortization period (years)</w:t>
            </w:r>
          </w:p>
        </w:tc>
      </w:tr>
      <w:tr>
        <w:trPr>
          <w:trHeight w:val="223"/>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28,213</w:t>
            </w:r>
          </w:p>
        </w:tc>
        <w:tc>
          <w:tcPr>
            <w:tcW w:w="2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28,213</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8.9</w:t>
            </w:r>
          </w:p>
        </w:tc>
      </w:tr>
      <w:tr>
        <w:trPr>
          <w:trHeight w:val="210"/>
        </w:trPr>
        <w:tc>
          <w:tcPr>
            <w:tcW w:w="6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amortization</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(8,368</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6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(5,465</w:t>
            </w:r>
          </w:p>
        </w:tc>
        <w:tc>
          <w:tcPr>
            <w:tcW w:w="20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6"/>
                <w:szCs w:val="16"/>
                <w:color w:val="auto"/>
                <w:w w:val="74"/>
              </w:rPr>
              <w:t>)</w:t>
            </w:r>
          </w:p>
        </w:tc>
        <w:tc>
          <w:tcPr>
            <w:tcW w:w="1980" w:type="dxa"/>
            <w:vAlign w:val="bottom"/>
            <w:tcBorders>
              <w:bottom w:val="single" w:sz="8" w:color="CCEEFF"/>
            </w:tcBorders>
          </w:tcPr>
          <w:p>
            <w:pPr>
              <w:spacing w:after="0"/>
              <w:rPr>
                <w:sz w:val="18"/>
                <w:szCs w:val="18"/>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Less: impairment</w:t>
            </w: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6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23"/>
        </w:trPr>
        <w:tc>
          <w:tcPr>
            <w:tcW w:w="6180" w:type="dxa"/>
            <w:vAlign w:val="bottom"/>
          </w:tcPr>
          <w:p>
            <w:pPr>
              <w:spacing w:after="0"/>
              <w:rPr>
                <w:sz w:val="19"/>
                <w:szCs w:val="19"/>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18,490</w:t>
            </w:r>
          </w:p>
        </w:tc>
        <w:tc>
          <w:tcPr>
            <w:tcW w:w="200" w:type="dxa"/>
            <w:vAlign w:val="bottom"/>
          </w:tcPr>
          <w:p>
            <w:pPr>
              <w:spacing w:after="0"/>
              <w:rPr>
                <w:sz w:val="19"/>
                <w:szCs w:val="19"/>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22,748</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Company’s patents are amortized over their expected useful lives (i.e., through the expiration date of the patent). During the three and nine month periods ended September 30, 2014, the Company recorded amortization expense of $978 and $2,903, respectively, related to its patents. During the three and nine month periods ended September 30, 2013, the Company recorded amortization expense of $860 and $2,538, respectively, related to its patents.</w:t>
      </w:r>
    </w:p>
    <w:p>
      <w:pPr>
        <w:spacing w:after="0" w:line="1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performing the impairment analysis related to the Company’s intangible assets, the Company determined that the patent portfolio containing the patents-in-suit in I/P Engine's litigation against AOL Inc., Google Inc. et al, which represents an asset group, was subject to impairment testing. In the first step of the impairment test, the Company utilized its projections of future undiscounted cash flows based on the Company’s existing plans for the patents. As a result, it was determined that the Company’s projections of future undiscounted cash flows were less than the carrying value of the asset group. Accordingly, the Company performed the second step of the impairment test to measure the potential impairment by calculating the asset group’s fair value. This resulted in an impairment of $1,355 during the third quarter of 2014, related to the asset group, which represents the difference between the fair value and the carrying value of the asset group. The impairment charge is included in Amortization and impairment of intangibles in the consolidated statements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carrying amount of the Company’s goodwill was $65,757 as of September 30, 2014 and December 31, 2013. The Company performed the first step of the goodwill impairment test as of September 30, 2014 in order to identify potential impairment by comparing the fair value of the reporting unit with its carrying amount, including goodwill. The fair value of the reporting unit was determined with the assistance of a third party valuation specialist using certain valuation techniques, including the estimation of an implied control premium, in addition to the Company’s market capitalization on the measurement date. The implied control premium selected was developed based on certain observable market data of comparable companies. The market capitalization is sensitive to the volatility of the Company’s stock price. Based upon the first step of the goodwill impairment test performed as of September 30, 2014, the Company determined that the fair value of the reporting unit was in excess of its carrying amount by approximately 14% and therefore the second step of the goodwill impairment test was not required.</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the Company believes it has made reasonable estimates and assumptions to calculate the fair value of the reporting unit, it is possible a material change could occur. For instance, a subsequent decline in the Company’s common stock price would lower the market capitalization affecting the fair value of the reporting unit. Additionally, market data used in the future assessment of the implied control premium could change the Company’s current estimate. If actual results are not consistent with the Company’s estimates and assumptions used to calculate fair value, performance of the second step might be required, which could result in a material impairment of goodwill. The closing price of the Company’s stock on September 30, 2014 was $0.95. The closing stock price during October 2014 ranged from $0.72 to $1.10.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Net Loss per Common Share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Basic net loss per share is computed by dividing the net loss for the period by the weighted-average number of shares of common stock outstanding during the period. Diluted net loss per share is computed by dividing the net loss for the period by the weighted-average number of shares of common stock plus dilutive potential common stock considered outstanding during the period. However, as the Company generated net losses in all periods presented, some potentially dilutive securities that relate to the continuing operations, including certain warrants and stock options, were not reflected in diluted net loss per share because the impact of such instruments was anti-dilutive. The table below presents the computation of basic and diluted net losses per common share: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 w:name="page11"/>
    <w:bookmarkEnd w:id="10"/>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Basic 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102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ind w:right="2000"/>
        <w:spacing w:after="0" w:line="249" w:lineRule="auto"/>
        <w:rPr>
          <w:sz w:val="20"/>
          <w:szCs w:val="20"/>
          <w:color w:val="auto"/>
        </w:rPr>
      </w:pPr>
      <w:r>
        <w:rPr>
          <w:rFonts w:ascii="Arial" w:cs="Arial" w:eastAsia="Arial" w:hAnsi="Arial"/>
          <w:sz w:val="13"/>
          <w:szCs w:val="13"/>
          <w:color w:val="auto"/>
        </w:rPr>
        <w:t>Loss from continuing operations attributable to shares of common stock Loss from discontinued operations attributable to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Net loss attributable to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102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Basic Denominator:</w:t>
      </w:r>
    </w:p>
    <w:p>
      <w:pPr>
        <w:ind w:right="1440"/>
        <w:spacing w:after="0" w:line="231" w:lineRule="auto"/>
        <w:rPr>
          <w:sz w:val="20"/>
          <w:szCs w:val="20"/>
          <w:color w:val="auto"/>
        </w:rPr>
      </w:pPr>
      <w:r>
        <w:rPr>
          <w:rFonts w:ascii="Arial" w:cs="Arial" w:eastAsia="Arial" w:hAnsi="Arial"/>
          <w:sz w:val="14"/>
          <w:szCs w:val="14"/>
          <w:color w:val="auto"/>
        </w:rPr>
        <w:t>Weighted average number of shares of common stock outstanding during the period Weighted average number of penny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5"/>
          </w:tcPr>
          <w:p>
            <w:pPr>
              <w:jc w:val="right"/>
              <w:ind w:right="619"/>
              <w:spacing w:after="0"/>
              <w:rPr>
                <w:sz w:val="20"/>
                <w:szCs w:val="20"/>
                <w:color w:val="auto"/>
              </w:rPr>
            </w:pPr>
            <w:r>
              <w:rPr>
                <w:rFonts w:ascii="Arial" w:cs="Arial" w:eastAsia="Arial" w:hAnsi="Arial"/>
                <w:sz w:val="14"/>
                <w:szCs w:val="14"/>
                <w:color w:val="auto"/>
              </w:rPr>
              <w:t>Three months ended</w:t>
            </w:r>
          </w:p>
        </w:tc>
        <w:tc>
          <w:tcPr>
            <w:tcW w:w="180" w:type="dxa"/>
            <w:vAlign w:val="bottom"/>
          </w:tcPr>
          <w:p>
            <w:pPr>
              <w:spacing w:after="0"/>
              <w:rPr>
                <w:sz w:val="14"/>
                <w:szCs w:val="14"/>
                <w:color w:val="auto"/>
              </w:rPr>
            </w:pPr>
          </w:p>
        </w:tc>
        <w:tc>
          <w:tcPr>
            <w:tcW w:w="1900" w:type="dxa"/>
            <w:vAlign w:val="bottom"/>
            <w:gridSpan w:val="6"/>
          </w:tcPr>
          <w:p>
            <w:pPr>
              <w:jc w:val="right"/>
              <w:ind w:right="495"/>
              <w:spacing w:after="0"/>
              <w:rPr>
                <w:sz w:val="20"/>
                <w:szCs w:val="20"/>
                <w:color w:val="auto"/>
              </w:rPr>
            </w:pPr>
            <w:r>
              <w:rPr>
                <w:rFonts w:ascii="Arial" w:cs="Arial" w:eastAsia="Arial" w:hAnsi="Arial"/>
                <w:sz w:val="14"/>
                <w:szCs w:val="14"/>
                <w:color w:val="auto"/>
              </w:rPr>
              <w:t>Nine months ended</w:t>
            </w:r>
          </w:p>
        </w:tc>
      </w:tr>
      <w:tr>
        <w:trPr>
          <w:trHeight w:val="167"/>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5"/>
          </w:tcPr>
          <w:p>
            <w:pPr>
              <w:jc w:val="right"/>
              <w:ind w:right="799"/>
              <w:spacing w:after="0"/>
              <w:rPr>
                <w:sz w:val="20"/>
                <w:szCs w:val="20"/>
                <w:color w:val="auto"/>
              </w:rPr>
            </w:pPr>
            <w:r>
              <w:rPr>
                <w:rFonts w:ascii="Arial" w:cs="Arial" w:eastAsia="Arial" w:hAnsi="Arial"/>
                <w:sz w:val="14"/>
                <w:szCs w:val="14"/>
                <w:color w:val="auto"/>
              </w:rPr>
              <w:t>September 30,</w:t>
            </w:r>
          </w:p>
        </w:tc>
        <w:tc>
          <w:tcPr>
            <w:tcW w:w="180" w:type="dxa"/>
            <w:vAlign w:val="bottom"/>
          </w:tcPr>
          <w:p>
            <w:pPr>
              <w:spacing w:after="0"/>
              <w:rPr>
                <w:sz w:val="14"/>
                <w:szCs w:val="14"/>
                <w:color w:val="auto"/>
              </w:rPr>
            </w:pPr>
          </w:p>
        </w:tc>
        <w:tc>
          <w:tcPr>
            <w:tcW w:w="1900" w:type="dxa"/>
            <w:vAlign w:val="bottom"/>
            <w:gridSpan w:val="6"/>
          </w:tcPr>
          <w:p>
            <w:pPr>
              <w:jc w:val="right"/>
              <w:ind w:right="635"/>
              <w:spacing w:after="0"/>
              <w:rPr>
                <w:sz w:val="20"/>
                <w:szCs w:val="20"/>
                <w:color w:val="auto"/>
              </w:rPr>
            </w:pPr>
            <w:r>
              <w:rPr>
                <w:rFonts w:ascii="Arial" w:cs="Arial" w:eastAsia="Arial" w:hAnsi="Arial"/>
                <w:sz w:val="14"/>
                <w:szCs w:val="14"/>
                <w:color w:val="auto"/>
              </w:rPr>
              <w:t>September 30,</w:t>
            </w:r>
          </w:p>
        </w:tc>
      </w:tr>
      <w:tr>
        <w:trPr>
          <w:trHeight w:val="156"/>
        </w:trPr>
        <w:tc>
          <w:tcPr>
            <w:tcW w:w="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2014</w:t>
            </w:r>
          </w:p>
        </w:tc>
        <w:tc>
          <w:tcPr>
            <w:tcW w:w="24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2013</w:t>
            </w:r>
          </w:p>
        </w:tc>
        <w:tc>
          <w:tcPr>
            <w:tcW w:w="2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2014</w:t>
            </w: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2013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2"/>
        </w:trPr>
        <w:tc>
          <w:tcPr>
            <w:tcW w:w="160" w:type="dxa"/>
            <w:vAlign w:val="bottom"/>
            <w:gridSpan w:val="2"/>
          </w:tcPr>
          <w:p>
            <w:pPr>
              <w:jc w:val="right"/>
              <w:ind w:right="74"/>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8"/>
              <w:spacing w:after="0"/>
              <w:rPr>
                <w:sz w:val="20"/>
                <w:szCs w:val="20"/>
                <w:color w:val="auto"/>
              </w:rPr>
            </w:pPr>
            <w:r>
              <w:rPr>
                <w:rFonts w:ascii="Arial" w:cs="Arial" w:eastAsia="Arial" w:hAnsi="Arial"/>
                <w:sz w:val="14"/>
                <w:szCs w:val="14"/>
                <w:color w:val="auto"/>
              </w:rPr>
              <w:t>(12,376)</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19"/>
              <w:spacing w:after="0"/>
              <w:rPr>
                <w:sz w:val="20"/>
                <w:szCs w:val="20"/>
                <w:color w:val="auto"/>
              </w:rPr>
            </w:pPr>
            <w:r>
              <w:rPr>
                <w:rFonts w:ascii="Arial" w:cs="Arial" w:eastAsia="Arial" w:hAnsi="Arial"/>
                <w:sz w:val="14"/>
                <w:szCs w:val="14"/>
                <w:color w:val="auto"/>
              </w:rPr>
              <w:t>(9,849)</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19"/>
              <w:spacing w:after="0"/>
              <w:rPr>
                <w:sz w:val="20"/>
                <w:szCs w:val="20"/>
                <w:color w:val="auto"/>
              </w:rPr>
            </w:pPr>
            <w:r>
              <w:rPr>
                <w:rFonts w:ascii="Arial" w:cs="Arial" w:eastAsia="Arial" w:hAnsi="Arial"/>
                <w:sz w:val="14"/>
                <w:szCs w:val="14"/>
                <w:color w:val="auto"/>
              </w:rPr>
              <w:t>(33,325)</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(30,937)</w:t>
            </w:r>
          </w:p>
        </w:tc>
      </w:tr>
      <w:tr>
        <w:trPr>
          <w:trHeight w:val="174"/>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119"/>
              <w:spacing w:after="0"/>
              <w:rPr>
                <w:sz w:val="20"/>
                <w:szCs w:val="20"/>
                <w:color w:val="auto"/>
              </w:rPr>
            </w:pPr>
            <w:r>
              <w:rPr>
                <w:rFonts w:ascii="Arial" w:cs="Arial" w:eastAsia="Arial" w:hAnsi="Arial"/>
                <w:sz w:val="14"/>
                <w:szCs w:val="14"/>
                <w:color w:val="auto"/>
              </w:rPr>
              <w:t>(711)</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19"/>
              <w:spacing w:after="0"/>
              <w:rPr>
                <w:sz w:val="20"/>
                <w:szCs w:val="20"/>
                <w:color w:val="auto"/>
              </w:rPr>
            </w:pPr>
            <w:r>
              <w:rPr>
                <w:rFonts w:ascii="Arial" w:cs="Arial" w:eastAsia="Arial" w:hAnsi="Arial"/>
                <w:sz w:val="14"/>
                <w:szCs w:val="14"/>
                <w:color w:val="auto"/>
              </w:rPr>
              <w:t>(209)</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(2,527)</w:t>
            </w:r>
          </w:p>
        </w:tc>
      </w:tr>
      <w:tr>
        <w:trPr>
          <w:trHeight w:val="149"/>
        </w:trPr>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5"/>
                <w:szCs w:val="5"/>
                <w:color w:val="auto"/>
                <w:w w:val="70"/>
              </w:rPr>
              <w:t>$</w:t>
            </w:r>
          </w:p>
        </w:tc>
        <w:tc>
          <w:tcPr>
            <w:tcW w:w="7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(12,376</w:t>
            </w:r>
          </w:p>
        </w:tc>
        <w:tc>
          <w:tcPr>
            <w:tcW w:w="24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84"/>
              </w:rPr>
              <w:t>)</w:t>
            </w:r>
          </w:p>
        </w:tc>
        <w:tc>
          <w:tcPr>
            <w:tcW w:w="160" w:type="dxa"/>
            <w:vAlign w:val="bottom"/>
            <w:tcBorders>
              <w:top w:val="single" w:sz="8" w:color="auto"/>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(10,560</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180" w:type="dxa"/>
            <w:vAlign w:val="bottom"/>
            <w:tcBorders>
              <w:top w:val="single" w:sz="8" w:color="auto"/>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(33,534</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180" w:type="dxa"/>
            <w:vAlign w:val="bottom"/>
            <w:tcBorders>
              <w:top w:val="single" w:sz="8" w:color="auto"/>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(33,464</w:t>
            </w:r>
          </w:p>
        </w:tc>
        <w:tc>
          <w:tcPr>
            <w:tcW w:w="20" w:type="dxa"/>
            <w:vAlign w:val="bottom"/>
          </w:tcPr>
          <w:p>
            <w:pPr>
              <w:jc w:val="right"/>
              <w:spacing w:after="0"/>
              <w:rPr>
                <w:sz w:val="20"/>
                <w:szCs w:val="20"/>
                <w:color w:val="auto"/>
              </w:rPr>
            </w:pPr>
            <w:r>
              <w:rPr>
                <w:rFonts w:ascii="Arial" w:cs="Arial" w:eastAsia="Arial" w:hAnsi="Arial"/>
                <w:sz w:val="1"/>
                <w:szCs w:val="1"/>
                <w:color w:val="auto"/>
                <w:w w:val="4294967281"/>
              </w:rPr>
              <w:t>)</w:t>
            </w:r>
          </w:p>
        </w:tc>
      </w:tr>
      <w:tr>
        <w:trPr>
          <w:trHeight w:val="28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right"/>
              <w:ind w:right="168"/>
              <w:spacing w:after="0"/>
              <w:rPr>
                <w:sz w:val="20"/>
                <w:szCs w:val="20"/>
                <w:color w:val="auto"/>
              </w:rPr>
            </w:pPr>
            <w:r>
              <w:rPr>
                <w:rFonts w:ascii="Arial" w:cs="Arial" w:eastAsia="Arial" w:hAnsi="Arial"/>
                <w:sz w:val="14"/>
                <w:szCs w:val="14"/>
                <w:color w:val="auto"/>
              </w:rPr>
              <w:t>92,624,983</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83,450,697</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159"/>
              <w:spacing w:after="0"/>
              <w:rPr>
                <w:sz w:val="20"/>
                <w:szCs w:val="20"/>
                <w:color w:val="auto"/>
              </w:rPr>
            </w:pPr>
            <w:r>
              <w:rPr>
                <w:rFonts w:ascii="Arial" w:cs="Arial" w:eastAsia="Arial" w:hAnsi="Arial"/>
                <w:sz w:val="14"/>
                <w:szCs w:val="14"/>
                <w:color w:val="auto"/>
              </w:rPr>
              <w:t>88,463,526</w:t>
            </w:r>
          </w:p>
        </w:tc>
        <w:tc>
          <w:tcPr>
            <w:tcW w:w="18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82,757,899</w:t>
            </w:r>
          </w:p>
        </w:tc>
        <w:tc>
          <w:tcPr>
            <w:tcW w:w="20" w:type="dxa"/>
            <w:vAlign w:val="bottom"/>
          </w:tcPr>
          <w:p>
            <w:pPr>
              <w:spacing w:after="0"/>
              <w:rPr>
                <w:sz w:val="24"/>
                <w:szCs w:val="24"/>
                <w:color w:val="auto"/>
              </w:rPr>
            </w:pPr>
          </w:p>
        </w:tc>
      </w:tr>
      <w:tr>
        <w:trPr>
          <w:trHeight w:val="161"/>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159"/>
              <w:spacing w:after="0"/>
              <w:rPr>
                <w:sz w:val="20"/>
                <w:szCs w:val="20"/>
                <w:color w:val="auto"/>
              </w:rPr>
            </w:pPr>
            <w:r>
              <w:rPr>
                <w:rFonts w:ascii="Arial" w:cs="Arial" w:eastAsia="Arial" w:hAnsi="Arial"/>
                <w:sz w:val="14"/>
                <w:szCs w:val="14"/>
                <w:color w:val="auto"/>
              </w:rPr>
              <w:t>88,070</w:t>
            </w:r>
          </w:p>
        </w:tc>
        <w:tc>
          <w:tcPr>
            <w:tcW w:w="180" w:type="dxa"/>
            <w:vAlign w:val="bottom"/>
          </w:tcPr>
          <w:p>
            <w:pPr>
              <w:spacing w:after="0"/>
              <w:rPr>
                <w:sz w:val="13"/>
                <w:szCs w:val="13"/>
                <w:color w:val="auto"/>
              </w:rPr>
            </w:pPr>
          </w:p>
        </w:tc>
        <w:tc>
          <w:tcPr>
            <w:tcW w:w="94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124,506</w:t>
            </w:r>
          </w:p>
        </w:tc>
        <w:tc>
          <w:tcPr>
            <w:tcW w:w="20" w:type="dxa"/>
            <w:vAlign w:val="bottom"/>
          </w:tcPr>
          <w:p>
            <w:pPr>
              <w:spacing w:after="0"/>
              <w:rPr>
                <w:sz w:val="13"/>
                <w:szCs w:val="13"/>
                <w:color w:val="auto"/>
              </w:rPr>
            </w:pPr>
          </w:p>
        </w:tc>
      </w:tr>
    </w:tbl>
    <w:p>
      <w:pPr>
        <w:spacing w:after="0" w:line="1" w:lineRule="exact"/>
        <w:rPr>
          <w:sz w:val="20"/>
          <w:szCs w:val="20"/>
          <w:color w:val="auto"/>
        </w:rPr>
      </w:pPr>
    </w:p>
    <w:p>
      <w:pPr>
        <w:sectPr>
          <w:pgSz w:w="11900" w:h="16838" w:orient="portrait"/>
          <w:cols w:equalWidth="0" w:num="2">
            <w:col w:w="6280" w:space="720"/>
            <w:col w:w="4420"/>
          </w:cols>
          <w:pgMar w:left="240" w:top="865" w:right="239" w:bottom="1440" w:gutter="0" w:footer="0" w:header="0"/>
        </w:sectPr>
      </w:pPr>
    </w:p>
    <w:tbl>
      <w:tblPr>
        <w:tblLayout w:type="fixed"/>
        <w:tblInd w:w="0" w:type="dxa"/>
        <w:tblCellMar>
          <w:top w:w="0" w:type="dxa"/>
          <w:left w:w="0" w:type="dxa"/>
          <w:bottom w:w="0" w:type="dxa"/>
          <w:right w:w="0" w:type="dxa"/>
        </w:tblCellMar>
      </w:tblPr>
      <w:tr>
        <w:trPr>
          <w:trHeight w:val="149"/>
        </w:trPr>
        <w:tc>
          <w:tcPr>
            <w:tcW w:w="6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Basic common stock shares outstanding</w:t>
            </w: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92,624,983</w:t>
            </w: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83,538,767</w:t>
            </w: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88,463,526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82,882,405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Basic loss per common stock share from continuing operations</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(0.13)</w:t>
            </w: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(0.12)</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(0.38)</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(0.37)</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tcPr>
          <w:p>
            <w:pPr>
              <w:spacing w:after="0"/>
              <w:rPr>
                <w:sz w:val="20"/>
                <w:szCs w:val="20"/>
                <w:color w:val="auto"/>
              </w:rPr>
            </w:pPr>
            <w:r>
              <w:rPr>
                <w:rFonts w:ascii="Arial" w:cs="Arial" w:eastAsia="Arial" w:hAnsi="Arial"/>
                <w:sz w:val="14"/>
                <w:szCs w:val="14"/>
                <w:color w:val="auto"/>
              </w:rPr>
              <w:t>Basic loss per common stock share from discontinued operations</w:t>
            </w:r>
          </w:p>
        </w:tc>
        <w:tc>
          <w:tcPr>
            <w:tcW w:w="36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8"/>
              <w:spacing w:after="0"/>
              <w:rPr>
                <w:sz w:val="20"/>
                <w:szCs w:val="20"/>
                <w:color w:val="auto"/>
              </w:rPr>
            </w:pPr>
            <w:r>
              <w:rPr>
                <w:rFonts w:ascii="Arial" w:cs="Arial" w:eastAsia="Arial" w:hAnsi="Arial"/>
                <w:sz w:val="14"/>
                <w:szCs w:val="14"/>
                <w:color w:val="auto"/>
              </w:rPr>
              <w:t>(0.00)</w:t>
            </w:r>
          </w:p>
        </w:tc>
        <w:tc>
          <w:tcPr>
            <w:tcW w:w="160" w:type="dxa"/>
            <w:vAlign w:val="bottom"/>
          </w:tcPr>
          <w:p>
            <w:pPr>
              <w:spacing w:after="0"/>
              <w:rPr>
                <w:sz w:val="14"/>
                <w:szCs w:val="14"/>
                <w:color w:val="auto"/>
              </w:rPr>
            </w:pPr>
          </w:p>
        </w:tc>
        <w:tc>
          <w:tcPr>
            <w:tcW w:w="960" w:type="dxa"/>
            <w:vAlign w:val="bottom"/>
            <w:gridSpan w:val="2"/>
          </w:tcPr>
          <w:p>
            <w:pPr>
              <w:jc w:val="right"/>
              <w:ind w:right="119"/>
              <w:spacing w:after="0"/>
              <w:rPr>
                <w:sz w:val="20"/>
                <w:szCs w:val="20"/>
                <w:color w:val="auto"/>
              </w:rPr>
            </w:pPr>
            <w:r>
              <w:rPr>
                <w:rFonts w:ascii="Arial" w:cs="Arial" w:eastAsia="Arial" w:hAnsi="Arial"/>
                <w:sz w:val="14"/>
                <w:szCs w:val="14"/>
                <w:color w:val="auto"/>
              </w:rPr>
              <w:t>(0.01)</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(0.00)</w:t>
            </w:r>
          </w:p>
        </w:tc>
        <w:tc>
          <w:tcPr>
            <w:tcW w:w="2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Basic net loss per common stock share</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(0.13</w:t>
            </w:r>
          </w:p>
        </w:tc>
        <w:tc>
          <w:tcPr>
            <w:tcW w:w="240" w:type="dxa"/>
            <w:vAlign w:val="bottom"/>
            <w:tcBorders>
              <w:top w:val="single" w:sz="8" w:color="CCEEF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84"/>
              </w:rPr>
              <w:t>)</w:t>
            </w: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(0.13</w:t>
            </w:r>
          </w:p>
        </w:tc>
        <w:tc>
          <w:tcPr>
            <w:tcW w:w="200" w:type="dxa"/>
            <w:vAlign w:val="bottom"/>
            <w:tcBorders>
              <w:top w:val="single" w:sz="8" w:color="CCEEFF"/>
            </w:tcBorders>
            <w:shd w:val="clear" w:color="auto" w:fill="CCEEFF"/>
          </w:tcPr>
          <w:p>
            <w:pPr>
              <w:jc w:val="right"/>
              <w:ind w:right="119"/>
              <w:spacing w:after="0"/>
              <w:rPr>
                <w:sz w:val="20"/>
                <w:szCs w:val="20"/>
                <w:color w:val="auto"/>
              </w:rPr>
            </w:pPr>
            <w:r>
              <w:rPr>
                <w:rFonts w:ascii="Arial" w:cs="Arial" w:eastAsia="Arial" w:hAnsi="Arial"/>
                <w:sz w:val="8"/>
                <w:szCs w:val="8"/>
                <w:color w:val="auto"/>
                <w:w w:val="73"/>
              </w:rPr>
              <w:t>)</w:t>
            </w: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(0.38</w:t>
            </w:r>
          </w:p>
        </w:tc>
        <w:tc>
          <w:tcPr>
            <w:tcW w:w="120" w:type="dxa"/>
            <w:vAlign w:val="bottom"/>
            <w:tcBorders>
              <w:top w:val="single" w:sz="8" w:color="CCEEFF"/>
            </w:tcBorders>
            <w:shd w:val="clear" w:color="auto" w:fill="CCEEFF"/>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(0.40</w:t>
            </w:r>
          </w:p>
        </w:tc>
        <w:tc>
          <w:tcPr>
            <w:tcW w:w="10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Diluted Numerator:</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line="149" w:lineRule="exact"/>
              <w:rPr>
                <w:sz w:val="20"/>
                <w:szCs w:val="20"/>
                <w:color w:val="auto"/>
              </w:rPr>
            </w:pPr>
            <w:r>
              <w:rPr>
                <w:rFonts w:ascii="Arial" w:cs="Arial" w:eastAsia="Arial" w:hAnsi="Arial"/>
                <w:sz w:val="14"/>
                <w:szCs w:val="14"/>
                <w:color w:val="auto"/>
              </w:rPr>
              <w:t>Net loss from continuing operations attributable to shares of common stock</w:t>
            </w:r>
          </w:p>
        </w:tc>
        <w:tc>
          <w:tcPr>
            <w:tcW w:w="36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(12,376)</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(9,849)</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(33,325)</w:t>
            </w:r>
          </w:p>
        </w:tc>
        <w:tc>
          <w:tcPr>
            <w:tcW w:w="2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(30,937)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4"/>
                <w:szCs w:val="14"/>
                <w:color w:val="auto"/>
              </w:rPr>
              <w:t>Increase in net loss attributable to derivative warrants</w:t>
            </w:r>
          </w:p>
        </w:tc>
        <w:tc>
          <w:tcPr>
            <w:tcW w:w="36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(2,785)</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(758)</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(2,057)</w:t>
            </w: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Diluted net loss from continuing operations attributable to shares of common stock</w:t>
            </w:r>
          </w:p>
        </w:tc>
        <w:tc>
          <w:tcPr>
            <w:tcW w:w="2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(15,161</w:t>
            </w:r>
          </w:p>
        </w:tc>
        <w:tc>
          <w:tcPr>
            <w:tcW w:w="240" w:type="dxa"/>
            <w:vAlign w:val="bottom"/>
            <w:tcBorders>
              <w:bottom w:val="single" w:sz="8" w:color="CCEEFF"/>
            </w:tcBorders>
          </w:tcPr>
          <w:p>
            <w:pPr>
              <w:jc w:val="right"/>
              <w:ind w:right="108"/>
              <w:spacing w:after="0" w:line="142" w:lineRule="exact"/>
              <w:rPr>
                <w:sz w:val="20"/>
                <w:szCs w:val="20"/>
                <w:color w:val="auto"/>
              </w:rPr>
            </w:pPr>
            <w:r>
              <w:rPr>
                <w:rFonts w:ascii="Arial" w:cs="Arial" w:eastAsia="Arial" w:hAnsi="Arial"/>
                <w:sz w:val="14"/>
                <w:szCs w:val="14"/>
                <w:color w:val="auto"/>
                <w:w w:val="84"/>
              </w:rPr>
              <w:t>)</w:t>
            </w: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(10,607</w:t>
            </w:r>
          </w:p>
        </w:tc>
        <w:tc>
          <w:tcPr>
            <w:tcW w:w="200" w:type="dxa"/>
            <w:vAlign w:val="bottom"/>
            <w:tcBorders>
              <w:bottom w:val="single" w:sz="8" w:color="CCEEFF"/>
            </w:tcBorders>
          </w:tcPr>
          <w:p>
            <w:pPr>
              <w:jc w:val="right"/>
              <w:ind w:right="119"/>
              <w:spacing w:after="0"/>
              <w:rPr>
                <w:sz w:val="20"/>
                <w:szCs w:val="20"/>
                <w:color w:val="auto"/>
              </w:rPr>
            </w:pPr>
            <w:r>
              <w:rPr>
                <w:rFonts w:ascii="Arial" w:cs="Arial" w:eastAsia="Arial" w:hAnsi="Arial"/>
                <w:sz w:val="8"/>
                <w:szCs w:val="8"/>
                <w:color w:val="auto"/>
                <w:w w:val="73"/>
              </w:rPr>
              <w:t>)</w:t>
            </w: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(35,382</w:t>
            </w:r>
          </w:p>
        </w:tc>
        <w:tc>
          <w:tcPr>
            <w:tcW w:w="120" w:type="dxa"/>
            <w:vAlign w:val="bottom"/>
            <w:tcBorders>
              <w:bottom w:val="single" w:sz="8" w:color="CCEEFF"/>
            </w:tcBorders>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(30,990</w:t>
            </w:r>
          </w:p>
        </w:tc>
        <w:tc>
          <w:tcPr>
            <w:tcW w:w="1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Diluted net loss from discontinued operations attributable to shares of common stock</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(711</w:t>
            </w:r>
          </w:p>
        </w:tc>
        <w:tc>
          <w:tcPr>
            <w:tcW w:w="200" w:type="dxa"/>
            <w:vAlign w:val="bottom"/>
            <w:shd w:val="clear" w:color="auto" w:fill="CCEEFF"/>
          </w:tcPr>
          <w:p>
            <w:pPr>
              <w:jc w:val="right"/>
              <w:ind w:right="119"/>
              <w:spacing w:after="0"/>
              <w:rPr>
                <w:sz w:val="20"/>
                <w:szCs w:val="20"/>
                <w:color w:val="auto"/>
              </w:rPr>
            </w:pPr>
            <w:r>
              <w:rPr>
                <w:rFonts w:ascii="Arial" w:cs="Arial" w:eastAsia="Arial" w:hAnsi="Arial"/>
                <w:sz w:val="8"/>
                <w:szCs w:val="8"/>
                <w:color w:val="auto"/>
                <w:w w:val="73"/>
              </w:rPr>
              <w:t>)</w:t>
            </w: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(209</w:t>
            </w:r>
          </w:p>
        </w:tc>
        <w:tc>
          <w:tcPr>
            <w:tcW w:w="120" w:type="dxa"/>
            <w:vAlign w:val="bottom"/>
            <w:shd w:val="clear" w:color="auto" w:fill="CCEEFF"/>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(2,527</w:t>
            </w:r>
          </w:p>
        </w:tc>
        <w:tc>
          <w:tcPr>
            <w:tcW w:w="100" w:type="dxa"/>
            <w:vAlign w:val="bottom"/>
            <w:gridSpan w:val="2"/>
            <w:shd w:val="clear" w:color="auto" w:fill="CCEEFF"/>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Diluted net loss attributable to shares of common stock</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(15,161</w:t>
            </w:r>
          </w:p>
        </w:tc>
        <w:tc>
          <w:tcPr>
            <w:tcW w:w="240" w:type="dxa"/>
            <w:vAlign w:val="bottom"/>
            <w:tcBorders>
              <w:bottom w:val="single" w:sz="8" w:color="CCEEFF"/>
            </w:tcBorders>
          </w:tcPr>
          <w:p>
            <w:pPr>
              <w:jc w:val="right"/>
              <w:ind w:right="108"/>
              <w:spacing w:after="0" w:line="142" w:lineRule="exact"/>
              <w:rPr>
                <w:sz w:val="20"/>
                <w:szCs w:val="20"/>
                <w:color w:val="auto"/>
              </w:rPr>
            </w:pPr>
            <w:r>
              <w:rPr>
                <w:rFonts w:ascii="Arial" w:cs="Arial" w:eastAsia="Arial" w:hAnsi="Arial"/>
                <w:sz w:val="14"/>
                <w:szCs w:val="14"/>
                <w:color w:val="auto"/>
                <w:w w:val="84"/>
              </w:rPr>
              <w:t>)</w:t>
            </w:r>
          </w:p>
        </w:tc>
        <w:tc>
          <w:tcPr>
            <w:tcW w:w="1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(11,318</w:t>
            </w:r>
          </w:p>
        </w:tc>
        <w:tc>
          <w:tcPr>
            <w:tcW w:w="200" w:type="dxa"/>
            <w:vAlign w:val="bottom"/>
            <w:tcBorders>
              <w:bottom w:val="single" w:sz="8" w:color="CCEEFF"/>
            </w:tcBorders>
          </w:tcPr>
          <w:p>
            <w:pPr>
              <w:jc w:val="right"/>
              <w:ind w:right="119"/>
              <w:spacing w:after="0"/>
              <w:rPr>
                <w:sz w:val="20"/>
                <w:szCs w:val="20"/>
                <w:color w:val="auto"/>
              </w:rPr>
            </w:pPr>
            <w:r>
              <w:rPr>
                <w:rFonts w:ascii="Arial" w:cs="Arial" w:eastAsia="Arial" w:hAnsi="Arial"/>
                <w:sz w:val="8"/>
                <w:szCs w:val="8"/>
                <w:color w:val="auto"/>
                <w:w w:val="73"/>
              </w:rPr>
              <w:t>)</w:t>
            </w:r>
          </w:p>
        </w:tc>
        <w:tc>
          <w:tcPr>
            <w:tcW w:w="1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(35,591</w:t>
            </w:r>
          </w:p>
        </w:tc>
        <w:tc>
          <w:tcPr>
            <w:tcW w:w="120" w:type="dxa"/>
            <w:vAlign w:val="bottom"/>
            <w:tcBorders>
              <w:bottom w:val="single" w:sz="8" w:color="CCEEFF"/>
            </w:tcBorders>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(33,517</w:t>
            </w:r>
          </w:p>
        </w:tc>
        <w:tc>
          <w:tcPr>
            <w:tcW w:w="1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780" w:type="dxa"/>
            <w:vAlign w:val="bottom"/>
          </w:tcPr>
          <w:p>
            <w:pPr>
              <w:spacing w:after="0" w:line="149" w:lineRule="exact"/>
              <w:rPr>
                <w:sz w:val="20"/>
                <w:szCs w:val="20"/>
                <w:color w:val="auto"/>
              </w:rPr>
            </w:pPr>
            <w:r>
              <w:rPr>
                <w:rFonts w:ascii="Arial" w:cs="Arial" w:eastAsia="Arial" w:hAnsi="Arial"/>
                <w:sz w:val="14"/>
                <w:szCs w:val="14"/>
                <w:b w:val="1"/>
                <w:bCs w:val="1"/>
                <w:color w:val="auto"/>
              </w:rPr>
              <w:t>Diluted Denominator:</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common stock shares outstanding</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92,624,983</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83,538,767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88,463,526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82,882,405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tcPr>
          <w:p>
            <w:pPr>
              <w:spacing w:after="0"/>
              <w:rPr>
                <w:sz w:val="20"/>
                <w:szCs w:val="20"/>
                <w:color w:val="auto"/>
              </w:rPr>
            </w:pPr>
            <w:r>
              <w:rPr>
                <w:rFonts w:ascii="Arial" w:cs="Arial" w:eastAsia="Arial" w:hAnsi="Arial"/>
                <w:sz w:val="14"/>
                <w:szCs w:val="14"/>
                <w:color w:val="auto"/>
              </w:rPr>
              <w:t>Shares assumed issued upon exercise of derivative warrants during the period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68"/>
              <w:spacing w:after="0"/>
              <w:rPr>
                <w:sz w:val="20"/>
                <w:szCs w:val="20"/>
                <w:color w:val="auto"/>
              </w:rPr>
            </w:pPr>
            <w:r>
              <w:rPr>
                <w:rFonts w:ascii="Arial" w:cs="Arial" w:eastAsia="Arial" w:hAnsi="Arial"/>
                <w:sz w:val="14"/>
                <w:szCs w:val="14"/>
                <w:color w:val="auto"/>
              </w:rPr>
              <w:t>20,316</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2,563,090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79"/>
              <w:spacing w:after="0"/>
              <w:rPr>
                <w:sz w:val="20"/>
                <w:szCs w:val="20"/>
                <w:color w:val="auto"/>
              </w:rPr>
            </w:pPr>
            <w:r>
              <w:rPr>
                <w:rFonts w:ascii="Arial" w:cs="Arial" w:eastAsia="Arial" w:hAnsi="Arial"/>
                <w:sz w:val="14"/>
                <w:szCs w:val="14"/>
                <w:color w:val="auto"/>
              </w:rPr>
              <w:t>1,051,326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89,677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Diluted common stock shares outstanding</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92,645,299</w:t>
            </w: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86,101,857</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89,514,852</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82,972,082</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line="142" w:lineRule="exact"/>
              <w:rPr>
                <w:sz w:val="20"/>
                <w:szCs w:val="20"/>
                <w:color w:val="auto"/>
              </w:rPr>
            </w:pPr>
            <w:r>
              <w:rPr>
                <w:rFonts w:ascii="Arial" w:cs="Arial" w:eastAsia="Arial" w:hAnsi="Arial"/>
                <w:sz w:val="14"/>
                <w:szCs w:val="14"/>
                <w:b w:val="1"/>
                <w:bCs w:val="1"/>
                <w:color w:val="auto"/>
              </w:rPr>
              <w:t>Diluted loss per common stock share from continuing operations</w:t>
            </w:r>
          </w:p>
        </w:tc>
        <w:tc>
          <w:tcPr>
            <w:tcW w:w="20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(0.16)</w:t>
            </w:r>
          </w:p>
        </w:tc>
        <w:tc>
          <w:tcPr>
            <w:tcW w:w="240" w:type="dxa"/>
            <w:vAlign w:val="bottom"/>
          </w:tcPr>
          <w:p>
            <w:pPr>
              <w:spacing w:after="0"/>
              <w:rPr>
                <w:sz w:val="12"/>
                <w:szCs w:val="12"/>
                <w:color w:val="auto"/>
              </w:rPr>
            </w:pPr>
          </w:p>
        </w:tc>
        <w:tc>
          <w:tcPr>
            <w:tcW w:w="160" w:type="dxa"/>
            <w:vAlign w:val="bottom"/>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19"/>
              <w:spacing w:after="0" w:line="142" w:lineRule="exact"/>
              <w:rPr>
                <w:sz w:val="20"/>
                <w:szCs w:val="20"/>
                <w:color w:val="auto"/>
              </w:rPr>
            </w:pPr>
            <w:r>
              <w:rPr>
                <w:rFonts w:ascii="Arial" w:cs="Arial" w:eastAsia="Arial" w:hAnsi="Arial"/>
                <w:sz w:val="14"/>
                <w:szCs w:val="14"/>
                <w:color w:val="auto"/>
              </w:rPr>
              <w:t>(0.12)</w:t>
            </w:r>
          </w:p>
        </w:tc>
        <w:tc>
          <w:tcPr>
            <w:tcW w:w="18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9"/>
              <w:spacing w:after="0" w:line="142" w:lineRule="exact"/>
              <w:rPr>
                <w:sz w:val="20"/>
                <w:szCs w:val="20"/>
                <w:color w:val="auto"/>
              </w:rPr>
            </w:pPr>
            <w:r>
              <w:rPr>
                <w:rFonts w:ascii="Arial" w:cs="Arial" w:eastAsia="Arial" w:hAnsi="Arial"/>
                <w:sz w:val="14"/>
                <w:szCs w:val="14"/>
                <w:color w:val="auto"/>
              </w:rPr>
              <w:t>(0.40)</w:t>
            </w:r>
          </w:p>
        </w:tc>
        <w:tc>
          <w:tcPr>
            <w:tcW w:w="80" w:type="dxa"/>
            <w:vAlign w:val="bottom"/>
          </w:tcPr>
          <w:p>
            <w:pPr>
              <w:spacing w:after="0"/>
              <w:rPr>
                <w:sz w:val="12"/>
                <w:szCs w:val="12"/>
                <w:color w:val="auto"/>
              </w:rPr>
            </w:pPr>
          </w:p>
        </w:tc>
        <w:tc>
          <w:tcPr>
            <w:tcW w:w="18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(0.37)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Diluted loss per common stock share from discontinued operations</w:t>
            </w:r>
          </w:p>
        </w:tc>
        <w:tc>
          <w:tcPr>
            <w:tcW w:w="36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(0.01)</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(0.00)</w:t>
            </w: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Diluted net loss per common stock share</w:t>
            </w:r>
          </w:p>
        </w:tc>
        <w:tc>
          <w:tcPr>
            <w:tcW w:w="2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(0.16</w:t>
            </w:r>
          </w:p>
        </w:tc>
        <w:tc>
          <w:tcPr>
            <w:tcW w:w="240" w:type="dxa"/>
            <w:vAlign w:val="bottom"/>
            <w:tcBorders>
              <w:bottom w:val="single" w:sz="8" w:color="CCEEFF"/>
            </w:tcBorders>
          </w:tcPr>
          <w:p>
            <w:pPr>
              <w:jc w:val="right"/>
              <w:ind w:right="108"/>
              <w:spacing w:after="0" w:line="142" w:lineRule="exact"/>
              <w:rPr>
                <w:sz w:val="20"/>
                <w:szCs w:val="20"/>
                <w:color w:val="auto"/>
              </w:rPr>
            </w:pPr>
            <w:r>
              <w:rPr>
                <w:rFonts w:ascii="Arial" w:cs="Arial" w:eastAsia="Arial" w:hAnsi="Arial"/>
                <w:sz w:val="14"/>
                <w:szCs w:val="14"/>
                <w:color w:val="auto"/>
                <w:w w:val="84"/>
              </w:rPr>
              <w:t>)</w:t>
            </w: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(0.13</w:t>
            </w:r>
          </w:p>
        </w:tc>
        <w:tc>
          <w:tcPr>
            <w:tcW w:w="200" w:type="dxa"/>
            <w:vAlign w:val="bottom"/>
            <w:tcBorders>
              <w:bottom w:val="single" w:sz="8" w:color="CCEEFF"/>
            </w:tcBorders>
          </w:tcPr>
          <w:p>
            <w:pPr>
              <w:jc w:val="right"/>
              <w:ind w:right="119"/>
              <w:spacing w:after="0"/>
              <w:rPr>
                <w:sz w:val="20"/>
                <w:szCs w:val="20"/>
                <w:color w:val="auto"/>
              </w:rPr>
            </w:pPr>
            <w:r>
              <w:rPr>
                <w:rFonts w:ascii="Arial" w:cs="Arial" w:eastAsia="Arial" w:hAnsi="Arial"/>
                <w:sz w:val="8"/>
                <w:szCs w:val="8"/>
                <w:color w:val="auto"/>
                <w:w w:val="73"/>
              </w:rPr>
              <w:t>)</w:t>
            </w: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(0.40</w:t>
            </w:r>
          </w:p>
        </w:tc>
        <w:tc>
          <w:tcPr>
            <w:tcW w:w="120" w:type="dxa"/>
            <w:vAlign w:val="bottom"/>
            <w:tcBorders>
              <w:bottom w:val="single" w:sz="8" w:color="CCEEFF"/>
            </w:tcBorders>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(0.40</w:t>
            </w:r>
          </w:p>
        </w:tc>
        <w:tc>
          <w:tcPr>
            <w:tcW w:w="1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6780" w:type="dxa"/>
            <w:vAlign w:val="bottom"/>
          </w:tcPr>
          <w:p>
            <w:pPr>
              <w:spacing w:after="0" w:line="126" w:lineRule="exact"/>
              <w:rPr>
                <w:sz w:val="20"/>
                <w:szCs w:val="20"/>
                <w:color w:val="auto"/>
              </w:rPr>
            </w:pPr>
            <w:r>
              <w:rPr>
                <w:rFonts w:ascii="Arial" w:cs="Arial" w:eastAsia="Arial" w:hAnsi="Arial"/>
                <w:sz w:val="14"/>
                <w:szCs w:val="14"/>
                <w:b w:val="1"/>
                <w:bCs w:val="1"/>
                <w:color w:val="auto"/>
                <w:w w:val="94"/>
              </w:rPr>
              <w:t>Net loss per share data presented excludes from the calculation of diluted net loss the following potentially</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80" w:type="dxa"/>
            <w:vAlign w:val="bottom"/>
          </w:tcPr>
          <w:p>
            <w:pPr>
              <w:ind w:left="120"/>
              <w:spacing w:after="0"/>
              <w:rPr>
                <w:sz w:val="20"/>
                <w:szCs w:val="20"/>
                <w:color w:val="auto"/>
              </w:rPr>
            </w:pPr>
            <w:r>
              <w:rPr>
                <w:rFonts w:ascii="Arial" w:cs="Arial" w:eastAsia="Arial" w:hAnsi="Arial"/>
                <w:sz w:val="14"/>
                <w:szCs w:val="14"/>
                <w:b w:val="1"/>
                <w:bCs w:val="1"/>
                <w:color w:val="auto"/>
              </w:rPr>
              <w:t>dilutive securities, as they had an anti-dilutive impact: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3"/>
              </w:rPr>
              <w:t>Both vested and unvested options at $0.96-$5.50 exercise price, to purchase an equal number of shares of common</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 of the Company</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10,089,595</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10,225,387</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10,089,595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10,225,387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line="149" w:lineRule="exact"/>
              <w:rPr>
                <w:sz w:val="20"/>
                <w:szCs w:val="20"/>
                <w:color w:val="auto"/>
              </w:rPr>
            </w:pPr>
            <w:r>
              <w:rPr>
                <w:rFonts w:ascii="Arial" w:cs="Arial" w:eastAsia="Arial" w:hAnsi="Arial"/>
                <w:sz w:val="14"/>
                <w:szCs w:val="14"/>
                <w:color w:val="auto"/>
              </w:rPr>
              <w:t>Unvested RSU to issue an equal number of shares of common stock of the Company</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1,425,872</w:t>
            </w:r>
          </w:p>
        </w:tc>
        <w:tc>
          <w:tcPr>
            <w:tcW w:w="160" w:type="dxa"/>
            <w:vAlign w:val="bottom"/>
          </w:tcPr>
          <w:p>
            <w:pPr>
              <w:spacing w:after="0"/>
              <w:rPr>
                <w:sz w:val="12"/>
                <w:szCs w:val="12"/>
                <w:color w:val="auto"/>
              </w:rPr>
            </w:pPr>
          </w:p>
        </w:tc>
        <w:tc>
          <w:tcPr>
            <w:tcW w:w="96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2,411,771</w:t>
            </w:r>
          </w:p>
        </w:tc>
        <w:tc>
          <w:tcPr>
            <w:tcW w:w="180" w:type="dxa"/>
            <w:vAlign w:val="bottom"/>
          </w:tcPr>
          <w:p>
            <w:pPr>
              <w:spacing w:after="0"/>
              <w:rPr>
                <w:sz w:val="12"/>
                <w:szCs w:val="12"/>
                <w:color w:val="auto"/>
              </w:rPr>
            </w:pPr>
          </w:p>
        </w:tc>
        <w:tc>
          <w:tcPr>
            <w:tcW w:w="86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1,425,872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2,411,771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shares granted, but not yet vested</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45,762</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45,762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tcPr>
          <w:p>
            <w:pPr>
              <w:spacing w:after="0"/>
              <w:rPr>
                <w:sz w:val="20"/>
                <w:szCs w:val="20"/>
                <w:color w:val="auto"/>
              </w:rPr>
            </w:pPr>
            <w:r>
              <w:rPr>
                <w:rFonts w:ascii="Arial" w:cs="Arial" w:eastAsia="Arial" w:hAnsi="Arial"/>
                <w:sz w:val="14"/>
                <w:szCs w:val="14"/>
                <w:color w:val="auto"/>
              </w:rPr>
              <w:t>Warrants to purchase an equal number of shares of common stock of the Company</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68"/>
              <w:spacing w:after="0"/>
              <w:rPr>
                <w:sz w:val="20"/>
                <w:szCs w:val="20"/>
                <w:color w:val="auto"/>
              </w:rPr>
            </w:pPr>
            <w:r>
              <w:rPr>
                <w:rFonts w:ascii="Arial" w:cs="Arial" w:eastAsia="Arial" w:hAnsi="Arial"/>
                <w:sz w:val="14"/>
                <w:szCs w:val="14"/>
                <w:color w:val="auto"/>
              </w:rPr>
              <w:t>17,388,161</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15,829,262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79"/>
              <w:spacing w:after="0"/>
              <w:rPr>
                <w:sz w:val="20"/>
                <w:szCs w:val="20"/>
                <w:color w:val="auto"/>
              </w:rPr>
            </w:pPr>
            <w:r>
              <w:rPr>
                <w:rFonts w:ascii="Arial" w:cs="Arial" w:eastAsia="Arial" w:hAnsi="Arial"/>
                <w:sz w:val="14"/>
                <w:szCs w:val="14"/>
                <w:color w:val="auto"/>
              </w:rPr>
              <w:t>16,147,560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18,289,611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number of potentially dilutive instruments, excluded from the calculation of net loss per share</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28,903,628</w:t>
            </w: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28,512,182</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27,663,027</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30,972,531</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Discontinued Operations and Assets Held For Sale</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December 31, 2013, the Company entered into a definitive asset purchase agreement with InfoMedia for the sale of all assets and the assignment of all agreements related to the Company’s mobile social application business. The closing of the transaction occurred on February 18, 2014 (“Closing”).</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Upon Closing, as consideration for the assets and agreements related to the Company’s mobile social application business, the Company received 18 Class B shares of InfoMedia, which represent an 8.25% ownership interest in InfoMedia. Additionally, the Company’s Chief Executive Officer was appointed as a full voting member on InfoMedia’s board of directors and the Company received a number of customary protective rights. The InfoMedia Class B shares were accounted for as a cost-method investment at the carrying amount of $787 and are included in Other assets in the consolidated balance sheet as of September 30, 2014. During the nine month period ended September 30, 2014, there were no events or changes in circumstances that would indicate that the carrying amount of this investment may no longer be recoverable.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asset purchase agreement, the requirement to report the results of the Company’s mobile social application business as discontinued operations was triggered. The following tables represent the components of operating results from discontinued operations, as presented in the consolidated statements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340" w:type="dxa"/>
            <w:vAlign w:val="bottom"/>
            <w:gridSpan w:val="5"/>
          </w:tcPr>
          <w:p>
            <w:pPr>
              <w:jc w:val="right"/>
              <w:ind w:right="170"/>
              <w:spacing w:after="0"/>
              <w:rPr>
                <w:sz w:val="20"/>
                <w:szCs w:val="20"/>
                <w:color w:val="auto"/>
              </w:rPr>
            </w:pPr>
            <w:r>
              <w:rPr>
                <w:rFonts w:ascii="Arial" w:cs="Arial" w:eastAsia="Arial" w:hAnsi="Arial"/>
                <w:sz w:val="18"/>
                <w:szCs w:val="18"/>
                <w:color w:val="auto"/>
              </w:rPr>
              <w:t>Three months ended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September 30,</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2014</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45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Operating expenses</w:t>
            </w:r>
          </w:p>
        </w:tc>
        <w:tc>
          <w:tcPr>
            <w:tcW w:w="4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45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w:t>
            </w:r>
          </w:p>
        </w:tc>
        <w:tc>
          <w:tcPr>
            <w:tcW w:w="4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Loss before taxes on income</w:t>
            </w:r>
          </w:p>
        </w:tc>
        <w:tc>
          <w:tcPr>
            <w:tcW w:w="45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4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45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520" w:type="dxa"/>
            <w:vAlign w:val="bottom"/>
            <w:vMerge w:val="restart"/>
          </w:tcPr>
          <w:p>
            <w:pPr>
              <w:jc w:val="right"/>
              <w:ind w:right="2690"/>
              <w:spacing w:after="0"/>
              <w:rPr>
                <w:sz w:val="20"/>
                <w:szCs w:val="20"/>
                <w:color w:val="auto"/>
              </w:rPr>
            </w:pPr>
            <w:r>
              <w:rPr>
                <w:rFonts w:ascii="Arial" w:cs="Arial" w:eastAsia="Arial" w:hAnsi="Arial"/>
                <w:sz w:val="18"/>
                <w:szCs w:val="18"/>
                <w:color w:val="auto"/>
              </w:rPr>
              <w:t>11</w:t>
            </w: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vMerge w:val="continue"/>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65" w:right="239" w:bottom="1440" w:gutter="0" w:footer="0" w:header="0"/>
          <w:type w:val="continuous"/>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840" w:type="dxa"/>
            <w:vAlign w:val="bottom"/>
            <w:gridSpan w:val="8"/>
          </w:tcPr>
          <w:p>
            <w:pPr>
              <w:jc w:val="right"/>
              <w:ind w:right="80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6"/>
              </w:rPr>
              <w:t>September 30,</w:t>
            </w: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bottom w:val="single" w:sz="8" w:color="CCEEFF"/>
            </w:tcBorders>
          </w:tcPr>
          <w:p>
            <w:pPr>
              <w:spacing w:after="0"/>
              <w:rPr>
                <w:sz w:val="19"/>
                <w:szCs w:val="19"/>
                <w:color w:val="auto"/>
              </w:rPr>
            </w:pPr>
          </w:p>
        </w:tc>
        <w:tc>
          <w:tcPr>
            <w:tcW w:w="30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44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4"/>
              </w:rPr>
              <w:t>2013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Operating expenses</w:t>
            </w:r>
          </w:p>
        </w:tc>
        <w:tc>
          <w:tcPr>
            <w:tcW w:w="30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(266)</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0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w:t>
            </w:r>
          </w:p>
        </w:tc>
        <w:tc>
          <w:tcPr>
            <w:tcW w:w="30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Loss before taxes on income</w:t>
            </w:r>
          </w:p>
        </w:tc>
        <w:tc>
          <w:tcPr>
            <w:tcW w:w="30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(209)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(2,480)</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0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3040" w:type="dxa"/>
            <w:vAlign w:val="bottom"/>
          </w:tcPr>
          <w:p>
            <w:pPr>
              <w:spacing w:after="0"/>
              <w:rPr>
                <w:sz w:val="19"/>
                <w:szCs w:val="19"/>
                <w:color w:val="auto"/>
              </w:rPr>
            </w:pPr>
          </w:p>
        </w:tc>
        <w:tc>
          <w:tcPr>
            <w:tcW w:w="84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400" w:type="dxa"/>
            <w:vAlign w:val="bottom"/>
            <w:tcBorders>
              <w:top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(2,527</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following table presents the carrying amounts of the major classes of assets from the discontinued mobile social application business in the Company’s consolidated balance sheet as of December 31, 2013. These assets were transferred to InfoMedia upon Closing. As of December 31, 2013, there were no liabilities classified as held for sale and no liabilities were transferred to InfoMedia upon Closing.</w:t>
      </w:r>
    </w:p>
    <w:p>
      <w:pPr>
        <w:sectPr>
          <w:pgSz w:w="11900" w:h="16838" w:orient="portrait"/>
          <w:cols w:equalWidth="0" w:num="1">
            <w:col w:w="11420"/>
          </w:cols>
          <w:pgMar w:left="240" w:top="88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51764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Goodwill at carrying amount of $208, net of $208 loss on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51764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ind w:right="160"/>
        <w:spacing w:after="0" w:line="250" w:lineRule="auto"/>
        <w:rPr>
          <w:sz w:val="20"/>
          <w:szCs w:val="20"/>
          <w:color w:val="auto"/>
        </w:rPr>
      </w:pPr>
      <w:r>
        <w:rPr>
          <w:rFonts w:ascii="Arial" w:cs="Arial" w:eastAsia="Arial" w:hAnsi="Arial"/>
          <w:sz w:val="18"/>
          <w:szCs w:val="18"/>
          <w:color w:val="auto"/>
        </w:rPr>
        <w:t>Acquired technology at carrying amount of $10,133, net of $2,451 accumulated amortization and $7,045 loss on impairment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Total 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51764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Measurements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As of December</w:t>
      </w:r>
    </w:p>
    <w:p>
      <w:pPr>
        <w:spacing w:after="0" w:line="46"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31, 2013</w:t>
      </w:r>
    </w:p>
    <w:p>
      <w:pPr>
        <w:spacing w:after="0" w:line="23" w:lineRule="exact"/>
        <w:rPr>
          <w:sz w:val="20"/>
          <w:szCs w:val="20"/>
          <w:color w:val="auto"/>
        </w:rPr>
      </w:pPr>
    </w:p>
    <w:p>
      <w:pPr>
        <w:ind w:left="1020" w:hanging="1011"/>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48</w:t>
      </w:r>
    </w:p>
    <w:p>
      <w:pPr>
        <w:spacing w:after="0" w:line="45"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6"/>
          <w:szCs w:val="16"/>
          <w:color w:val="auto"/>
        </w:rPr>
        <w:t>102</w:t>
      </w:r>
    </w:p>
    <w:p>
      <w:pPr>
        <w:spacing w:after="0" w:line="32" w:lineRule="exact"/>
        <w:rPr>
          <w:rFonts w:ascii="Arial" w:cs="Arial" w:eastAsia="Arial" w:hAnsi="Arial"/>
          <w:sz w:val="16"/>
          <w:szCs w:val="16"/>
          <w:color w:val="auto"/>
        </w:rPr>
      </w:pPr>
    </w:p>
    <w:p>
      <w:pPr>
        <w:ind w:left="102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24" w:lineRule="exact"/>
        <w:rPr>
          <w:sz w:val="20"/>
          <w:szCs w:val="20"/>
          <w:color w:val="auto"/>
        </w:rPr>
      </w:pPr>
    </w:p>
    <w:p>
      <w:pPr>
        <w:jc w:val="right"/>
        <w:ind w:right="1240"/>
        <w:spacing w:after="0"/>
        <w:rPr>
          <w:sz w:val="20"/>
          <w:szCs w:val="20"/>
          <w:color w:val="auto"/>
        </w:rPr>
      </w:pPr>
      <w:r>
        <w:rPr>
          <w:rFonts w:ascii="Arial" w:cs="Arial" w:eastAsia="Arial" w:hAnsi="Arial"/>
          <w:sz w:val="18"/>
          <w:szCs w:val="18"/>
          <w:color w:val="auto"/>
        </w:rPr>
        <w:t>637</w:t>
      </w:r>
    </w:p>
    <w:p>
      <w:pPr>
        <w:spacing w:after="0" w:line="36" w:lineRule="exact"/>
        <w:rPr>
          <w:sz w:val="20"/>
          <w:szCs w:val="20"/>
          <w:color w:val="auto"/>
        </w:rPr>
      </w:pPr>
    </w:p>
    <w:p>
      <w:pPr>
        <w:ind w:left="920" w:hanging="911"/>
        <w:spacing w:after="0"/>
        <w:tabs>
          <w:tab w:leader="none" w:pos="920" w:val="left"/>
        </w:tabs>
        <w:numPr>
          <w:ilvl w:val="0"/>
          <w:numId w:val="4"/>
        </w:numPr>
        <w:rPr>
          <w:rFonts w:ascii="Arial" w:cs="Arial" w:eastAsia="Arial" w:hAnsi="Arial"/>
          <w:sz w:val="16"/>
          <w:szCs w:val="16"/>
          <w:color w:val="auto"/>
        </w:rPr>
      </w:pPr>
      <w:r>
        <w:rPr>
          <w:rFonts w:ascii="Arial" w:cs="Arial" w:eastAsia="Arial" w:hAnsi="Arial"/>
          <w:sz w:val="16"/>
          <w:szCs w:val="16"/>
          <w:color w:val="auto"/>
        </w:rPr>
        <w:t>787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46355</wp:posOffset>
            </wp:positionV>
            <wp:extent cx="7543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691" w:lineRule="exact"/>
        <w:rPr>
          <w:sz w:val="20"/>
          <w:szCs w:val="20"/>
          <w:color w:val="auto"/>
        </w:rPr>
      </w:pPr>
    </w:p>
    <w:p>
      <w:pPr>
        <w:sectPr>
          <w:pgSz w:w="11900" w:h="16838" w:orient="portrait"/>
          <w:cols w:equalWidth="0" w:num="2">
            <w:col w:w="8260" w:space="720"/>
            <w:col w:w="2440"/>
          </w:cols>
          <w:pgMar w:left="240" w:top="881" w:right="239" w:bottom="1440" w:gutter="0" w:footer="0" w:header="0"/>
          <w:type w:val="continuous"/>
        </w:sectPr>
      </w:pPr>
    </w:p>
    <w:p>
      <w:pPr>
        <w:spacing w:after="0" w:line="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measures fair value in accordance with FASB ASC 820-10,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FASB ASC 820-10 clarifies that fair value is an exit price, representing the amount that would be received by selling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FASB ASC 820-10 establishes a three-tier value hierarchy, which prioritizes the inputs used in the valuation methodologies in measuring fair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 Unadjusted quoted prices in active markets for identical assets or liabilities accessible to the reporting entity at the measurement date.</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 Other than quoted prices included in Level 1 inputs that are observable for the asset or liability, either directly or indirectly, for substantially the full</w:t>
      </w:r>
      <w:r>
        <w:rPr>
          <w:rFonts w:ascii="Arial" w:cs="Arial" w:eastAsia="Arial" w:hAnsi="Arial"/>
          <w:sz w:val="18"/>
          <w:szCs w:val="18"/>
          <w:b w:val="1"/>
          <w:bCs w:val="1"/>
          <w:color w:val="auto"/>
        </w:rPr>
        <w:t xml:space="preserve"> </w:t>
      </w:r>
      <w:r>
        <w:rPr>
          <w:rFonts w:ascii="Arial" w:cs="Arial" w:eastAsia="Arial" w:hAnsi="Arial"/>
          <w:sz w:val="18"/>
          <w:szCs w:val="18"/>
          <w:color w:val="auto"/>
        </w:rPr>
        <w:t>term of the asset or liability.</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 Unobservable inputs for the asset or liability used to measure fair value to the extent that observable inputs are not available, thereby allowing for</w:t>
      </w:r>
      <w:r>
        <w:rPr>
          <w:rFonts w:ascii="Arial" w:cs="Arial" w:eastAsia="Arial" w:hAnsi="Arial"/>
          <w:sz w:val="18"/>
          <w:szCs w:val="18"/>
          <w:b w:val="1"/>
          <w:bCs w:val="1"/>
          <w:color w:val="auto"/>
        </w:rPr>
        <w:t xml:space="preserve"> </w:t>
      </w:r>
      <w:r>
        <w:rPr>
          <w:rFonts w:ascii="Arial" w:cs="Arial" w:eastAsia="Arial" w:hAnsi="Arial"/>
          <w:sz w:val="18"/>
          <w:szCs w:val="18"/>
          <w:color w:val="auto"/>
        </w:rPr>
        <w:t>situations in which there is little, if any, market activity for the asset or liability at measurement date.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placement in the fair value hierarchy of liabilities measured at fair value on a recurring basis as of September 30, 2014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00" w:type="dxa"/>
            <w:vAlign w:val="bottom"/>
            <w:gridSpan w:val="8"/>
          </w:tcPr>
          <w:p>
            <w:pPr>
              <w:jc w:val="center"/>
              <w:ind w:right="100"/>
              <w:spacing w:after="0"/>
              <w:rPr>
                <w:sz w:val="20"/>
                <w:szCs w:val="20"/>
                <w:color w:val="auto"/>
              </w:rPr>
            </w:pPr>
            <w:r>
              <w:rPr>
                <w:rFonts w:ascii="Arial" w:cs="Arial" w:eastAsia="Arial" w:hAnsi="Arial"/>
                <w:sz w:val="18"/>
                <w:szCs w:val="18"/>
                <w:color w:val="auto"/>
                <w:w w:val="89"/>
              </w:rPr>
              <w:t>Fair value measurement at reporting date using</w:t>
            </w:r>
          </w:p>
        </w:tc>
      </w:tr>
      <w:tr>
        <w:trPr>
          <w:trHeight w:val="195"/>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Borders>
              <w:top w:val="single" w:sz="8" w:color="auto"/>
            </w:tcBorders>
            <w:gridSpan w:val="2"/>
          </w:tcPr>
          <w:p>
            <w:pPr>
              <w:jc w:val="center"/>
              <w:ind w:right="220"/>
              <w:spacing w:after="0" w:line="195" w:lineRule="exact"/>
              <w:rPr>
                <w:sz w:val="20"/>
                <w:szCs w:val="20"/>
                <w:color w:val="auto"/>
              </w:rPr>
            </w:pPr>
            <w:r>
              <w:rPr>
                <w:rFonts w:ascii="Arial" w:cs="Arial" w:eastAsia="Arial" w:hAnsi="Arial"/>
                <w:sz w:val="18"/>
                <w:szCs w:val="18"/>
                <w:color w:val="auto"/>
                <w:w w:val="91"/>
              </w:rPr>
              <w:t>Quoted prices in</w:t>
            </w:r>
          </w:p>
        </w:tc>
        <w:tc>
          <w:tcPr>
            <w:tcW w:w="1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active markets</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Significant 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Significant</w:t>
            </w:r>
          </w:p>
        </w:tc>
      </w:tr>
      <w:tr>
        <w:trPr>
          <w:trHeight w:val="230"/>
        </w:trPr>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for identical</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observable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unobservable</w:t>
            </w: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Derivative warrant liabilities</w:t>
            </w:r>
          </w:p>
        </w:tc>
        <w:tc>
          <w:tcPr>
            <w:tcW w:w="260" w:type="dxa"/>
            <w:vAlign w:val="bottom"/>
          </w:tcPr>
          <w:p>
            <w:pPr>
              <w:spacing w:after="0"/>
              <w:rPr>
                <w:sz w:val="20"/>
                <w:szCs w:val="20"/>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color w:val="auto"/>
              </w:rPr>
              <w:t>Balance</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assets (Level 1)</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inputs (Level 2)</w:t>
            </w:r>
          </w:p>
        </w:tc>
        <w:tc>
          <w:tcPr>
            <w:tcW w:w="100" w:type="dxa"/>
            <w:vAlign w:val="bottom"/>
          </w:tcPr>
          <w:p>
            <w:pPr>
              <w:spacing w:after="0"/>
              <w:rPr>
                <w:sz w:val="20"/>
                <w:szCs w:val="20"/>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inputs (Level 3)</w:t>
            </w:r>
          </w:p>
        </w:tc>
      </w:tr>
      <w:tr>
        <w:trPr>
          <w:trHeight w:val="210"/>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 of September 30, 2014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As of December 31, 2013</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4,083</w:t>
            </w:r>
          </w:p>
        </w:tc>
        <w:tc>
          <w:tcPr>
            <w:tcW w:w="240" w:type="dxa"/>
            <w:vAlign w:val="bottom"/>
          </w:tcPr>
          <w:p>
            <w:pPr>
              <w:spacing w:after="0"/>
              <w:rPr>
                <w:sz w:val="20"/>
                <w:szCs w:val="20"/>
                <w:color w:val="auto"/>
              </w:rPr>
            </w:pPr>
          </w:p>
        </w:tc>
        <w:tc>
          <w:tcPr>
            <w:tcW w:w="150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4,083</w:t>
            </w:r>
          </w:p>
        </w:tc>
      </w:tr>
      <w:tr>
        <w:trPr>
          <w:trHeight w:val="634"/>
        </w:trPr>
        <w:tc>
          <w:tcPr>
            <w:tcW w:w="5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12</w:t>
            </w: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type w:val="continuous"/>
        </w:sectPr>
      </w:pPr>
    </w:p>
    <w:bookmarkStart w:id="12" w:name="page13"/>
    <w:bookmarkEnd w:id="12"/>
    <w:p>
      <w:pPr>
        <w:jc w:val="both"/>
        <w:spacing w:after="0" w:line="286" w:lineRule="auto"/>
        <w:rPr>
          <w:sz w:val="20"/>
          <w:szCs w:val="20"/>
          <w:color w:val="auto"/>
        </w:rPr>
      </w:pPr>
      <w:r>
        <w:rPr>
          <w:rFonts w:ascii="Arial" w:cs="Arial" w:eastAsia="Arial" w:hAnsi="Arial"/>
          <w:sz w:val="17"/>
          <w:szCs w:val="17"/>
          <w:color w:val="auto"/>
        </w:rPr>
        <w:t>The Company measures its derivative liabilities at fair value. The Special Bridge Warrants, Conversion Warrants, the derivative Reload Warrants and the derivative Series 1 Warrants (as defined in Note 8) are classified within Level 3 because they are valued using the Black-Scholes-Merton and the Monte-Carlo models (as these warrants include down-round protection clauses), which utilize significant inputs that are unobservable in the market.</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placement in the fair value hierarchy of assets that are measured at fair value on a non-recurring basis as of December 31, 2013 (there were no such assets or liabilities as of September 30, 2014):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7"/>
          </w:tcPr>
          <w:p>
            <w:pPr>
              <w:jc w:val="right"/>
              <w:ind w:right="185"/>
              <w:spacing w:after="0"/>
              <w:rPr>
                <w:sz w:val="20"/>
                <w:szCs w:val="20"/>
                <w:color w:val="auto"/>
              </w:rPr>
            </w:pPr>
            <w:r>
              <w:rPr>
                <w:rFonts w:ascii="Arial" w:cs="Arial" w:eastAsia="Arial" w:hAnsi="Arial"/>
                <w:sz w:val="18"/>
                <w:szCs w:val="18"/>
                <w:color w:val="auto"/>
                <w:w w:val="92"/>
              </w:rPr>
              <w:t>Fair value measurement at reporting date using</w:t>
            </w: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4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340"/>
              <w:spacing w:after="0" w:line="195" w:lineRule="exact"/>
              <w:rPr>
                <w:sz w:val="20"/>
                <w:szCs w:val="20"/>
                <w:color w:val="auto"/>
              </w:rPr>
            </w:pPr>
            <w:r>
              <w:rPr>
                <w:rFonts w:ascii="Arial" w:cs="Arial" w:eastAsia="Arial" w:hAnsi="Arial"/>
                <w:sz w:val="18"/>
                <w:szCs w:val="18"/>
                <w:color w:val="auto"/>
                <w:w w:val="89"/>
              </w:rPr>
              <w:t>Quoted prices in</w:t>
            </w: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active markets</w:t>
            </w:r>
          </w:p>
        </w:tc>
        <w:tc>
          <w:tcPr>
            <w:tcW w:w="1800" w:type="dxa"/>
            <w:vAlign w:val="bottom"/>
            <w:gridSpan w:val="3"/>
          </w:tcPr>
          <w:p>
            <w:pPr>
              <w:jc w:val="center"/>
              <w:ind w:right="265"/>
              <w:spacing w:after="0"/>
              <w:rPr>
                <w:sz w:val="20"/>
                <w:szCs w:val="20"/>
                <w:color w:val="auto"/>
              </w:rPr>
            </w:pPr>
            <w:r>
              <w:rPr>
                <w:rFonts w:ascii="Arial" w:cs="Arial" w:eastAsia="Arial" w:hAnsi="Arial"/>
                <w:sz w:val="18"/>
                <w:szCs w:val="18"/>
                <w:color w:val="auto"/>
                <w:w w:val="94"/>
              </w:rPr>
              <w:t>Significant other</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Significant</w:t>
            </w:r>
          </w:p>
        </w:tc>
      </w:tr>
      <w:tr>
        <w:trPr>
          <w:trHeight w:val="216"/>
        </w:trPr>
        <w:tc>
          <w:tcPr>
            <w:tcW w:w="4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for identical</w:t>
            </w:r>
          </w:p>
        </w:tc>
        <w:tc>
          <w:tcPr>
            <w:tcW w:w="1800" w:type="dxa"/>
            <w:vAlign w:val="bottom"/>
            <w:gridSpan w:val="3"/>
          </w:tcPr>
          <w:p>
            <w:pPr>
              <w:jc w:val="center"/>
              <w:ind w:right="265"/>
              <w:spacing w:after="0"/>
              <w:rPr>
                <w:sz w:val="20"/>
                <w:szCs w:val="20"/>
                <w:color w:val="auto"/>
              </w:rPr>
            </w:pPr>
            <w:r>
              <w:rPr>
                <w:rFonts w:ascii="Arial" w:cs="Arial" w:eastAsia="Arial" w:hAnsi="Arial"/>
                <w:sz w:val="18"/>
                <w:szCs w:val="18"/>
                <w:color w:val="auto"/>
                <w:w w:val="88"/>
              </w:rPr>
              <w:t>observable</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unobservable</w:t>
            </w:r>
          </w:p>
        </w:tc>
      </w:tr>
      <w:tr>
        <w:trPr>
          <w:trHeight w:val="230"/>
        </w:trPr>
        <w:tc>
          <w:tcPr>
            <w:tcW w:w="47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Balance</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assets (Level 1)</w:t>
            </w:r>
          </w:p>
        </w:tc>
        <w:tc>
          <w:tcPr>
            <w:tcW w:w="1800" w:type="dxa"/>
            <w:vAlign w:val="bottom"/>
            <w:gridSpan w:val="3"/>
          </w:tcPr>
          <w:p>
            <w:pPr>
              <w:jc w:val="center"/>
              <w:ind w:right="265"/>
              <w:spacing w:after="0"/>
              <w:rPr>
                <w:sz w:val="20"/>
                <w:szCs w:val="20"/>
                <w:color w:val="auto"/>
              </w:rPr>
            </w:pPr>
            <w:r>
              <w:rPr>
                <w:rFonts w:ascii="Arial" w:cs="Arial" w:eastAsia="Arial" w:hAnsi="Arial"/>
                <w:sz w:val="18"/>
                <w:szCs w:val="18"/>
                <w:color w:val="auto"/>
                <w:w w:val="92"/>
              </w:rPr>
              <w:t>inputs (Level 2)</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inputs (Level 3)</w:t>
            </w: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114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above, the Company’s financial instruments as of September 30, 2014 and December 31, 2013 consisted of cash, cash equivalents, receivables, accounts payable and deposits. The carrying amounts of all the aforementioned financial instruments approximate fair value. The following table summarizes the changes in the Company’s liabilities measured at fair value on a recurring basis using significant unobservable inputs (Level 3) during the nine month period ended September 30, 2014:</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Level 3</w:t>
            </w:r>
          </w:p>
        </w:tc>
      </w:tr>
      <w:tr>
        <w:trPr>
          <w:trHeight w:val="210"/>
        </w:trPr>
        <w:tc>
          <w:tcPr>
            <w:tcW w:w="8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540" w:type="dxa"/>
            <w:vAlign w:val="bottom"/>
          </w:tcPr>
          <w:p>
            <w:pPr>
              <w:spacing w:after="0"/>
              <w:rPr>
                <w:sz w:val="20"/>
                <w:szCs w:val="20"/>
                <w:color w:val="auto"/>
              </w:rPr>
            </w:pPr>
            <w:r>
              <w:rPr>
                <w:rFonts w:ascii="Arial" w:cs="Arial" w:eastAsia="Arial" w:hAnsi="Arial"/>
                <w:sz w:val="18"/>
                <w:szCs w:val="18"/>
                <w:color w:val="auto"/>
              </w:rPr>
              <w:t>Fair value adjustment, prior to exercise of warrants, included in consolidated statement of operations</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Exercise of derivative warrants</w:t>
            </w: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(1,707)</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Fair value adjustment at end of period, included in consolidated statement of operations</w:t>
            </w:r>
          </w:p>
        </w:tc>
        <w:tc>
          <w:tcPr>
            <w:tcW w:w="32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(2,113)</w:t>
            </w:r>
          </w:p>
        </w:tc>
      </w:tr>
      <w:tr>
        <w:trPr>
          <w:trHeight w:val="223"/>
        </w:trPr>
        <w:tc>
          <w:tcPr>
            <w:tcW w:w="8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2014</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processes for Level 3 Fair Value Measurements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measurement of the derivative warrant liabilities related to the Special Bridge Warrants, Conversion Warrants, Reload Warrants and Series 1 Warrants (as defined in Note 8) fall within Level 3 of the fair value hierarchy. The fair value measurements are evaluated by management to ensure that changes are consistent with expectations of management based upon the sensitivity and nature of the inputs.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540" w:type="dxa"/>
            <w:vAlign w:val="bottom"/>
            <w:gridSpan w:val="2"/>
          </w:tcPr>
          <w:p>
            <w:pPr>
              <w:ind w:left="1360"/>
              <w:spacing w:after="0"/>
              <w:rPr>
                <w:sz w:val="20"/>
                <w:szCs w:val="20"/>
                <w:color w:val="auto"/>
              </w:rPr>
            </w:pPr>
            <w:r>
              <w:rPr>
                <w:rFonts w:ascii="Arial" w:cs="Arial" w:eastAsia="Arial" w:hAnsi="Arial"/>
                <w:sz w:val="14"/>
                <w:szCs w:val="14"/>
                <w:color w:val="auto"/>
              </w:rPr>
              <w:t>Description</w:t>
            </w:r>
          </w:p>
        </w:tc>
        <w:tc>
          <w:tcPr>
            <w:tcW w:w="2760" w:type="dxa"/>
            <w:vAlign w:val="bottom"/>
            <w:gridSpan w:val="2"/>
          </w:tcPr>
          <w:p>
            <w:pPr>
              <w:ind w:left="740"/>
              <w:spacing w:after="0"/>
              <w:rPr>
                <w:sz w:val="20"/>
                <w:szCs w:val="20"/>
                <w:color w:val="auto"/>
              </w:rPr>
            </w:pPr>
            <w:r>
              <w:rPr>
                <w:rFonts w:ascii="Arial" w:cs="Arial" w:eastAsia="Arial" w:hAnsi="Arial"/>
                <w:sz w:val="14"/>
                <w:szCs w:val="14"/>
                <w:color w:val="auto"/>
              </w:rPr>
              <w:t>Valuation technique</w:t>
            </w:r>
          </w:p>
        </w:tc>
        <w:tc>
          <w:tcPr>
            <w:tcW w:w="2840" w:type="dxa"/>
            <w:vAlign w:val="bottom"/>
            <w:gridSpan w:val="2"/>
          </w:tcPr>
          <w:p>
            <w:pPr>
              <w:ind w:left="760"/>
              <w:spacing w:after="0"/>
              <w:rPr>
                <w:sz w:val="20"/>
                <w:szCs w:val="20"/>
                <w:color w:val="auto"/>
              </w:rPr>
            </w:pPr>
            <w:r>
              <w:rPr>
                <w:rFonts w:ascii="Arial" w:cs="Arial" w:eastAsia="Arial" w:hAnsi="Arial"/>
                <w:sz w:val="14"/>
                <w:szCs w:val="14"/>
                <w:color w:val="auto"/>
              </w:rPr>
              <w:t>Unobservable inputs</w:t>
            </w:r>
          </w:p>
        </w:tc>
        <w:tc>
          <w:tcPr>
            <w:tcW w:w="2180" w:type="dxa"/>
            <w:vAlign w:val="bottom"/>
            <w:gridSpan w:val="2"/>
          </w:tcPr>
          <w:p>
            <w:pPr>
              <w:ind w:left="880"/>
              <w:spacing w:after="0"/>
              <w:rPr>
                <w:sz w:val="20"/>
                <w:szCs w:val="20"/>
                <w:color w:val="auto"/>
              </w:rPr>
            </w:pPr>
            <w:r>
              <w:rPr>
                <w:rFonts w:ascii="Arial" w:cs="Arial" w:eastAsia="Arial" w:hAnsi="Arial"/>
                <w:sz w:val="14"/>
                <w:szCs w:val="14"/>
                <w:color w:val="auto"/>
              </w:rPr>
              <w:t>Range</w:t>
            </w:r>
          </w:p>
        </w:tc>
      </w:tr>
      <w:tr>
        <w:trPr>
          <w:trHeight w:val="123"/>
        </w:trPr>
        <w:tc>
          <w:tcPr>
            <w:tcW w:w="20" w:type="dxa"/>
            <w:vAlign w:val="bottom"/>
          </w:tcPr>
          <w:p>
            <w:pPr>
              <w:spacing w:after="0"/>
              <w:rPr>
                <w:sz w:val="10"/>
                <w:szCs w:val="10"/>
                <w:color w:val="auto"/>
              </w:rPr>
            </w:pPr>
          </w:p>
        </w:tc>
        <w:tc>
          <w:tcPr>
            <w:tcW w:w="342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w w:val="94"/>
              </w:rPr>
              <w:t>Special Bridge Warrants, Conversion Warrants, derivative</w:t>
            </w:r>
          </w:p>
        </w:tc>
        <w:tc>
          <w:tcPr>
            <w:tcW w:w="120" w:type="dxa"/>
            <w:vAlign w:val="bottom"/>
          </w:tcPr>
          <w:p>
            <w:pPr>
              <w:spacing w:after="0"/>
              <w:rPr>
                <w:sz w:val="10"/>
                <w:szCs w:val="10"/>
                <w:color w:val="auto"/>
              </w:rPr>
            </w:pPr>
          </w:p>
        </w:tc>
        <w:tc>
          <w:tcPr>
            <w:tcW w:w="26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Black-Scholes-Merton and the</w:t>
            </w:r>
          </w:p>
        </w:tc>
        <w:tc>
          <w:tcPr>
            <w:tcW w:w="120" w:type="dxa"/>
            <w:vAlign w:val="bottom"/>
          </w:tcPr>
          <w:p>
            <w:pPr>
              <w:spacing w:after="0"/>
              <w:rPr>
                <w:sz w:val="10"/>
                <w:szCs w:val="10"/>
                <w:color w:val="auto"/>
              </w:rPr>
            </w:pPr>
          </w:p>
        </w:tc>
        <w:tc>
          <w:tcPr>
            <w:tcW w:w="272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Volatility</w:t>
            </w:r>
          </w:p>
        </w:tc>
        <w:tc>
          <w:tcPr>
            <w:tcW w:w="120" w:type="dxa"/>
            <w:vAlign w:val="bottom"/>
          </w:tcPr>
          <w:p>
            <w:pPr>
              <w:spacing w:after="0"/>
              <w:rPr>
                <w:sz w:val="10"/>
                <w:szCs w:val="10"/>
                <w:color w:val="auto"/>
              </w:rPr>
            </w:pPr>
          </w:p>
        </w:tc>
        <w:tc>
          <w:tcPr>
            <w:tcW w:w="21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58.34% – 92.99%</w:t>
            </w:r>
          </w:p>
        </w:tc>
        <w:tc>
          <w:tcPr>
            <w:tcW w:w="20" w:type="dxa"/>
            <w:vAlign w:val="bottom"/>
          </w:tcPr>
          <w:p>
            <w:pPr>
              <w:spacing w:after="0"/>
              <w:rPr>
                <w:sz w:val="10"/>
                <w:szCs w:val="10"/>
                <w:color w:val="auto"/>
              </w:rPr>
            </w:pPr>
          </w:p>
        </w:tc>
      </w:tr>
      <w:tr>
        <w:trPr>
          <w:trHeight w:val="149"/>
        </w:trPr>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Reload Warrants and derivative Series 1 Warrants</w:t>
            </w:r>
          </w:p>
        </w:tc>
        <w:tc>
          <w:tcPr>
            <w:tcW w:w="2760" w:type="dxa"/>
            <w:vAlign w:val="bottom"/>
            <w:gridSpan w:val="2"/>
          </w:tcPr>
          <w:p>
            <w:pPr>
              <w:spacing w:after="0" w:line="149" w:lineRule="exact"/>
              <w:rPr>
                <w:sz w:val="20"/>
                <w:szCs w:val="20"/>
                <w:color w:val="auto"/>
              </w:rPr>
            </w:pPr>
            <w:r>
              <w:rPr>
                <w:rFonts w:ascii="Arial" w:cs="Arial" w:eastAsia="Arial" w:hAnsi="Arial"/>
                <w:sz w:val="14"/>
                <w:szCs w:val="14"/>
                <w:color w:val="auto"/>
              </w:rPr>
              <w:t>Monte-Carlo models</w:t>
            </w:r>
          </w:p>
        </w:tc>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rPr>
              <w:t>Risk free interest rate</w:t>
            </w:r>
          </w:p>
        </w:tc>
        <w:tc>
          <w:tcPr>
            <w:tcW w:w="2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0.00% – 0.95%</w:t>
            </w: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rPr>
              <w:t>Expected term, in years</w:t>
            </w:r>
          </w:p>
        </w:tc>
        <w:tc>
          <w:tcPr>
            <w:tcW w:w="2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0.24 – 2.80</w:t>
            </w: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rPr>
              <w:t>Dividend yield</w:t>
            </w:r>
          </w:p>
        </w:tc>
        <w:tc>
          <w:tcPr>
            <w:tcW w:w="2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w:t>
            </w: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rPr>
              <w:t>Probability and timing of down-round</w:t>
            </w:r>
          </w:p>
        </w:tc>
        <w:tc>
          <w:tcPr>
            <w:tcW w:w="2180" w:type="dxa"/>
            <w:vAlign w:val="bottom"/>
            <w:gridSpan w:val="2"/>
          </w:tcPr>
          <w:p>
            <w:pPr>
              <w:ind w:left="520"/>
              <w:spacing w:after="0" w:line="149" w:lineRule="exact"/>
              <w:rPr>
                <w:sz w:val="20"/>
                <w:szCs w:val="20"/>
                <w:color w:val="auto"/>
              </w:rPr>
            </w:pPr>
            <w:r>
              <w:rPr>
                <w:rFonts w:ascii="Arial" w:cs="Arial" w:eastAsia="Arial" w:hAnsi="Arial"/>
                <w:sz w:val="14"/>
                <w:szCs w:val="14"/>
                <w:color w:val="auto"/>
                <w:w w:val="92"/>
              </w:rPr>
              <w:t>5% occurrence in June 2015</w:t>
            </w:r>
          </w:p>
        </w:tc>
      </w:tr>
      <w:tr>
        <w:trPr>
          <w:trHeight w:val="182"/>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triggering event</w:t>
            </w:r>
          </w:p>
        </w:tc>
        <w:tc>
          <w:tcPr>
            <w:tcW w:w="216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the assets held for sale as of December 31, 2013 (Note 5) was determined by estimating the present value of the expected future cash flows associated with that asset or asset group by using certain unobservable market inputs. These inputs included discount rates, estimated future cash flows and certain continuing growth rate assumptions. The discount rates are intended to reflect the risk inherent in the projected future cash flows generated by the respective asset or asset group. The inputs used in the valuation were sensitive to certain factors related to mobile social application technology such as rapid changes in the industry and technological advances.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Level 3 measurements to changes in significant unobservable inputs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inputs to estimate the fair value of the Company’s derivative warrant liabilities are the current market price of the Company’s common stock, the exercise price of the warrant, its remaining expected term, the volatility of the Company’s common stock price, the Company’s assumptions regarding the probability and timing of a down-round protection triggering event and the risk-free interest rate. Significant changes in any of those inputs in isolation can result in a significant change in the fair value measurement. Generally, an increase in the market price of the Company’s shares of common stock, an increase in the volatility of the Company’s shares of common stock, an increase in the remaining term of the warrant, or an increase of a probability of a down-round triggering event would each result in a directionally similar change in the estimated fair value of the Company’s warrants. Such changes would increase the associated liability while decreases in these assumptions would decrease the associated liability. An increase in the risk-free interest rate or a decrease in the positive differential between the warrant’s exercise price and the market price of the Company’s shares of common stock would result in a decrease in the estimated fair value measurement of the warrants and thus a decrease in the associated liability. The Company has not, and does not plan to, declare dividends on its common stock, and as such, there is no change in the estimated fair value of the warrants due to the dividend assumption.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7. Stock-based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 stock-based compensation plan available to grant stock options and RSU to the Company’s directors, employees and consultants. Under the 2012 Employee, Director and Consultant Equity Incentive Plan (the “Plan”), a maximum of 15,600,000 shares of common stock may be awarded. As of September 30, 2014, 3,756,170 shares were available for future grants under the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stock options granted for the nine month period ended September 30, 2014: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Fair market</w:t>
            </w: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80" w:type="dxa"/>
            <w:vAlign w:val="bottom"/>
          </w:tcPr>
          <w:p>
            <w:pPr>
              <w:jc w:val="center"/>
              <w:spacing w:after="0"/>
              <w:rPr>
                <w:sz w:val="20"/>
                <w:szCs w:val="20"/>
                <w:color w:val="auto"/>
              </w:rPr>
            </w:pPr>
            <w:r>
              <w:rPr>
                <w:rFonts w:ascii="Arial" w:cs="Arial" w:eastAsia="Arial" w:hAnsi="Arial"/>
                <w:sz w:val="13"/>
                <w:szCs w:val="13"/>
                <w:b w:val="1"/>
                <w:bCs w:val="1"/>
                <w:color w:val="auto"/>
                <w:w w:val="85"/>
              </w:rPr>
              <w:t>Assumptions used in</w:t>
            </w: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ind w:left="280"/>
              <w:spacing w:after="0" w:line="135" w:lineRule="exact"/>
              <w:rPr>
                <w:sz w:val="20"/>
                <w:szCs w:val="20"/>
                <w:color w:val="auto"/>
              </w:rPr>
            </w:pPr>
            <w:r>
              <w:rPr>
                <w:rFonts w:ascii="Arial" w:cs="Arial" w:eastAsia="Arial" w:hAnsi="Arial"/>
                <w:sz w:val="13"/>
                <w:szCs w:val="13"/>
                <w:b w:val="1"/>
                <w:bCs w:val="1"/>
                <w:color w:val="auto"/>
              </w:rPr>
              <w:t>No. of</w:t>
            </w:r>
          </w:p>
        </w:tc>
        <w:tc>
          <w:tcPr>
            <w:tcW w:w="11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2"/>
              </w:rPr>
              <w:t>Exercise</w:t>
            </w:r>
          </w:p>
        </w:tc>
        <w:tc>
          <w:tcPr>
            <w:tcW w:w="11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value at</w:t>
            </w: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Black-Scholes option</w:t>
            </w:r>
          </w:p>
        </w:tc>
      </w:tr>
      <w:tr>
        <w:trPr>
          <w:trHeight w:val="153"/>
        </w:trPr>
        <w:tc>
          <w:tcPr>
            <w:tcW w:w="2420" w:type="dxa"/>
            <w:vAlign w:val="bottom"/>
            <w:gridSpan w:val="2"/>
          </w:tcPr>
          <w:p>
            <w:pPr>
              <w:ind w:left="1040"/>
              <w:spacing w:after="0"/>
              <w:rPr>
                <w:sz w:val="20"/>
                <w:szCs w:val="20"/>
                <w:color w:val="auto"/>
              </w:rPr>
            </w:pPr>
            <w:r>
              <w:rPr>
                <w:rFonts w:ascii="Arial" w:cs="Arial" w:eastAsia="Arial" w:hAnsi="Arial"/>
                <w:sz w:val="13"/>
                <w:szCs w:val="13"/>
                <w:b w:val="1"/>
                <w:bCs w:val="1"/>
                <w:color w:val="auto"/>
              </w:rPr>
              <w:t>Title</w:t>
            </w: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Grant date</w:t>
            </w:r>
          </w:p>
        </w:tc>
        <w:tc>
          <w:tcPr>
            <w:tcW w:w="1140" w:type="dxa"/>
            <w:vAlign w:val="bottom"/>
            <w:gridSpan w:val="2"/>
          </w:tcPr>
          <w:p>
            <w:pPr>
              <w:ind w:left="260"/>
              <w:spacing w:after="0"/>
              <w:rPr>
                <w:sz w:val="20"/>
                <w:szCs w:val="20"/>
                <w:color w:val="auto"/>
              </w:rPr>
            </w:pPr>
            <w:r>
              <w:rPr>
                <w:rFonts w:ascii="Arial" w:cs="Arial" w:eastAsia="Arial" w:hAnsi="Arial"/>
                <w:sz w:val="13"/>
                <w:szCs w:val="13"/>
                <w:b w:val="1"/>
                <w:bCs w:val="1"/>
                <w:color w:val="auto"/>
              </w:rPr>
              <w:t>options</w:t>
            </w:r>
          </w:p>
        </w:tc>
        <w:tc>
          <w:tcPr>
            <w:tcW w:w="11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price</w:t>
            </w:r>
          </w:p>
        </w:tc>
        <w:tc>
          <w:tcPr>
            <w:tcW w:w="11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grant date</w:t>
            </w:r>
          </w:p>
        </w:tc>
        <w:tc>
          <w:tcPr>
            <w:tcW w:w="2400" w:type="dxa"/>
            <w:vAlign w:val="bottom"/>
            <w:gridSpan w:val="2"/>
          </w:tcPr>
          <w:p>
            <w:pPr>
              <w:ind w:left="780"/>
              <w:spacing w:after="0"/>
              <w:rPr>
                <w:sz w:val="20"/>
                <w:szCs w:val="20"/>
                <w:color w:val="auto"/>
              </w:rPr>
            </w:pPr>
            <w:r>
              <w:rPr>
                <w:rFonts w:ascii="Arial" w:cs="Arial" w:eastAsia="Arial" w:hAnsi="Arial"/>
                <w:sz w:val="13"/>
                <w:szCs w:val="13"/>
                <w:b w:val="1"/>
                <w:bCs w:val="1"/>
                <w:color w:val="auto"/>
              </w:rPr>
              <w:t>Vesting terms</w:t>
            </w:r>
          </w:p>
        </w:tc>
        <w:tc>
          <w:tcPr>
            <w:tcW w:w="2280" w:type="dxa"/>
            <w:vAlign w:val="bottom"/>
          </w:tcPr>
          <w:p>
            <w:pPr>
              <w:jc w:val="center"/>
              <w:spacing w:after="0"/>
              <w:rPr>
                <w:sz w:val="20"/>
                <w:szCs w:val="20"/>
                <w:color w:val="auto"/>
              </w:rPr>
            </w:pPr>
            <w:r>
              <w:rPr>
                <w:rFonts w:ascii="Arial" w:cs="Arial" w:eastAsia="Arial" w:hAnsi="Arial"/>
                <w:sz w:val="13"/>
                <w:szCs w:val="13"/>
                <w:b w:val="1"/>
                <w:bCs w:val="1"/>
                <w:color w:val="auto"/>
                <w:w w:val="89"/>
              </w:rPr>
              <w:t>pricing model</w:t>
            </w:r>
          </w:p>
        </w:tc>
      </w:tr>
      <w:tr>
        <w:trPr>
          <w:trHeight w:val="114"/>
        </w:trPr>
        <w:tc>
          <w:tcPr>
            <w:tcW w:w="230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w w:val="98"/>
              </w:rPr>
              <w:t>Directors, Management, and Employees</w:t>
            </w:r>
          </w:p>
        </w:tc>
        <w:tc>
          <w:tcPr>
            <w:tcW w:w="12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center"/>
              <w:spacing w:after="0" w:line="114" w:lineRule="exact"/>
              <w:rPr>
                <w:sz w:val="20"/>
                <w:szCs w:val="20"/>
                <w:color w:val="auto"/>
              </w:rPr>
            </w:pPr>
            <w:r>
              <w:rPr>
                <w:rFonts w:ascii="Arial" w:cs="Arial" w:eastAsia="Arial" w:hAnsi="Arial"/>
                <w:sz w:val="13"/>
                <w:szCs w:val="13"/>
                <w:color w:val="auto"/>
                <w:w w:val="84"/>
              </w:rPr>
              <w:t>January -</w:t>
            </w:r>
          </w:p>
        </w:tc>
        <w:tc>
          <w:tcPr>
            <w:tcW w:w="12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ind w:left="280"/>
              <w:spacing w:after="0" w:line="114" w:lineRule="exact"/>
              <w:rPr>
                <w:sz w:val="20"/>
                <w:szCs w:val="20"/>
                <w:color w:val="auto"/>
              </w:rPr>
            </w:pPr>
            <w:r>
              <w:rPr>
                <w:rFonts w:ascii="Arial" w:cs="Arial" w:eastAsia="Arial" w:hAnsi="Arial"/>
                <w:sz w:val="13"/>
                <w:szCs w:val="13"/>
                <w:color w:val="auto"/>
              </w:rPr>
              <w:t>1,300,000</w:t>
            </w:r>
          </w:p>
        </w:tc>
        <w:tc>
          <w:tcPr>
            <w:tcW w:w="22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jc w:val="right"/>
              <w:ind w:right="17"/>
              <w:spacing w:after="0" w:line="114" w:lineRule="exact"/>
              <w:rPr>
                <w:sz w:val="20"/>
                <w:szCs w:val="20"/>
                <w:color w:val="auto"/>
              </w:rPr>
            </w:pPr>
            <w:r>
              <w:rPr>
                <w:rFonts w:ascii="Arial" w:cs="Arial" w:eastAsia="Arial" w:hAnsi="Arial"/>
                <w:sz w:val="13"/>
                <w:szCs w:val="13"/>
                <w:color w:val="auto"/>
              </w:rPr>
              <w:t>$1.18 - $4.10</w:t>
            </w:r>
          </w:p>
        </w:tc>
        <w:tc>
          <w:tcPr>
            <w:tcW w:w="20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jc w:val="right"/>
              <w:ind w:right="17"/>
              <w:spacing w:after="0" w:line="114" w:lineRule="exact"/>
              <w:rPr>
                <w:sz w:val="20"/>
                <w:szCs w:val="20"/>
                <w:color w:val="auto"/>
              </w:rPr>
            </w:pPr>
            <w:r>
              <w:rPr>
                <w:rFonts w:ascii="Arial" w:cs="Arial" w:eastAsia="Arial" w:hAnsi="Arial"/>
                <w:sz w:val="13"/>
                <w:szCs w:val="13"/>
                <w:color w:val="auto"/>
              </w:rPr>
              <w:t>$0.65 - $2.32</w:t>
            </w:r>
          </w:p>
        </w:tc>
        <w:tc>
          <w:tcPr>
            <w:tcW w:w="200" w:type="dxa"/>
            <w:vAlign w:val="bottom"/>
            <w:tcBorders>
              <w:top w:val="single" w:sz="8" w:color="CCEEFF"/>
            </w:tcBorders>
            <w:shd w:val="clear" w:color="auto" w:fill="CCEEFF"/>
          </w:tcPr>
          <w:p>
            <w:pPr>
              <w:spacing w:after="0"/>
              <w:rPr>
                <w:sz w:val="9"/>
                <w:szCs w:val="9"/>
                <w:color w:val="auto"/>
              </w:rPr>
            </w:pPr>
          </w:p>
        </w:tc>
        <w:tc>
          <w:tcPr>
            <w:tcW w:w="228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w w:val="93"/>
              </w:rPr>
              <w:t>Over 1 year for Directors; Over 3 years for</w:t>
            </w:r>
          </w:p>
        </w:tc>
        <w:tc>
          <w:tcPr>
            <w:tcW w:w="120" w:type="dxa"/>
            <w:vAlign w:val="bottom"/>
            <w:tcBorders>
              <w:top w:val="single" w:sz="8" w:color="CCEEFF"/>
            </w:tcBorders>
            <w:shd w:val="clear" w:color="auto" w:fill="CCEEFF"/>
          </w:tcPr>
          <w:p>
            <w:pPr>
              <w:spacing w:after="0"/>
              <w:rPr>
                <w:sz w:val="9"/>
                <w:szCs w:val="9"/>
                <w:color w:val="auto"/>
              </w:rPr>
            </w:pPr>
          </w:p>
        </w:tc>
        <w:tc>
          <w:tcPr>
            <w:tcW w:w="228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Volatility: 57.75 % – 62.00%</w:t>
            </w:r>
          </w:p>
        </w:tc>
      </w:tr>
      <w:tr>
        <w:trPr>
          <w:trHeight w:val="135"/>
        </w:trPr>
        <w:tc>
          <w:tcPr>
            <w:tcW w:w="2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0"/>
              </w:rPr>
              <w:t>August 2014</w:t>
            </w: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Management and Employees</w:t>
            </w:r>
          </w:p>
        </w:tc>
        <w:tc>
          <w:tcPr>
            <w:tcW w:w="2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Risk free interest rate: 1.82% - 2.06%</w:t>
            </w:r>
          </w:p>
        </w:tc>
      </w:tr>
      <w:tr>
        <w:trPr>
          <w:trHeight w:val="135"/>
        </w:trPr>
        <w:tc>
          <w:tcPr>
            <w:tcW w:w="2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Expected term, in years: 5.31-5.81</w:t>
            </w:r>
          </w:p>
        </w:tc>
      </w:tr>
      <w:tr>
        <w:trPr>
          <w:trHeight w:val="149"/>
        </w:trPr>
        <w:tc>
          <w:tcPr>
            <w:tcW w:w="2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3"/>
                <w:szCs w:val="13"/>
                <w:color w:val="auto"/>
              </w:rPr>
              <w:t>Dividend yield: 0.00%</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options granted to officers, directors and certain key employees are subject to acceleration of vesting of 75% - 100% (according to the agreement signed with each grantee), upon a subsequent change of control.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activity related to stock options and RSU for the nine month period ended September 30, 2014 consisted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20" w:type="dxa"/>
            <w:vAlign w:val="bottom"/>
          </w:tcPr>
          <w:p>
            <w:pPr>
              <w:spacing w:after="0"/>
              <w:rPr>
                <w:sz w:val="14"/>
                <w:szCs w:val="14"/>
                <w:color w:val="auto"/>
              </w:rPr>
            </w:pPr>
          </w:p>
        </w:tc>
        <w:tc>
          <w:tcPr>
            <w:tcW w:w="1380" w:type="dxa"/>
            <w:vAlign w:val="bottom"/>
            <w:tcBorders>
              <w:bottom w:val="single" w:sz="8" w:color="auto"/>
            </w:tcBorders>
            <w:gridSpan w:val="4"/>
          </w:tcPr>
          <w:p>
            <w:pPr>
              <w:ind w:left="1020"/>
              <w:spacing w:after="0"/>
              <w:rPr>
                <w:sz w:val="20"/>
                <w:szCs w:val="20"/>
                <w:color w:val="auto"/>
              </w:rPr>
            </w:pPr>
            <w:r>
              <w:rPr>
                <w:rFonts w:ascii="Arial" w:cs="Arial" w:eastAsia="Arial" w:hAnsi="Arial"/>
                <w:sz w:val="14"/>
                <w:szCs w:val="14"/>
                <w:color w:val="auto"/>
              </w:rPr>
              <w:t>RSU</w:t>
            </w:r>
          </w:p>
        </w:tc>
        <w:tc>
          <w:tcPr>
            <w:tcW w:w="9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color w:val="auto"/>
              </w:rPr>
              <w:t>Options</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4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ind w:left="20"/>
              <w:spacing w:after="0" w:line="123" w:lineRule="exact"/>
              <w:rPr>
                <w:sz w:val="20"/>
                <w:szCs w:val="20"/>
                <w:color w:val="auto"/>
              </w:rPr>
            </w:pPr>
            <w:r>
              <w:rPr>
                <w:rFonts w:ascii="Arial" w:cs="Arial" w:eastAsia="Arial" w:hAnsi="Arial"/>
                <w:sz w:val="14"/>
                <w:szCs w:val="14"/>
                <w:color w:val="auto"/>
                <w:w w:val="89"/>
              </w:rPr>
              <w:t>Weighted average</w:t>
            </w: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2"/>
          </w:tcPr>
          <w:p>
            <w:pPr>
              <w:spacing w:after="0" w:line="123" w:lineRule="exact"/>
              <w:rPr>
                <w:sz w:val="20"/>
                <w:szCs w:val="20"/>
                <w:color w:val="auto"/>
              </w:rPr>
            </w:pPr>
            <w:r>
              <w:rPr>
                <w:rFonts w:ascii="Arial" w:cs="Arial" w:eastAsia="Arial" w:hAnsi="Arial"/>
                <w:sz w:val="14"/>
                <w:szCs w:val="14"/>
                <w:color w:val="auto"/>
                <w:w w:val="89"/>
              </w:rPr>
              <w:t>Weighted average</w:t>
            </w:r>
          </w:p>
        </w:tc>
        <w:tc>
          <w:tcPr>
            <w:tcW w:w="100" w:type="dxa"/>
            <w:vAlign w:val="bottom"/>
          </w:tcPr>
          <w:p>
            <w:pPr>
              <w:spacing w:after="0"/>
              <w:rPr>
                <w:sz w:val="10"/>
                <w:szCs w:val="10"/>
                <w:color w:val="auto"/>
              </w:rPr>
            </w:pPr>
          </w:p>
        </w:tc>
      </w:tr>
      <w:tr>
        <w:trPr>
          <w:trHeight w:val="149"/>
        </w:trPr>
        <w:tc>
          <w:tcPr>
            <w:tcW w:w="4020" w:type="dxa"/>
            <w:vAlign w:val="bottom"/>
          </w:tcPr>
          <w:p>
            <w:pPr>
              <w:spacing w:after="0"/>
              <w:rPr>
                <w:sz w:val="12"/>
                <w:szCs w:val="12"/>
                <w:color w:val="auto"/>
              </w:rPr>
            </w:pP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No.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4"/>
              </w:rPr>
              <w:t>grant date fair</w:t>
            </w:r>
          </w:p>
        </w:tc>
        <w:tc>
          <w:tcPr>
            <w:tcW w:w="11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No. of</w:t>
            </w:r>
          </w:p>
        </w:tc>
        <w:tc>
          <w:tcPr>
            <w:tcW w:w="1320" w:type="dxa"/>
            <w:vAlign w:val="bottom"/>
            <w:gridSpan w:val="4"/>
          </w:tcPr>
          <w:p>
            <w:pPr>
              <w:ind w:left="80"/>
              <w:spacing w:after="0" w:line="149" w:lineRule="exact"/>
              <w:rPr>
                <w:sz w:val="20"/>
                <w:szCs w:val="20"/>
                <w:color w:val="auto"/>
              </w:rPr>
            </w:pPr>
            <w:r>
              <w:rPr>
                <w:rFonts w:ascii="Arial" w:cs="Arial" w:eastAsia="Arial" w:hAnsi="Arial"/>
                <w:sz w:val="14"/>
                <w:szCs w:val="14"/>
                <w:color w:val="auto"/>
              </w:rPr>
              <w:t>Weighted average</w:t>
            </w:r>
          </w:p>
        </w:tc>
        <w:tc>
          <w:tcPr>
            <w:tcW w:w="80" w:type="dxa"/>
            <w:vAlign w:val="bottom"/>
          </w:tcPr>
          <w:p>
            <w:pPr>
              <w:spacing w:after="0"/>
              <w:rPr>
                <w:sz w:val="12"/>
                <w:szCs w:val="12"/>
                <w:color w:val="auto"/>
              </w:rPr>
            </w:pPr>
          </w:p>
        </w:tc>
        <w:tc>
          <w:tcPr>
            <w:tcW w:w="920" w:type="dxa"/>
            <w:vAlign w:val="bottom"/>
          </w:tcPr>
          <w:p>
            <w:pPr>
              <w:ind w:left="20"/>
              <w:spacing w:after="0" w:line="149" w:lineRule="exact"/>
              <w:rPr>
                <w:sz w:val="20"/>
                <w:szCs w:val="20"/>
                <w:color w:val="auto"/>
              </w:rPr>
            </w:pPr>
            <w:r>
              <w:rPr>
                <w:rFonts w:ascii="Arial" w:cs="Arial" w:eastAsia="Arial" w:hAnsi="Arial"/>
                <w:sz w:val="14"/>
                <w:szCs w:val="14"/>
                <w:color w:val="auto"/>
              </w:rPr>
              <w:t>Exercise price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grant date fair</w:t>
            </w:r>
          </w:p>
        </w:tc>
      </w:tr>
      <w:tr>
        <w:trPr>
          <w:trHeight w:val="167"/>
        </w:trPr>
        <w:tc>
          <w:tcPr>
            <w:tcW w:w="4020" w:type="dxa"/>
            <w:vAlign w:val="bottom"/>
          </w:tcPr>
          <w:p>
            <w:pPr>
              <w:spacing w:after="0"/>
              <w:rPr>
                <w:sz w:val="14"/>
                <w:szCs w:val="1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color w:val="auto"/>
              </w:rPr>
              <w:t>RSU</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value</w:t>
            </w:r>
          </w:p>
        </w:tc>
        <w:tc>
          <w:tcPr>
            <w:tcW w:w="1160" w:type="dxa"/>
            <w:vAlign w:val="bottom"/>
            <w:gridSpan w:val="2"/>
          </w:tcPr>
          <w:p>
            <w:pPr>
              <w:jc w:val="right"/>
              <w:ind w:right="440"/>
              <w:spacing w:after="0"/>
              <w:rPr>
                <w:sz w:val="20"/>
                <w:szCs w:val="20"/>
                <w:color w:val="auto"/>
              </w:rPr>
            </w:pPr>
            <w:r>
              <w:rPr>
                <w:rFonts w:ascii="Arial" w:cs="Arial" w:eastAsia="Arial" w:hAnsi="Arial"/>
                <w:sz w:val="14"/>
                <w:szCs w:val="14"/>
                <w:color w:val="auto"/>
              </w:rPr>
              <w:t>options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color w:val="auto"/>
                <w:w w:val="92"/>
              </w:rPr>
              <w:t>exercise price</w:t>
            </w:r>
          </w:p>
        </w:tc>
        <w:tc>
          <w:tcPr>
            <w:tcW w:w="80" w:type="dxa"/>
            <w:vAlign w:val="bottom"/>
          </w:tcPr>
          <w:p>
            <w:pPr>
              <w:spacing w:after="0"/>
              <w:rPr>
                <w:sz w:val="14"/>
                <w:szCs w:val="14"/>
                <w:color w:val="auto"/>
              </w:rPr>
            </w:pPr>
          </w:p>
        </w:tc>
        <w:tc>
          <w:tcPr>
            <w:tcW w:w="920" w:type="dxa"/>
            <w:vAlign w:val="bottom"/>
          </w:tcPr>
          <w:p>
            <w:pPr>
              <w:ind w:left="260"/>
              <w:spacing w:after="0"/>
              <w:rPr>
                <w:sz w:val="20"/>
                <w:szCs w:val="20"/>
                <w:color w:val="auto"/>
              </w:rPr>
            </w:pPr>
            <w:r>
              <w:rPr>
                <w:rFonts w:ascii="Arial" w:cs="Arial" w:eastAsia="Arial" w:hAnsi="Arial"/>
                <w:sz w:val="14"/>
                <w:szCs w:val="14"/>
                <w:color w:val="auto"/>
              </w:rPr>
              <w:t>range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value</w:t>
            </w:r>
          </w:p>
        </w:tc>
      </w:tr>
      <w:tr>
        <w:trPr>
          <w:trHeight w:val="142"/>
        </w:trPr>
        <w:tc>
          <w:tcPr>
            <w:tcW w:w="40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Outstanding at January 1, 2014</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2,161,403</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3.61</w:t>
            </w:r>
          </w:p>
        </w:tc>
        <w:tc>
          <w:tcPr>
            <w:tcW w:w="2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10,457,159</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3.23</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ind w:left="200"/>
              <w:spacing w:after="0" w:line="142" w:lineRule="exact"/>
              <w:rPr>
                <w:sz w:val="20"/>
                <w:szCs w:val="20"/>
                <w:color w:val="auto"/>
              </w:rPr>
            </w:pPr>
            <w:r>
              <w:rPr>
                <w:rFonts w:ascii="Arial" w:cs="Arial" w:eastAsia="Arial" w:hAnsi="Arial"/>
                <w:sz w:val="14"/>
                <w:szCs w:val="14"/>
                <w:color w:val="auto"/>
                <w:w w:val="89"/>
              </w:rPr>
              <w:t>0.01 – $5.50</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2.50</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4020" w:type="dxa"/>
            <w:vAlign w:val="bottom"/>
          </w:tcPr>
          <w:p>
            <w:pPr>
              <w:spacing w:after="0" w:line="149" w:lineRule="exact"/>
              <w:rPr>
                <w:sz w:val="20"/>
                <w:szCs w:val="20"/>
                <w:color w:val="auto"/>
              </w:rPr>
            </w:pPr>
            <w:r>
              <w:rPr>
                <w:rFonts w:ascii="Arial" w:cs="Arial" w:eastAsia="Arial" w:hAnsi="Arial"/>
                <w:sz w:val="14"/>
                <w:szCs w:val="14"/>
                <w:color w:val="auto"/>
              </w:rPr>
              <w:t>Granted</w:t>
            </w: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1,300,000</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ind w:left="200"/>
              <w:spacing w:after="0" w:line="149" w:lineRule="exact"/>
              <w:rPr>
                <w:sz w:val="20"/>
                <w:szCs w:val="20"/>
                <w:color w:val="auto"/>
              </w:rPr>
            </w:pPr>
            <w:r>
              <w:rPr>
                <w:rFonts w:ascii="Arial" w:cs="Arial" w:eastAsia="Arial" w:hAnsi="Arial"/>
                <w:sz w:val="14"/>
                <w:szCs w:val="14"/>
                <w:color w:val="auto"/>
                <w:w w:val="89"/>
              </w:rPr>
              <w:t>1.18 – $4.10</w:t>
            </w:r>
          </w:p>
        </w:tc>
        <w:tc>
          <w:tcPr>
            <w:tcW w:w="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2.04</w:t>
            </w:r>
          </w:p>
        </w:tc>
      </w:tr>
      <w:tr>
        <w:trPr>
          <w:trHeight w:val="149"/>
        </w:trPr>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Vested/Exercised</w:t>
            </w: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(729,906)</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3.59</w:t>
            </w: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(1,126,815)</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89"/>
              </w:rPr>
              <w:t>0.01 – $3.72</w:t>
            </w: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1.31</w:t>
            </w:r>
          </w:p>
        </w:tc>
      </w:tr>
      <w:tr>
        <w:trPr>
          <w:trHeight w:val="149"/>
        </w:trPr>
        <w:tc>
          <w:tcPr>
            <w:tcW w:w="4020" w:type="dxa"/>
            <w:vAlign w:val="bottom"/>
          </w:tcPr>
          <w:p>
            <w:pPr>
              <w:spacing w:after="0" w:line="149" w:lineRule="exact"/>
              <w:rPr>
                <w:sz w:val="20"/>
                <w:szCs w:val="20"/>
                <w:color w:val="auto"/>
              </w:rPr>
            </w:pPr>
            <w:r>
              <w:rPr>
                <w:rFonts w:ascii="Arial" w:cs="Arial" w:eastAsia="Arial" w:hAnsi="Arial"/>
                <w:sz w:val="14"/>
                <w:szCs w:val="14"/>
                <w:color w:val="auto"/>
              </w:rPr>
              <w:t>Forfeited</w:t>
            </w: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(5,625)</w:t>
            </w:r>
          </w:p>
        </w:tc>
        <w:tc>
          <w:tcPr>
            <w:tcW w:w="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3.72</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(208,333)</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ind w:left="200"/>
              <w:spacing w:after="0" w:line="149" w:lineRule="exact"/>
              <w:rPr>
                <w:sz w:val="20"/>
                <w:szCs w:val="20"/>
                <w:color w:val="auto"/>
              </w:rPr>
            </w:pPr>
            <w:r>
              <w:rPr>
                <w:rFonts w:ascii="Arial" w:cs="Arial" w:eastAsia="Arial" w:hAnsi="Arial"/>
                <w:sz w:val="14"/>
                <w:szCs w:val="14"/>
                <w:color w:val="auto"/>
                <w:w w:val="89"/>
              </w:rPr>
              <w:t>2.96 – $3.72</w:t>
            </w:r>
          </w:p>
        </w:tc>
        <w:tc>
          <w:tcPr>
            <w:tcW w:w="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1.94</w:t>
            </w:r>
          </w:p>
        </w:tc>
      </w:tr>
      <w:tr>
        <w:trPr>
          <w:trHeight w:val="162"/>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Expired</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(332,416)</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4.60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ind w:left="200"/>
              <w:spacing w:after="0"/>
              <w:rPr>
                <w:sz w:val="20"/>
                <w:szCs w:val="20"/>
                <w:color w:val="auto"/>
              </w:rPr>
            </w:pPr>
            <w:r>
              <w:rPr>
                <w:rFonts w:ascii="Arial" w:cs="Arial" w:eastAsia="Arial" w:hAnsi="Arial"/>
                <w:sz w:val="14"/>
                <w:szCs w:val="14"/>
                <w:color w:val="auto"/>
                <w:w w:val="89"/>
              </w:rPr>
              <w:t xml:space="preserve">0.96 – </w:t>
            </w:r>
            <w:r>
              <w:rPr>
                <w:rFonts w:ascii="Arial" w:cs="Arial" w:eastAsia="Arial" w:hAnsi="Arial"/>
                <w:sz w:val="14"/>
                <w:szCs w:val="14"/>
                <w:u w:val="single" w:color="auto"/>
                <w:color w:val="auto"/>
                <w:w w:val="89"/>
              </w:rPr>
              <w:t>$</w:t>
            </w:r>
            <w:r>
              <w:rPr>
                <w:rFonts w:ascii="Arial" w:cs="Arial" w:eastAsia="Arial" w:hAnsi="Arial"/>
                <w:sz w:val="14"/>
                <w:szCs w:val="14"/>
                <w:color w:val="auto"/>
                <w:w w:val="89"/>
              </w:rPr>
              <w:t>5.50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1.97</w:t>
            </w:r>
          </w:p>
        </w:tc>
      </w:tr>
      <w:tr>
        <w:trPr>
          <w:trHeight w:val="196"/>
        </w:trPr>
        <w:tc>
          <w:tcPr>
            <w:tcW w:w="402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Outstanding at September 30, 2014</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1,425,872</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3.63</w:t>
            </w:r>
          </w:p>
        </w:tc>
        <w:tc>
          <w:tcPr>
            <w:tcW w:w="22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10,089,595</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3.40</w:t>
            </w:r>
          </w:p>
        </w:tc>
        <w:tc>
          <w:tcPr>
            <w:tcW w:w="2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ind w:left="200"/>
              <w:spacing w:after="0" w:line="155" w:lineRule="exact"/>
              <w:rPr>
                <w:sz w:val="20"/>
                <w:szCs w:val="20"/>
                <w:color w:val="auto"/>
              </w:rPr>
            </w:pPr>
            <w:r>
              <w:rPr>
                <w:rFonts w:ascii="Arial" w:cs="Arial" w:eastAsia="Arial" w:hAnsi="Arial"/>
                <w:sz w:val="14"/>
                <w:szCs w:val="14"/>
                <w:color w:val="auto"/>
                <w:w w:val="89"/>
              </w:rPr>
              <w:t xml:space="preserve">0.96 – </w:t>
            </w:r>
            <w:r>
              <w:rPr>
                <w:rFonts w:ascii="Arial" w:cs="Arial" w:eastAsia="Arial" w:hAnsi="Arial"/>
                <w:sz w:val="14"/>
                <w:szCs w:val="14"/>
                <w:u w:val="single" w:color="auto"/>
                <w:color w:val="auto"/>
                <w:w w:val="89"/>
              </w:rPr>
              <w:t>$</w:t>
            </w:r>
            <w:r>
              <w:rPr>
                <w:rFonts w:ascii="Arial" w:cs="Arial" w:eastAsia="Arial" w:hAnsi="Arial"/>
                <w:sz w:val="14"/>
                <w:szCs w:val="14"/>
                <w:color w:val="auto"/>
                <w:w w:val="89"/>
              </w:rPr>
              <w:t>5.50</w:t>
            </w: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2.29</w:t>
            </w:r>
          </w:p>
        </w:tc>
        <w:tc>
          <w:tcPr>
            <w:tcW w:w="100" w:type="dxa"/>
            <w:vAlign w:val="bottom"/>
            <w:tcBorders>
              <w:bottom w:val="single" w:sz="8" w:color="CCEEFF"/>
            </w:tcBorders>
          </w:tcPr>
          <w:p>
            <w:pPr>
              <w:spacing w:after="0"/>
              <w:rPr>
                <w:sz w:val="17"/>
                <w:szCs w:val="17"/>
                <w:color w:val="auto"/>
              </w:rPr>
            </w:pPr>
          </w:p>
        </w:tc>
      </w:tr>
      <w:tr>
        <w:trPr>
          <w:trHeight w:val="156"/>
        </w:trPr>
        <w:tc>
          <w:tcPr>
            <w:tcW w:w="402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Exercisable at September 30, 2014</w:t>
            </w:r>
          </w:p>
        </w:tc>
        <w:tc>
          <w:tcPr>
            <w:tcW w:w="118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6,966,122</w:t>
            </w:r>
          </w:p>
        </w:tc>
        <w:tc>
          <w:tcPr>
            <w:tcW w:w="160" w:type="dxa"/>
            <w:vAlign w:val="bottom"/>
            <w:gridSpan w:val="2"/>
            <w:shd w:val="clear" w:color="auto" w:fill="CCEEFF"/>
          </w:tcPr>
          <w:p>
            <w:pPr>
              <w:ind w:left="80"/>
              <w:spacing w:after="0" w:line="156" w:lineRule="exact"/>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3.39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ind w:left="200"/>
              <w:spacing w:after="0" w:line="156" w:lineRule="exact"/>
              <w:rPr>
                <w:sz w:val="20"/>
                <w:szCs w:val="20"/>
                <w:color w:val="auto"/>
              </w:rPr>
            </w:pPr>
            <w:r>
              <w:rPr>
                <w:rFonts w:ascii="Arial" w:cs="Arial" w:eastAsia="Arial" w:hAnsi="Arial"/>
                <w:sz w:val="14"/>
                <w:szCs w:val="14"/>
                <w:color w:val="auto"/>
                <w:w w:val="89"/>
              </w:rPr>
              <w:t xml:space="preserve">0.96 – </w:t>
            </w:r>
            <w:r>
              <w:rPr>
                <w:rFonts w:ascii="Arial" w:cs="Arial" w:eastAsia="Arial" w:hAnsi="Arial"/>
                <w:sz w:val="14"/>
                <w:szCs w:val="14"/>
                <w:u w:val="single" w:color="auto"/>
                <w:color w:val="auto"/>
                <w:w w:val="89"/>
              </w:rPr>
              <w:t>$</w:t>
            </w:r>
            <w:r>
              <w:rPr>
                <w:rFonts w:ascii="Arial" w:cs="Arial" w:eastAsia="Arial" w:hAnsi="Arial"/>
                <w:sz w:val="14"/>
                <w:szCs w:val="14"/>
                <w:color w:val="auto"/>
                <w:w w:val="89"/>
              </w:rPr>
              <w:t>5.50</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recognize tax benefits related to its stock-based compensation as there is a full valuation allowance recorded.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warrant activity for the nine month period ended September 30,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Weighted average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Exercise</w:t>
            </w:r>
          </w:p>
        </w:tc>
      </w:tr>
      <w:tr>
        <w:trPr>
          <w:trHeight w:val="230"/>
        </w:trPr>
        <w:tc>
          <w:tcPr>
            <w:tcW w:w="4840" w:type="dxa"/>
            <w:vAlign w:val="bottom"/>
          </w:tcPr>
          <w:p>
            <w:pPr>
              <w:spacing w:after="0"/>
              <w:rPr>
                <w:sz w:val="20"/>
                <w:szCs w:val="20"/>
                <w:color w:val="auto"/>
              </w:rPr>
            </w:pPr>
          </w:p>
        </w:tc>
        <w:tc>
          <w:tcPr>
            <w:tcW w:w="1780" w:type="dxa"/>
            <w:vAlign w:val="bottom"/>
            <w:gridSpan w:val="2"/>
          </w:tcPr>
          <w:p>
            <w:pPr>
              <w:jc w:val="right"/>
              <w:ind w:right="400"/>
              <w:spacing w:after="0"/>
              <w:rPr>
                <w:sz w:val="20"/>
                <w:szCs w:val="20"/>
                <w:color w:val="auto"/>
              </w:rPr>
            </w:pPr>
            <w:r>
              <w:rPr>
                <w:rFonts w:ascii="Arial" w:cs="Arial" w:eastAsia="Arial" w:hAnsi="Arial"/>
                <w:sz w:val="18"/>
                <w:szCs w:val="18"/>
                <w:color w:val="auto"/>
              </w:rPr>
              <w:t>No. of warrants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exercise price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price range</w:t>
            </w: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2014</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18,427,478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0.94 – $5.06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840" w:type="dxa"/>
            <w:vAlign w:val="bottom"/>
          </w:tcPr>
          <w:p>
            <w:pPr>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5,412,366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5.06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(6,415,992)</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1.76</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r>
      <w:tr>
        <w:trPr>
          <w:trHeight w:val="210"/>
        </w:trPr>
        <w:tc>
          <w:tcPr>
            <w:tcW w:w="4840" w:type="dxa"/>
            <w:vAlign w:val="bottom"/>
          </w:tcPr>
          <w:p>
            <w:pPr>
              <w:spacing w:after="0"/>
              <w:rPr>
                <w:sz w:val="20"/>
                <w:szCs w:val="20"/>
                <w:color w:val="auto"/>
              </w:rPr>
            </w:pPr>
            <w:r>
              <w:rPr>
                <w:rFonts w:ascii="Arial" w:cs="Arial" w:eastAsia="Arial" w:hAnsi="Arial"/>
                <w:sz w:val="18"/>
                <w:szCs w:val="18"/>
                <w:color w:val="auto"/>
              </w:rPr>
              <w:t>Outstanding at September 30, 2014</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17,423,852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0.94 – $5.06</w:t>
            </w:r>
          </w:p>
        </w:tc>
        <w:tc>
          <w:tcPr>
            <w:tcW w:w="10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June 19, 2014, the Company entered into agreements with certain of its warrant holders, pursuant to which the warrant holders exercised for cash 5,697,227 of their outstanding Series 1 and Series 2 warrants, with an exercise price of $1.76 per share. The Company granted such warrant holders unregistered warrants of the Company to purchase an aggregate of 5,412,366 shares of the Company’s common stock, par value $0.01 per share, at an exercise price of $5.06 per share (the “June 2014 Warrants”). The June 2014 Warrants expire on June 21, 2015 and because such warrants do not bear any down-round protection clauses, they are classified as equity instruments. As a result of these transactions, the Company received $10,027 of proceeds.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Company’s outstanding warrants consist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ind w:left="480"/>
              <w:spacing w:after="0"/>
              <w:rPr>
                <w:sz w:val="20"/>
                <w:szCs w:val="20"/>
                <w:color w:val="auto"/>
              </w:rPr>
            </w:pPr>
            <w:r>
              <w:rPr>
                <w:rFonts w:ascii="Arial" w:cs="Arial" w:eastAsia="Arial" w:hAnsi="Arial"/>
                <w:sz w:val="18"/>
                <w:szCs w:val="18"/>
                <w:color w:val="auto"/>
              </w:rPr>
              <w:t>No.</w:t>
            </w:r>
          </w:p>
        </w:tc>
        <w:tc>
          <w:tcPr>
            <w:tcW w:w="1460" w:type="dxa"/>
            <w:vAlign w:val="bottom"/>
            <w:gridSpan w:val="2"/>
          </w:tcPr>
          <w:p>
            <w:pPr>
              <w:ind w:left="480"/>
              <w:spacing w:after="0"/>
              <w:rPr>
                <w:sz w:val="20"/>
                <w:szCs w:val="20"/>
                <w:color w:val="auto"/>
              </w:rPr>
            </w:pPr>
            <w:r>
              <w:rPr>
                <w:rFonts w:ascii="Arial" w:cs="Arial" w:eastAsia="Arial" w:hAnsi="Arial"/>
                <w:sz w:val="18"/>
                <w:szCs w:val="18"/>
                <w:color w:val="auto"/>
              </w:rPr>
              <w:t>No.</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outstanding</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outstanding</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classified as</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classified as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ind w:left="180"/>
              <w:spacing w:after="0"/>
              <w:rPr>
                <w:sz w:val="20"/>
                <w:szCs w:val="20"/>
                <w:color w:val="auto"/>
              </w:rPr>
            </w:pPr>
            <w:r>
              <w:rPr>
                <w:rFonts w:ascii="Arial" w:cs="Arial" w:eastAsia="Arial" w:hAnsi="Arial"/>
                <w:sz w:val="18"/>
                <w:szCs w:val="18"/>
                <w:color w:val="auto"/>
              </w:rPr>
              <w:t>Remaining</w:t>
            </w:r>
          </w:p>
        </w:tc>
      </w:tr>
      <w:tr>
        <w:trPr>
          <w:trHeight w:val="230"/>
        </w:trPr>
        <w:tc>
          <w:tcPr>
            <w:tcW w:w="4360" w:type="dxa"/>
            <w:vAlign w:val="bottom"/>
          </w:tcPr>
          <w:p>
            <w:pPr>
              <w:spacing w:after="0"/>
              <w:rPr>
                <w:sz w:val="20"/>
                <w:szCs w:val="20"/>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No. outstanding</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equity</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Exercise price</w:t>
            </w:r>
          </w:p>
        </w:tc>
        <w:tc>
          <w:tcPr>
            <w:tcW w:w="1140" w:type="dxa"/>
            <w:vAlign w:val="bottom"/>
          </w:tcPr>
          <w:p>
            <w:pPr>
              <w:ind w:left="40"/>
              <w:spacing w:after="0"/>
              <w:rPr>
                <w:sz w:val="20"/>
                <w:szCs w:val="20"/>
                <w:color w:val="auto"/>
              </w:rPr>
            </w:pPr>
            <w:r>
              <w:rPr>
                <w:rFonts w:ascii="Arial" w:cs="Arial" w:eastAsia="Arial" w:hAnsi="Arial"/>
                <w:sz w:val="18"/>
                <w:szCs w:val="18"/>
                <w:color w:val="auto"/>
                <w:w w:val="93"/>
              </w:rPr>
              <w:t>contractual life</w:t>
            </w: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1 Warrants</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1,490,250</w:t>
            </w:r>
          </w:p>
        </w:tc>
        <w:tc>
          <w:tcPr>
            <w:tcW w:w="2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64,621</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1,425,629</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79"/>
              </w:rPr>
              <w:t>1.76</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2.80 years</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Series 2 Warrants</w:t>
            </w:r>
          </w:p>
        </w:tc>
        <w:tc>
          <w:tcPr>
            <w:tcW w:w="1260" w:type="dxa"/>
            <w:vAlign w:val="bottom"/>
          </w:tcPr>
          <w:p>
            <w:pPr>
              <w:jc w:val="right"/>
              <w:spacing w:after="0"/>
              <w:rPr>
                <w:sz w:val="20"/>
                <w:szCs w:val="20"/>
                <w:color w:val="auto"/>
              </w:rPr>
            </w:pPr>
            <w:r>
              <w:rPr>
                <w:rFonts w:ascii="Arial" w:cs="Arial" w:eastAsia="Arial" w:hAnsi="Arial"/>
                <w:sz w:val="18"/>
                <w:szCs w:val="18"/>
                <w:color w:val="auto"/>
              </w:rPr>
              <w:t>1,943,523</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1,943,523</w:t>
            </w: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rPr>
              <w:t>1.76</w:t>
            </w:r>
          </w:p>
        </w:tc>
        <w:tc>
          <w:tcPr>
            <w:tcW w:w="1140" w:type="dxa"/>
            <w:vAlign w:val="bottom"/>
          </w:tcPr>
          <w:p>
            <w:pPr>
              <w:ind w:left="240"/>
              <w:spacing w:after="0"/>
              <w:rPr>
                <w:sz w:val="20"/>
                <w:szCs w:val="20"/>
                <w:color w:val="auto"/>
              </w:rPr>
            </w:pPr>
            <w:r>
              <w:rPr>
                <w:rFonts w:ascii="Arial" w:cs="Arial" w:eastAsia="Arial" w:hAnsi="Arial"/>
                <w:sz w:val="18"/>
                <w:szCs w:val="18"/>
                <w:color w:val="auto"/>
              </w:rPr>
              <w:t>2.80 years</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Conversion Warrants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14,492</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0.94</w:t>
            </w:r>
          </w:p>
        </w:tc>
        <w:tc>
          <w:tcPr>
            <w:tcW w:w="1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0.72 years</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Special Bridge Warrants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21,198</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21,198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rPr>
              <w:t>0.94</w:t>
            </w:r>
          </w:p>
        </w:tc>
        <w:tc>
          <w:tcPr>
            <w:tcW w:w="1140" w:type="dxa"/>
            <w:vAlign w:val="bottom"/>
          </w:tcPr>
          <w:p>
            <w:pPr>
              <w:ind w:left="240"/>
              <w:spacing w:after="0"/>
              <w:rPr>
                <w:sz w:val="20"/>
                <w:szCs w:val="20"/>
                <w:color w:val="auto"/>
              </w:rPr>
            </w:pPr>
            <w:r>
              <w:rPr>
                <w:rFonts w:ascii="Arial" w:cs="Arial" w:eastAsia="Arial" w:hAnsi="Arial"/>
                <w:sz w:val="18"/>
                <w:szCs w:val="18"/>
                <w:color w:val="auto"/>
              </w:rPr>
              <w:t>0.24 years</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Reload Warrants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758,023</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597,414</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160,609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1.76</w:t>
            </w:r>
          </w:p>
        </w:tc>
        <w:tc>
          <w:tcPr>
            <w:tcW w:w="1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2.35 years</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IPO Warrants</w:t>
            </w:r>
          </w:p>
        </w:tc>
        <w:tc>
          <w:tcPr>
            <w:tcW w:w="1260" w:type="dxa"/>
            <w:vAlign w:val="bottom"/>
          </w:tcPr>
          <w:p>
            <w:pPr>
              <w:jc w:val="right"/>
              <w:spacing w:after="0"/>
              <w:rPr>
                <w:sz w:val="20"/>
                <w:szCs w:val="20"/>
                <w:color w:val="auto"/>
              </w:rPr>
            </w:pPr>
            <w:r>
              <w:rPr>
                <w:rFonts w:ascii="Arial" w:cs="Arial" w:eastAsia="Arial" w:hAnsi="Arial"/>
                <w:sz w:val="18"/>
                <w:szCs w:val="18"/>
                <w:color w:val="auto"/>
              </w:rPr>
              <w:t>4,784,000</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4,784,000</w:t>
            </w: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rPr>
              <w:t>5.06</w:t>
            </w:r>
          </w:p>
        </w:tc>
        <w:tc>
          <w:tcPr>
            <w:tcW w:w="1140" w:type="dxa"/>
            <w:vAlign w:val="bottom"/>
          </w:tcPr>
          <w:p>
            <w:pPr>
              <w:ind w:left="240"/>
              <w:spacing w:after="0"/>
              <w:rPr>
                <w:sz w:val="20"/>
                <w:szCs w:val="20"/>
                <w:color w:val="auto"/>
              </w:rPr>
            </w:pPr>
            <w:r>
              <w:rPr>
                <w:rFonts w:ascii="Arial" w:cs="Arial" w:eastAsia="Arial" w:hAnsi="Arial"/>
                <w:sz w:val="18"/>
                <w:szCs w:val="18"/>
                <w:color w:val="auto"/>
              </w:rPr>
              <w:t>0.72 years</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October 2012 Warrants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5.06</w:t>
            </w:r>
          </w:p>
        </w:tc>
        <w:tc>
          <w:tcPr>
            <w:tcW w:w="11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0.72 years</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June 2014 Warrants**</w:t>
            </w:r>
          </w:p>
        </w:tc>
        <w:tc>
          <w:tcPr>
            <w:tcW w:w="1260" w:type="dxa"/>
            <w:vAlign w:val="bottom"/>
          </w:tcPr>
          <w:p>
            <w:pPr>
              <w:jc w:val="right"/>
              <w:spacing w:after="0"/>
              <w:rPr>
                <w:sz w:val="20"/>
                <w:szCs w:val="20"/>
                <w:color w:val="auto"/>
              </w:rPr>
            </w:pPr>
            <w:r>
              <w:rPr>
                <w:rFonts w:ascii="Arial" w:cs="Arial" w:eastAsia="Arial" w:hAnsi="Arial"/>
                <w:sz w:val="18"/>
                <w:szCs w:val="18"/>
                <w:color w:val="auto"/>
              </w:rPr>
              <w:t>5,412,366</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5,412,366</w:t>
            </w: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rPr>
              <w:t>5.06</w:t>
            </w:r>
          </w:p>
        </w:tc>
        <w:tc>
          <w:tcPr>
            <w:tcW w:w="1140" w:type="dxa"/>
            <w:vAlign w:val="bottom"/>
          </w:tcPr>
          <w:p>
            <w:pPr>
              <w:ind w:left="280"/>
              <w:spacing w:after="0"/>
              <w:rPr>
                <w:sz w:val="20"/>
                <w:szCs w:val="20"/>
                <w:color w:val="auto"/>
              </w:rPr>
            </w:pPr>
            <w:r>
              <w:rPr>
                <w:rFonts w:ascii="Arial" w:cs="Arial" w:eastAsia="Arial" w:hAnsi="Arial"/>
                <w:sz w:val="18"/>
                <w:szCs w:val="18"/>
                <w:color w:val="auto"/>
                <w:w w:val="99"/>
              </w:rPr>
              <w:t>0.72 years</w:t>
            </w: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2014</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17,423,852</w:t>
            </w:r>
          </w:p>
        </w:tc>
        <w:tc>
          <w:tcPr>
            <w:tcW w:w="2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15,801,924</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1,621,928</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640" w:hanging="137"/>
        <w:spacing w:after="0"/>
        <w:tabs>
          <w:tab w:leader="none" w:pos="640" w:val="left"/>
        </w:tabs>
        <w:numPr>
          <w:ilvl w:val="0"/>
          <w:numId w:val="5"/>
        </w:numPr>
        <w:rPr>
          <w:rFonts w:ascii="Arial" w:cs="Arial" w:eastAsia="Arial" w:hAnsi="Arial"/>
          <w:sz w:val="17"/>
          <w:szCs w:val="17"/>
          <w:b w:val="1"/>
          <w:bCs w:val="1"/>
          <w:i w:val="1"/>
          <w:iCs w:val="1"/>
          <w:color w:val="auto"/>
        </w:rPr>
      </w:pPr>
      <w:r>
        <w:rPr>
          <w:rFonts w:ascii="Arial" w:cs="Arial" w:eastAsia="Arial" w:hAnsi="Arial"/>
          <w:sz w:val="17"/>
          <w:szCs w:val="17"/>
          <w:color w:val="auto"/>
        </w:rPr>
        <w:t>These warrants bear down-round protection clauses and as a result, they are classified as derivative liabilities and recorded at fair value.</w:t>
      </w:r>
    </w:p>
    <w:p>
      <w:pPr>
        <w:spacing w:after="0" w:line="237" w:lineRule="exact"/>
        <w:rPr>
          <w:sz w:val="20"/>
          <w:szCs w:val="20"/>
          <w:color w:val="auto"/>
        </w:rPr>
      </w:pPr>
    </w:p>
    <w:p>
      <w:pPr>
        <w:jc w:val="both"/>
        <w:ind w:left="500" w:firstLine="3"/>
        <w:spacing w:after="0" w:line="257" w:lineRule="auto"/>
        <w:tabs>
          <w:tab w:leader="none" w:pos="72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June 2014 Warrants were valued on the grant date (June 20, 2014) using the following assumptions: volatility: 40.05%, stock price: $3.33, risk free interest rate: 0.15% and dividend yield: 0%. The new warrants issued in connection with the exercise of warrants that were classified as liabilities were accounted for as an inducement and therefore an amount of $65, which is based on the fair value of the new warrants, was recorded as a non-operating expense during the second quarter of 2014. The new warrants issued in connection with the exercise of warrants that were classified as equity, which were fair valued at $611, were recorded as equity.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Revenue from Settlements and Licensing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April 28, 2014, the Company entered into a confidential agreement with Tyco that resolved all litigation pending between the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legal proceedings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retains the services of professional service providers, including law firms that specialize in intellectual property licensing, enforcement and patent law. These service providers are often retained on an hourly, monthly, project, contingent or a blended fee basis. In contingency fee arrangements, a portion of the legal fee is based on predetermined milestones or the Company’s actual collection of funds. The Company accrues contingent fees when it is probable that the milestones will be achieved and the fees can be reasonably estimated.</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subsidiaries have filed patent infringement lawsuits against the subsidiaries of ZTE Corporation and its subsidiaries in the United Kingdom, France, Germany, Australia, India, Brazil, Malaysia, and Romania, and against ASUSTeK Computer, Inc. and its subsidiaries in Germany, Spain and India. In such jurisdictions, an unsuccessful plaintiff may be required to pay a portion of the other party’s legal fees. In addition, the Company may be required to grant additional written commitments, as necessary, in connection with its commenced proceedings against ZTE Corporation and its subsidiaries in various countries. It should be noted, however, that if the Company were successful on any court applications or the entirety of any litigation, the defendants may be responsible for a substantial portion of the Company’s legal fees.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Pursuant to negotiation with ZTE’s United Kingdom subsidiary, the Company made two written commitments, in November 2012 and May 2013, representing payment should a liability by Vringo Infrastructure arise as a result of the two cases it has filed. The defendants estimated the total possible liability to be no more than approximately $2,900 for each case. The Company’s best estimate of such possible liability related to the first written commitment is $2,000. The Company believes that payment of such amount is not probable. With respect to the second written commitment, the Company has determined that the possible liability amount is not reasonably estimable and that payment is not probable. In March 2014, the Company withdrew its claim to a certain patent included in the litigation against ZTE’s United Kingdom subsidiary. Consequently, the Company is liable for certain of ZTE's legal fees which will be determined and paid at the end of the case. During the third quarter of 2014, the Company recorded $405, which represents the Company’s best estimate of this liability, in Other liabilities included in the consolidated balance sheet as of September 30, 2014.</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5, 2014, the Company deposited a bond of approximately $1,400 to enforce an injunction against ZTE in Germany. Should the injunction be successfully overturned on appeal, the Company may be obligated to compensate ZTE for any damages allegedly suffered as a result of the enforcement of the injunction, which would be ascertained through separate damages proceedings. Should the judgment which granted the injunction be affirmed on appeal, however, the amount paid as security would be returnable to the Company in full. The Company has assessed the likelihood of the injunction being successfully overturned on appeal as remote.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Brazil, as a condition of the relief requested, the Company deposited approximately $904 as a surety against the truth of allegations contained in the complaint. This deposit is returnable at the end of the litigation unless ZTE is the prevailing party and proves that actual material damages were suffered while the requested relief was in place. The Company has assessed the likelihood of ZTE doing so as remote.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$1,400 bond deposit in Germany and the $904 surety deposit in Brazil are included in Deposits with courts in the consolidated balance sheet as of September 30, 2014.</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667"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July 2012, the Company signed a rental agreement for its corporate executive office in New York for an annual rental fee of approximately $137 (subject to certain adjustments) which was to expire in September 2015. However, in January 2014, the Company entered into an amended lease agreement with the landlord for a different office space within the same building. The initial annual rental fee for this new office is approximately $403 (subject to certain future escalations and adjustments) beginning when the new office space was available on August 1, 2014. This lease will expire in October 2019. Rent expense for operating leases for the three and nine month periods ended September 30, 2014 were $91 and $273, respectively. Rent expense for operating leases for the three and nine month periods ended September 30, 2013 were $68 and $175,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Risks and Uncertainties</w:t>
      </w:r>
    </w:p>
    <w:p>
      <w:pPr>
        <w:spacing w:after="0" w:line="229" w:lineRule="exact"/>
        <w:rPr>
          <w:sz w:val="20"/>
          <w:szCs w:val="20"/>
          <w:color w:val="auto"/>
        </w:rPr>
      </w:pPr>
    </w:p>
    <w:p>
      <w:pPr>
        <w:jc w:val="both"/>
        <w:ind w:left="920" w:hanging="453"/>
        <w:spacing w:after="0" w:line="279" w:lineRule="auto"/>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New legislation, regulations or rulings that impact the patent enforcement process or the rights of patent holders could negatively affect the Company’s current business model.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the Company’s ability to assert its patent or other intellectual property rights.</w:t>
      </w:r>
    </w:p>
    <w:p>
      <w:pPr>
        <w:spacing w:after="0" w:line="171" w:lineRule="exact"/>
        <w:rPr>
          <w:rFonts w:ascii="Arial" w:cs="Arial" w:eastAsia="Arial" w:hAnsi="Arial"/>
          <w:sz w:val="17"/>
          <w:szCs w:val="17"/>
          <w:color w:val="auto"/>
        </w:rPr>
      </w:pPr>
    </w:p>
    <w:p>
      <w:pPr>
        <w:jc w:val="both"/>
        <w:ind w:left="920" w:hanging="453"/>
        <w:spacing w:after="0" w:line="293" w:lineRule="auto"/>
        <w:tabs>
          <w:tab w:leader="none" w:pos="9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patents owned by the Company are presumed to be valid and enforceable. As part of the Company’s ongoing legal proceedings, the validity and/or enforceability of its patents is often challenged in a court or an administrative proceeding. On August 15, 2014, the Federal Circuit reversed a judgment of the United States District Court for the Eastern District of Virginia by holding that the asserted claims of the patents-in-suit in I/P Engine's litigation against AOL Inc., Google Inc. et al. are invalid for obviousness. Additionally, on September 30, 2014, the Patent Re-Examination Board of the State Intellectual Property Office of the People’s Republic of China held that one of the Company's Chinese patents is invalid. The Company is appealing this decision. The Company’s other patents have not been declared to be invalid or unenforceable to date.</w:t>
      </w:r>
    </w:p>
    <w:p>
      <w:pPr>
        <w:spacing w:after="0" w:line="164" w:lineRule="exact"/>
        <w:rPr>
          <w:rFonts w:ascii="Arial" w:cs="Arial" w:eastAsia="Arial" w:hAnsi="Arial"/>
          <w:sz w:val="16"/>
          <w:szCs w:val="16"/>
          <w:color w:val="auto"/>
        </w:rPr>
      </w:pPr>
    </w:p>
    <w:p>
      <w:pPr>
        <w:jc w:val="both"/>
        <w:ind w:left="920" w:hanging="453"/>
        <w:spacing w:after="0" w:line="264" w:lineRule="auto"/>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instruments which potentially subject the Company to significant concentrations of credit risk consist principally of cash and cash equivalents. The Company maintains its cash and cash equivalents with various major financial institutions. These major financial institutions are located in the United States and the Company’s policy is designed to limit exposure to any one institution.</w:t>
      </w:r>
    </w:p>
    <w:p>
      <w:pPr>
        <w:spacing w:after="0" w:line="181" w:lineRule="exact"/>
        <w:rPr>
          <w:rFonts w:ascii="Arial" w:cs="Arial" w:eastAsia="Arial" w:hAnsi="Arial"/>
          <w:sz w:val="18"/>
          <w:szCs w:val="18"/>
          <w:color w:val="auto"/>
        </w:rPr>
      </w:pPr>
    </w:p>
    <w:p>
      <w:pPr>
        <w:jc w:val="both"/>
        <w:ind w:left="920" w:hanging="453"/>
        <w:spacing w:after="0" w:line="264" w:lineRule="auto"/>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portion of the Company’s expenses are denominated in foreign currencies. If the value of the U.S. dollar weakens against the value of these currencies, there will be a negative impact on the Company’s operating costs. In addition, the Company is subject to the risk of exchange rate fluctuations to the extent it holds monetary assets and liabilities in these currencies.</w:t>
      </w:r>
    </w:p>
    <w:p>
      <w:pPr>
        <w:spacing w:after="0" w:line="181" w:lineRule="exact"/>
        <w:rPr>
          <w:rFonts w:ascii="Arial" w:cs="Arial" w:eastAsia="Arial" w:hAnsi="Arial"/>
          <w:sz w:val="18"/>
          <w:szCs w:val="18"/>
          <w:color w:val="auto"/>
        </w:rPr>
      </w:pPr>
    </w:p>
    <w:p>
      <w:pPr>
        <w:jc w:val="both"/>
        <w:ind w:left="920" w:hanging="453"/>
        <w:spacing w:after="0" w:line="297" w:lineRule="auto"/>
        <w:tabs>
          <w:tab w:leader="none" w:pos="9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may choose to raise additional funds in connection with any potential acquisition of patent portfolios or other intellectual property assets or operating businesses. In addition, the Company may also need additional funds to respond to business opportunities and challenges, including its ongoing operating expenses, protection of its assets, development of new lines of business and enhancement of its operating infrastructure. While the Company may need to seek additional funding, it may not be able to obtain financing on acceptable terms, or at all. If the Company is unable to obtain additional funding on a timely basis, it may be required to curtail or terminate some of its business plans.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24, 2014, the President of the District Court of The Hague (“the Court”) in the Netherlands denied ZTE’s requests to seek the release of ZTE UMTS products being held by Dutch customs officials and to order the Company to ask the Dutch customs authorities to stop their actions against ZTE’s products based on the Anti-Piracy Regulations of the European Union. Further, the Court upheld the detention of ZTE’s goods, finding, prima facie, that ZTE has infringed one of Vringo’s European patents, upholding the validity of that patent, and rejecting ZTE’s argument that the Company has violated European competition law by enforcing that patent. ZTE was also ordered to pay Vringo’s legal costs of approximately $250,000. ZTE may choose to appeal this decision.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6" w:name="page17"/>
    <w:bookmarkEnd w:id="16"/>
    <w:p>
      <w:pPr>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Forward-looking statements are often identified by the use of words such as, but not limited to, “anticipates,” “believes,” “can,” “continues,” “could,” “estimates,” “expects,” “intends,” “may,” “will be,” “plans,” “projects,” “seeks,” “should,” “targets,”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filed on March 10, 2014 and any future reports we file with the Securities and Exchange Commission (“SEC”). The forward-looking statements set forth herein speak only as of the date of this report. Except as required by law, we undertake no obligation to update any forward-looking statements to reflect events or circumstances after the date of such statements, except as required by law.</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All references in this Quarterly Report on Form 10-Q to “we,” “us” and “our” refer to Vringo, Inc., a Delaware corporation, and its consolidated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Vringo, Inc. (“Vringo”) strives to develop, acquire, license and protect innovation worldwide. We are currently focused on identifying, generating, acquiring, and deriving economic benefits from intellectual property assets. We plan to continue to expand our portfolio of intellectual property assets through acquiring and internally developing new technologies. We intend to monetize our technology portfolio through a variety of value enhancing initiatives, including, but not limited to:</w:t>
      </w:r>
    </w:p>
    <w:p>
      <w:pPr>
        <w:spacing w:after="0" w:line="187" w:lineRule="exact"/>
        <w:rPr>
          <w:sz w:val="20"/>
          <w:szCs w:val="20"/>
          <w:color w:val="auto"/>
        </w:rPr>
      </w:pPr>
    </w:p>
    <w:p>
      <w:pPr>
        <w:ind w:left="1380" w:hanging="913"/>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licensing,</w:t>
      </w:r>
    </w:p>
    <w:p>
      <w:pPr>
        <w:spacing w:after="0" w:line="225" w:lineRule="exact"/>
        <w:rPr>
          <w:rFonts w:ascii="Arial" w:cs="Arial" w:eastAsia="Arial" w:hAnsi="Arial"/>
          <w:sz w:val="18"/>
          <w:szCs w:val="18"/>
          <w:color w:val="auto"/>
        </w:rPr>
      </w:pPr>
    </w:p>
    <w:p>
      <w:pPr>
        <w:ind w:left="1380" w:hanging="913"/>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225" w:lineRule="exact"/>
        <w:rPr>
          <w:rFonts w:ascii="Arial" w:cs="Arial" w:eastAsia="Arial" w:hAnsi="Arial"/>
          <w:sz w:val="18"/>
          <w:szCs w:val="18"/>
          <w:color w:val="auto"/>
        </w:rPr>
      </w:pPr>
    </w:p>
    <w:p>
      <w:pPr>
        <w:ind w:left="1380" w:hanging="913"/>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interim consolidated financial statements are presented in accordance with generally accepted accounting principles in the United States of America ("U.S. GAAP"). All significant intercompany balances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Strategy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manage an intellectual property portfolio consisting of over 600 patents and patent applications, covering telecom infrastructure, internet search and mobile technologies. These patents and patent applications have been developed internally or acquired from third parties. We innovate, acquire, license and protect technology and intellectual property rights worldwide. We seek to expand our portfolio of intellectual property through acquisition and development both internally and with the assistance of third parties. Our goal is to partner with innovators of compelling technologies.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potential acquisitions, we seek to purchase all of, or interests in, technology and intellectual property in exchange for cash, our securities and/or interests in the monetization of those assets. Our revenue from this aspect of our business can be generated through licensing and litigation efforts. We engage in robust due diligence and a principled risk underwriting process to evaluate the merits and potential value of any acquisition or partnership. We seek to structure the terms of our acquisitions and partnerships in a manner that will achieve the highest risk-adjusted returns possible. We believe that our capital resources and potential access to capital, together with the experience of our management team and board of directors, will allow us to assemble a portfolio of quality assets with short and long-term revenue opportunities.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Search Patents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August 15, 2014, a panel at the U.S. Court of Appeals for the Federal Circuit (the "Federal Circuit") held that the asserted claims of the patents asserted by our wholly-owned subsidiary I/P Engine, Inc. against AOL Inc, Google, Inc. et al. are invalid for obviousness. One of the three judges on the panel dissented. On August 20, 2014, we announced that I/P Engine would seek en banc review of the split panel's decision.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15, 2014, I/P Engine filed a petition for rehearing en banc. On October 20, 2014, the Federal Circuit invited the Defendants (as defined below) to respond to the petition for rehearing en banc.</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Background on District Court and Court of Appeals Proceedings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15, 2011, I/P Engine initiated litigation in the United States District Court, Eastern District of Virginia, against AOL Inc., Google, Inc., IAC Search &amp; Media, Inc., Gannett Company, Inc., and Target Corporation (collectively, the "Defendants") for infringement of claims of U.S. Patent Nos. 6,314,420 and 6,775,664, which I/P Engine acquired from Lycos,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Trial commenced on October 16, 2012, and the case was submitted to the jury on November 1, 2012.</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6, 2012, the jury ruled in favor of I/P Engine and against the Defendants. After upholding the validity of the patents-in-suit, and determining that the asserted claims of the patents were infringed by the defendants, the jury found that reasonable royalty damages should be based on a "running royalty," and that the running royalty rate should be 3.5%. The jury also awarded I/P Engine a total of approximately $30,500,000. On November 20, 2012, the clerk entered the District Court's final judgment.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3, 2014, the District Court ordered that I/P Engine recover an additional sum of $17,320,000 from Defendants for supplemental damages and prejudgment interest.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21, 2014, the District Court ruled that Defendants' alleged design-around is "nothing more than a colorable variation of the system adjudged to infringe," and accordingly I/P Engine "is entitled to ongoing royalties as long as Defendants continue to use the modified system."</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January 28, 2014, the District Court ruled that the appropriate ongoing royalty rate for Defendants' continued infringement of the patents-in-suit that "would reasonably compensate [I/P Engine] for giving up [its] right to exclude yet allow an ongoing willful infringer to make a reasonable profit" is a rate of 6.5% of the 20.9% royalty base previously set by the District Court. The Defendants also filed a separate appeal related to these matters.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court dockets for the foregoing cases are publicly available on the Public Access to Court Electronic Records website, www.pacer.gov, which is operated by the Administrative Office of the U.S. Courts.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on United States Patent and Trademark Office Proceedings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May 24, 2012, Google submitted a request to the USPTO for ex parte reexamination of certain claims of U.S. Patent No. 6,314,420. On September 13, 2013, the USPTO issued a certificate confirming that all of the claims in the '420 patent challenged by Google remain valid and unchanged.</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28, 2012, Google submitted a request to the USPTO for ex parte reexamination of certain claims of U.S. Patent No. 6,775,664. On February 8, 2013, Google filed another request to the USPTO for ex parte reexamination of certain claims of the '664 patent. On June 13, 2013, the USPTO merged the two reexamination proceedings regarding the '664 patent. On December 13, 2013, the USPTO issued a certificate confirming that all of the claims in the '664 patent challenged by Google remain valid and unchanged.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19, 2013, Google submitted another request to the USPTO for ex parte reexamination of certain claims of the '420 patent. On July 31, 2014, the USPTO issued a certificate confirming that all of the claims in the '420 patent challenged by Google remain valid and unchanged.</w:t>
      </w:r>
    </w:p>
    <w:p>
      <w:pPr>
        <w:sectPr>
          <w:pgSz w:w="11900" w:h="16838" w:orient="portrait"/>
          <w:cols w:equalWidth="0" w:num="1">
            <w:col w:w="11420"/>
          </w:cols>
          <w:pgMar w:left="240" w:top="881" w:right="239" w:bottom="1440" w:gutter="0" w:footer="0" w:header="0"/>
        </w:sectPr>
      </w:pPr>
    </w:p>
    <w:p>
      <w:pPr>
        <w:spacing w:after="0" w:line="170" w:lineRule="exact"/>
        <w:rPr>
          <w:sz w:val="20"/>
          <w:szCs w:val="20"/>
          <w:color w:val="auto"/>
        </w:rPr>
      </w:pPr>
    </w:p>
    <w:p>
      <w:pPr>
        <w:spacing w:after="0"/>
        <w:tabs>
          <w:tab w:leader="none" w:pos="1120" w:val="left"/>
          <w:tab w:leader="none" w:pos="2120" w:val="left"/>
          <w:tab w:leader="none" w:pos="3000" w:val="left"/>
          <w:tab w:leader="none" w:pos="4200" w:val="left"/>
          <w:tab w:leader="none" w:pos="4720" w:val="left"/>
          <w:tab w:leader="none" w:pos="5640" w:val="left"/>
        </w:tabs>
        <w:rPr>
          <w:sz w:val="20"/>
          <w:szCs w:val="20"/>
          <w:color w:val="auto"/>
        </w:rPr>
      </w:pPr>
      <w:r>
        <w:rPr>
          <w:rFonts w:ascii="Arial" w:cs="Arial" w:eastAsia="Arial" w:hAnsi="Arial"/>
          <w:sz w:val="18"/>
          <w:szCs w:val="18"/>
          <w:color w:val="auto"/>
        </w:rPr>
        <w:t>Documents</w:t>
      </w:r>
      <w:r>
        <w:rPr>
          <w:sz w:val="20"/>
          <w:szCs w:val="20"/>
          <w:color w:val="auto"/>
        </w:rPr>
        <w:tab/>
      </w:r>
      <w:r>
        <w:rPr>
          <w:rFonts w:ascii="Arial" w:cs="Arial" w:eastAsia="Arial" w:hAnsi="Arial"/>
          <w:sz w:val="18"/>
          <w:szCs w:val="18"/>
          <w:color w:val="auto"/>
        </w:rPr>
        <w:t>regarding</w:t>
      </w:r>
      <w:r>
        <w:rPr>
          <w:sz w:val="20"/>
          <w:szCs w:val="20"/>
          <w:color w:val="auto"/>
        </w:rPr>
        <w:tab/>
      </w:r>
      <w:r>
        <w:rPr>
          <w:rFonts w:ascii="Arial" w:cs="Arial" w:eastAsia="Arial" w:hAnsi="Arial"/>
          <w:sz w:val="18"/>
          <w:szCs w:val="18"/>
          <w:color w:val="auto"/>
        </w:rPr>
        <w:t>USPTO</w:t>
      </w:r>
      <w:r>
        <w:rPr>
          <w:sz w:val="20"/>
          <w:szCs w:val="20"/>
          <w:color w:val="auto"/>
        </w:rPr>
        <w:tab/>
      </w:r>
      <w:r>
        <w:rPr>
          <w:rFonts w:ascii="Arial" w:cs="Arial" w:eastAsia="Arial" w:hAnsi="Arial"/>
          <w:sz w:val="18"/>
          <w:szCs w:val="18"/>
          <w:color w:val="auto"/>
        </w:rPr>
        <w:t>proceedings</w:t>
      </w:r>
      <w:r>
        <w:rPr>
          <w:sz w:val="20"/>
          <w:szCs w:val="20"/>
          <w:color w:val="auto"/>
        </w:rPr>
        <w:tab/>
      </w:r>
      <w:r>
        <w:rPr>
          <w:rFonts w:ascii="Arial" w:cs="Arial" w:eastAsia="Arial" w:hAnsi="Arial"/>
          <w:sz w:val="18"/>
          <w:szCs w:val="18"/>
          <w:color w:val="auto"/>
        </w:rPr>
        <w:t>are</w:t>
      </w:r>
      <w:r>
        <w:rPr>
          <w:sz w:val="20"/>
          <w:szCs w:val="20"/>
          <w:color w:val="auto"/>
        </w:rPr>
        <w:tab/>
      </w:r>
      <w:r>
        <w:rPr>
          <w:rFonts w:ascii="Arial" w:cs="Arial" w:eastAsia="Arial" w:hAnsi="Arial"/>
          <w:sz w:val="18"/>
          <w:szCs w:val="18"/>
          <w:color w:val="auto"/>
        </w:rPr>
        <w:t>publicly</w:t>
      </w:r>
      <w:r>
        <w:rPr>
          <w:sz w:val="20"/>
          <w:szCs w:val="20"/>
          <w:color w:val="auto"/>
        </w:rPr>
        <w:tab/>
      </w:r>
      <w:r>
        <w:rPr>
          <w:rFonts w:ascii="Arial" w:cs="Arial" w:eastAsia="Arial" w:hAnsi="Arial"/>
          <w:sz w:val="16"/>
          <w:szCs w:val="16"/>
          <w:color w:val="auto"/>
        </w:rPr>
        <w:t>available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on</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Patent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Application</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Information</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Retrieval</w:t>
      </w:r>
    </w:p>
    <w:p>
      <w:pPr>
        <w:spacing w:after="0" w:line="45" w:lineRule="exact"/>
        <w:rPr>
          <w:sz w:val="20"/>
          <w:szCs w:val="20"/>
          <w:color w:val="auto"/>
        </w:rPr>
      </w:pPr>
    </w:p>
    <w:p>
      <w:pPr>
        <w:sectPr>
          <w:pgSz w:w="11900" w:h="16838" w:orient="portrait"/>
          <w:cols w:equalWidth="0" w:num="7">
            <w:col w:w="6300" w:space="320"/>
            <w:col w:w="180" w:space="320"/>
            <w:col w:w="220" w:space="300"/>
            <w:col w:w="460" w:space="320"/>
            <w:col w:w="840" w:space="320"/>
            <w:col w:w="860" w:space="320"/>
            <w:col w:w="660"/>
          </w:cols>
          <w:pgMar w:left="240" w:top="881" w:right="239" w:bottom="1440" w:gutter="0" w:footer="0" w:header="0"/>
          <w:type w:val="continuous"/>
        </w:sectPr>
      </w:pPr>
    </w:p>
    <w:p>
      <w:pPr>
        <w:spacing w:after="0"/>
        <w:rPr>
          <w:sz w:val="20"/>
          <w:szCs w:val="20"/>
          <w:color w:val="auto"/>
        </w:rPr>
      </w:pPr>
      <w:r>
        <w:rPr>
          <w:rFonts w:ascii="Arial" w:cs="Arial" w:eastAsia="Arial" w:hAnsi="Arial"/>
          <w:sz w:val="16"/>
          <w:szCs w:val="16"/>
          <w:color w:val="auto"/>
        </w:rPr>
        <w:t>website, http://portal.uspto.gov/pair/PublicPair, which is operated by the USPTO.</w:t>
      </w:r>
    </w:p>
    <w:p>
      <w:pPr>
        <w:sectPr>
          <w:pgSz w:w="11900" w:h="16838" w:orient="portrait"/>
          <w:cols w:equalWidth="0" w:num="1">
            <w:col w:w="11420"/>
          </w:cols>
          <w:pgMar w:left="240" w:top="881" w:right="239"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Infrastructure Patents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On August 9, 2012, we entered into a patent purchase agreement with Nokia Corporation ("Nokia"), comprising of 124 patent families with counterparts world-wide. The total consideration paid for the portfolio was $22,000,000. Under the terms of the purchase agreement, to the extent that the gross revenue generated by such portfolio exceeds $22,000,000, we are obligated to pay a royalty of 35% of such excess. The portfolio encompasses technologies relating to telecom infrastructure, including communication management, data and signal transmission, mobility management, radio resources management and services. Declarations were filed by Nokia indicating that 31 of the 124 patent families acquired may be essential to wireless communications standards. Copies of the declarations are available on our website at </w:t>
      </w:r>
      <w:r>
        <w:rPr>
          <w:rFonts w:ascii="Arial" w:cs="Arial" w:eastAsia="Arial" w:hAnsi="Arial"/>
          <w:sz w:val="16"/>
          <w:szCs w:val="16"/>
          <w:u w:val="single" w:color="auto"/>
          <w:color w:val="auto"/>
        </w:rPr>
        <w:t>http://www.vringoip.com/documents/FG/vringo/ip/99208_Nokia_ETSI_Declarations.pdf</w:t>
      </w:r>
      <w:r>
        <w:rPr>
          <w:rFonts w:ascii="Arial" w:cs="Arial" w:eastAsia="Arial" w:hAnsi="Arial"/>
          <w:sz w:val="16"/>
          <w:szCs w:val="16"/>
          <w:color w:val="auto"/>
        </w:rPr>
        <w:t xml:space="preserve"> .</w:t>
      </w:r>
    </w:p>
    <w:p>
      <w:pPr>
        <w:spacing w:after="0" w:line="16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one of the means of realizing the value of the patents on telecom infrastructure, our wholly-owned subsidiaries, Vringo Infrastructure, Inc. (“Vringo Infrastructure”), Vringo, Inc. and Vringo Germany GmbH (“Vringo Germany”) have filed a number of suits against ZTE Corporation (“ZTE”), ASUSTeK Computer Inc. (“ASUS”), Belkin International, Inc. (“Belkin”), and certain of their subsidiaries, affiliates and other companies in the United States, European jurisdictions, India, Australia, Brazil, and Malaysia alleging infringement of certain U.S., European, Indian, Australian, Brazilian, and Malaysian patents.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ZTE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5, 2012, Vringo Infrastructure filed a suit in the UK High Court of Justice, Chancery Division, Patents Court, alleging infringement of three European patents. Subsequently, ZTE responded to the complaint on December 19, 2012 with a counterclaim for invalidity of the patents-in-suit. Of the three patents-in-suit, one was withdrawn from litigation, one was postponed by mutual agreement of the parties, and one was heard in a trial on liability that commenced on October 28, 2014. A decision is anticipated in December 2014 or January 2015. If the Court finds the patent valid and infringed, the remedy phase of the litigation will commence.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Vringo Infrastructure filed a second UK suit on December 3, 2012, alleging infringement of three additional European patents. A second trial is scheduled for June 2015. However, it is unclear which of the four remaining patents-in-suit will be heard in that trial. A schedule for the remainder of this matter has yet to be set.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November 15, 2012, Vringo Germany filed a suit in the Mannheim Regional Court in Germany, alleging infringement of a European patent. The litigation was expanded to include a second European patent on February 21, 2013. On November 4, 2013, we filed a further brief with respect to the proceedings of the first European patent suit, asserting infringement by ZTE eNode B infrastructure equipment used in 4G networks.</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hearing for the first European patent case has been postponed by mutual agreement with ZTE; no date has been set for reinstatement. On December 17, 2013, the Court issued its judgment in the second European patent case, finding that ZTE infringed that patent and ordered an accounting and an injunction upon payment of the appropriate bonds. On February 19, 2014, Vringo Germany filed suit in the Mannheim Regional Court seeking enforcement of the accounting ordered and a further order that non-compliance be subject to civil and criminal penalties. On May 5, 2014, we paid a bond of approximately $1,400,000 to the Court in order to enforce the injunction against ZTE. Trial in the suit to enforce the accounting is scheduled for November 2014.</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27, 2013, ZTE filed a notice of appeal of the Mannheim Regional Court’s judgment in the second European patent case, and on January 24, 2014, ZTE filed an emergency motion with the Court of Appeals seeking a stay of the judge’s order pending appeal. On February 24, 2014, ZTE’s motion was denied.</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September 13, 2013 and January 28, 2014, Vringo Germany filed two suits in the Regional Court of Düsseldorf, alleging infringement of two additional European patents. Both cases are scheduled to be heard in November 2014. On April 23, 2014, Google commenced the process to intervene in the fourth filed suit as an interested third party. As a result of this process, Google is entitled to file defensive briefs in tandem with ZTE.</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ZTE filed nullity suits with respect to the first and second European patents in the Federal Patents Court in Munich, Germany during the second and fourth quarters, respectively, of 2013. Trials in the nullity suits have not been scheduled. ZTE filed a nullity suit with respect to the third European patent in the Federal Patents Court in Munich, Germany, in the fourth quarter of 2013. A schedule has not yet been set and the trial is not anticipated before the third quarter of 2015. In addition, ZTE filed a nullity suit with respect to the fourth European patent in the Federal Patents Court in Munich, Germany in the second quarter of 2014. A schedule has not yet been set and the trial is not anticipated before the third quarter of 2015.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ZTE has filed 35 reexamination requests of Vringo’s Chinese patents with the Patent Re-Examination Board (“PRB”) of the State Intellectual Property Office of the People’s Republic of China. To date, the PRB has upheld the validity of two of Vringo’s patents and has held that one of Vringo’s patents is invalid. Vringo is appealing the latter decision. The remaining 32 reexamination requests remain pending, with decisions expected to be rendered on a rolling basis.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81818"/>
        </w:rPr>
        <w:t>On February 21, 2014, ZTE filed a civil complaint against Vringo and Vringo Infrastructure in the Shenzhen Intermediate Court alleging Vringo violated China’s antimonopoly laws. Vringo received notice of the action on June 26, 2014. Vringo intends to vigorously contest all aspects of this action in the appropriate manner. On July 28, 2014, Vringo filed a motion to have this complaint dismissed due to lack of jurisdiction. On August 6, 2014, the Court dismissed this motion. Vringo has appealed this dismissal; a hearing date in the appeal has not yet been set. The remainder of the case remains pending, and a schedule has not yet been set.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On March 29, 2013, Vringo Infrastructure filed a patent infringement lawsuit in France in the Tribunal de Grande Instance de Paris, alleging infringement of the French part of two European patents. Vringo Infrastructure filed the lawsuit based on particular information uncovered during a seizure to obtain evidence of infringement, known as a saisie-contrefaçon, which was executed at two of ZTE's facilities in France. The oral hearing in relation to these patents has been scheduled for December 2014 before the 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division of the 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chamber of the Tribunal de Grande Instance de Paris (specializing in IP matters).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Australia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11, 2013, Vringo Infrastructure filed a patent infringement lawsuit in the Federal Court of Australia in the New South Wales registry, alleging infringement by ZTE of two Australian patents. We currently anticipate that the Court will set a trial date in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6, 2013, Vringo Infrastructure filed a preliminary inquiry order against ZTE in the Commercial Court of Madrid, Spain, requiring ZTE to provide discovery relating to alleged infringement of a patent which is the Spanish counter-part of the second European patent filed in Germany. In light of ZTE’s non-responsiveness to the order, on March 24, 2014 the Court granted our request to seek discovery of four of ZTE’s Spanish customers. We have received responses from all four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India</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7, 2013, we and our subsidiary, Vringo Infrastructure, filed a patent infringement lawsuit in the High Court of Delhi at New Delhi, India, alleging infringement of an Indian patent related to CDMA. On November 8, 2013, the Court granted an ex-parte preliminary injunction and appointed commissioners to inspect ZTE’s facilities and collect evidence. ZTE appealed the preliminary injunction and, on December 12, 2013, the Court instituted an interim arrangement.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3, 2014, we filed a motion for contempt for ZTE’s failure to comply with the Court’s order, and requested that the Court order ZTE to pay an increased bond. A ruling on this motion is pending.</w:t>
      </w:r>
    </w:p>
    <w:p>
      <w:pPr>
        <w:spacing w:after="0" w:line="17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On January 31, 2014, we and our subsidiary, Vringo Infrastructure, filed a patent infringement lawsuit in the High Court of Delhi at New Delhi, alleging infringement of a second Indian patent related to GSM Infrastructure. The Court granted an ex-parte preliminary injunction and appointed commissioners to inspect ZTE’s facilities and collect evidence. ZTE appealed the preliminary injunction and, on August 13, 2014, the Court instituted an interim arrangement.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30, 2014, we filed a motion for contempt for ZTE’s failure to comply with the Court’s order, and requested that the Court order ZTE to pay an increased bond. A ruling on this motion is pending.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Brazil</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April 14, 2014, Vringo Infrastructure filed a patent infringement lawsuit in the 5th Trial Court of Rio de Janeiro State Court in Brazil, alleging infringement of a Brazilian patent related to 3G/4G/LTE infrastructure. On April 15, 2014, the court granted an ex-parte preliminary injunction restraining ZTE from manufacturing, using, offering for sale, selling, installing, testing, or importing such infrastructure equipment, subject to a fine. To enforce the injunction, the Company posted a bond of approximately $904,000 with the court on April 17, 2014. On May 9, 2014, ZTE filed an interlocutory appeal against the injunction. This appeal was denied by the Court on June 16, 2014. ZTE continues to vigorously defend its position.</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17, 2014, ZTE filed a nullity suit in the Federal district court in Rio de Janiero, Brazil, against both Vringo and the Brazilian patent office, seeking to invalidate Vringo’s Brazilian patent. A schedule for the remainder of this matter has not yet been set.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Malaysia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23, 2014, Vringo Infrastructure filed a patent infringement lawsuit against ZTE in the High Court of Malaya at Kuala Lumpur. The Court is expected to hear the case in March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Romania</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23, 2014, Vringo Infrastructure filed a patent infringement lawsuit against ZTE in the Bucharest Tribunal Civil Section. On July 1, 2014, the court granted an ex-parte preliminary injunction, ordering ZTE to cease any importation, exportation, introduction on the market, offer for sale, storage, sale, trade, distribution, promotion, or any other business activity regarding the infringing product. ZTE appealed the granting of the injunction and, on October 10, 2014, the Bucharest Court of Appeal suspended enforcement of the injunction in light of ZTE’s allegations that it was immediately subject to approximately $39,900,000 in contract losses, pending the outcome of the appeal, which is expected before mid-December 2014. The remaining schedule has not yet been set in this matter.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Netherlands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May 28, 2014, Vringo Infrastructure commenced legal proceedings, pursuant to European Anti-Piracy Regulations, Number 1383/2003, Article 11 against ZTE in the District Court of The Hague. ZTE has filed an invalidity lawsuit for the patent-in-suit. A schedule has not yet been set in this matter.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On June 4, 2014, ZTE filed suit in the District Court of Rotterdam against Vringo and Vringo Infrastructure for the alleged wrongful detention of goods under the relevant anti-piracy regulations. A schedule has not yet been set in this matter.</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24, 2014, ZTE filed a request with the District Court of The Hague to seek the release of ZTE UMTS products being held by Dutch customs officials and to order Vringo to ask the Dutch customs authorities to stop their actions against ZTE’s products based on the Anti-Piracy Regulations of the European Union. On October 24, 2014, the President of the Court denied ZTE’s requests, and upheld the detention of ZTE’s goods, finding, prima facie, that ZTE has infringed one of Vringo’s European patents, upholding the validity of that patent, and rejecting ZTE’s argument that Vringo has violated European competition law by enforcing that patent. ZTE was also ordered to pay Vringo’s legal costs of approximately $250,000. ZTE may choose to appeal this decision.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2, 2014, Vringo filed suit in the United States District Court for the Southern District of New York seeking a temporary restraining order and preliminary and permanent injunctions against ZTE, enjoining ZTE’s use of prohibited materials captured under NDA, including but not limited to ZTE’s use of such materials in its antitrust lawsuit in China against Vringo and Vringo Infrastructure. On July 7, 2014, the court granted a temporary restraining order against ZTE’s use of such material. On July 23, 2014, ZTE filed a counterclaim against Vringo. On July 24, 2014, the Court held a hearing on Vringo’s motion for a preliminary injunction against ZTE. A ruling on this motion is pending. On October 2, 2014, Vringo filed a motion for judgment on the pleadings, similar to a motion for summary judgment, asking the court to render a judgment on Vringo’s cause of action based solely on the pleadings of the parties.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Commission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April 10, 2014, ZTE filed a complaint with the European Commission. We believe that the accusations are not accurate. The European Commission has not yet set the schedule for this matter.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October 4, 2013 and January 29, 2014, Vringo Germany filed two patent infringement lawsuits against ASUS in the Düsseldorf Regional Court, alleging infringement of two European patents. The cases are scheduled to be heard in November 2014.</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ASUS filed nullity suits with respect to the first and second European patents in the Federal Patents Court in Munich, Germany, during the second quarter of 2014. Trials in the nullity suits have not been scheduled but are not anticipated before the second quarter of 2016 for the first patent and the second quarter of 2015 for the second patent.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7, 2014, Vringo Infrastructure filed suit in the Commercial Court of Barcelona alleging infringement of a patent which is the Spanish counter-part of the first European patent filed in Germany. The oral hearing for this case is scheduled to be heard before the Commercial Court of Barcelona in November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India</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April 15, 2014, Vringo Infrastructure filed suit in the High Court of Delhi, New Delhi alleging infringement of a patent related to use of dictionaries in search engines preloaded on certain ASUS devices. Google has successfully petitioned to intervene as an interested party and has the right to file responsive pleadings. The pleading stage of the litigation will be completed in December 2014. A schedule for the remainder of case has not yet been set.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Tyco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April 28, 2014, the Company entered into a confidential agreement with Tyco that resolved all litigation pending between the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Belkin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October 1, 2014, the Company entered into a confidential agreement with Belkin that resolved all litigation pending between the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Sale of mobile social application business to InfoMedia Services Limited (“InfoMedia”)</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31, 2013, we entered into a definitive asset purchase agreement with InfoMedia for the sale of certain assets (mostly comprised of acquired technology) and the assignment of certain agreements related to our mobile social application business. The closing of the transaction occurred on February 18, 2014 (“Closing”). Upon Closing, as consideration for the assets and agreements related to our mobile social application business, we received 18 Class B shares of InfoMedia, which represent an 8.25% ownership interest in InfoMedia.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1" w:name="page22"/>
    <w:bookmarkEnd w:id="21"/>
    <w:p>
      <w:pPr>
        <w:jc w:val="both"/>
        <w:spacing w:after="0" w:line="259" w:lineRule="auto"/>
        <w:rPr>
          <w:sz w:val="20"/>
          <w:szCs w:val="20"/>
          <w:color w:val="auto"/>
        </w:rPr>
      </w:pPr>
      <w:r>
        <w:rPr>
          <w:rFonts w:ascii="Arial" w:cs="Arial" w:eastAsia="Arial" w:hAnsi="Arial"/>
          <w:sz w:val="18"/>
          <w:szCs w:val="18"/>
          <w:color w:val="auto"/>
        </w:rPr>
        <w:t>InfoMedia is a privately owned, UK based, provider of customer relationship management and monetization technologies to mobile carriers and device manufacturers. As part of the transaction, we will have the opportunity to license certain intellectual property assets and support InfoMedia to identify and protect new intellectual property. Additionally, our Chief Executive Officer was appointed as a full voting member on InfoMedia’s board of directors and we received a number of customary protective rights.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June 2014 Warrants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19, 2014, we entered into agreements with certain of our warrant holders, pursuant to which the warrant holders exercised for cash 5,697,227 of their outstanding Series 1 and Series 2 warrants, with an exercise price of $1.76 per share. In addition, we granted such warrant holders unregistered warrants of the Company to purchase an aggregate of 5,412,366 shares of our common stock, par value $0.01 per share, at an exercise price of $5.06 per share (the “June 2014 Warrants”). The June 2014 Warrants expire on June 21, 2015 and because such warrants do not bear any down-round protection clauses, they are classified as equity instruments. As a result of these transactions, we received approximately $10 million of cash proceeds.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from patent licensing and enforcement is recognized when collection is reasonably assured, persuasive evidence of an arrangement exists, the sales price is fixed or determinable and delivery of the service has been rendered. We use management's best estimate of selling price for individual elements in multiple-element arrangements, where vendor specific evidence or third party evidence of selling price is not available.</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Currently, our revenue arrangements provide for the payment of contractually determined fees in consideration for the grant of certain intellectual property rights related to our patents. These rights typically include some combination of the following: (i) the grant of a non-exclusive, retroactive and future license to manufacture and/or sell products covered by patents, (ii) the release of the licensee from certain claims, and (iii) the dismissal of any pending litigation. The intellectual property rights granted may be perpetual in nature, extending until the expiration of the related patents, or can be granted for a defined, relatively short period of time, with the licensee possessing the right to renew the agreement at the end of each contractual term for an additional minimum upfront payment. Pursuant to the terms of these agreements, we have no further obligation with respect to the grant of the non-exclusive retroactive and future licenses, covenants-not-to-sue, releases, and other deliverables, including no express or implied obligation on our part to maintain or upgrade the related technology, or provide future support or services. Generally, the agreements provide for the grant of the licenses, covenants-not-to-sue, releases, and other significant deliverables upon execution of the agreement, or upon receipt of the minimum upfront payment for term agreement renewals. As such, the earnings process is complete and revenue is recognized upon the execution of the agreement, upon receipt of the minimum upfront fee for term agreement renewals, and when all other revenue recognition criteria have been met.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legal costs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legal costs mainly include expenses incurred in connection with our patent licensing and enforcement activities, patent-related legal expenses paid to external patent counsel (including contingent legal fees), licensing and enforcement related research, consulting and other expenses paid to third parties, as well as related internal payroll expenses and stock-based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and impairment of intangibles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Amortization of intangibles represents the amortization expense of our acquired patents which is recognized on a straight-line basis over the remaining legal life of the patents. Impairment charges related to our acquired patents are recorded when an impairment indicator exists and the carrying amount of the related asset exceeds its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consist primarily of the cost of our development personnel, as well as of the cost of outsourced development services.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include management and administrative personnel, public and investor relations, overhead/office costs and various professional fees, as well as insurance, non-operational depreciation and amortization.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Non-operating income (expenses)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Non-operating income (expenses) includes transaction gains (losses) from foreign exchange rate differences, interest on deposits, bank charges, as well as fair value adjustments related to our derivative warrant liabilities. The value of such derivative warrant liabilities is highly influenced by assumptions used in its valuation, as well as by our stock price at the period end (revaluation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 of September 30, 2014, deferred tax assets generated from our U.S. activities were offset by a valuation allowance because realization depends on generating future taxable income, which, in our estimation, is not more likely than not to be generated before such net operating loss carryforwards expire.</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Prior to the sale of our mobile social application business, our subsidiary in Israel generated net taxable income from services it provided to us. The subsidiary in Israel charged us for research, development, certain management and other services provided to us, plus a profit margin on such costs, which was 8%. In the zone where the production facilities of the subsidiary in Israel were located, the statutory tax rate was 12.5% in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period ended September 30, 2014 compared to the three month period ended September 30,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1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jc w:val="right"/>
              <w:ind w:right="25"/>
              <w:spacing w:after="0"/>
              <w:rPr>
                <w:sz w:val="20"/>
                <w:szCs w:val="20"/>
                <w:color w:val="auto"/>
              </w:rPr>
            </w:pPr>
            <w:r>
              <w:rPr>
                <w:rFonts w:ascii="Arial" w:cs="Arial" w:eastAsia="Arial" w:hAnsi="Arial"/>
                <w:sz w:val="18"/>
                <w:szCs w:val="18"/>
                <w:color w:val="auto"/>
                <w:w w:val="96"/>
              </w:rPr>
              <w:t>Three months ended September 30,</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1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58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2013</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8"/>
              </w:rPr>
              <w:t>Change</w:t>
            </w:r>
          </w:p>
        </w:tc>
        <w:tc>
          <w:tcPr>
            <w:tcW w:w="100" w:type="dxa"/>
            <w:vAlign w:val="bottom"/>
            <w:tcBorders>
              <w:bottom w:val="single" w:sz="8" w:color="CCEEFF"/>
            </w:tcBorders>
          </w:tcPr>
          <w:p>
            <w:pPr>
              <w:spacing w:after="0"/>
              <w:rPr>
                <w:sz w:val="18"/>
                <w:szCs w:val="18"/>
                <w:color w:val="auto"/>
              </w:rPr>
            </w:pPr>
          </w:p>
        </w:tc>
      </w:tr>
      <w:tr>
        <w:trPr>
          <w:trHeight w:val="223"/>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960" w:type="dxa"/>
            <w:vAlign w:val="bottom"/>
            <w:tcBorders>
              <w:bottom w:val="single" w:sz="8" w:color="auto"/>
            </w:tcBorders>
            <w:shd w:val="clear" w:color="auto" w:fill="CCEEFF"/>
          </w:tcPr>
          <w:p>
            <w:pPr>
              <w:jc w:val="right"/>
              <w:ind w:right="79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150,000</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 period ended September 30, 2014, we recorded total revenue of $150,000 as compared to zero revenue recorded during the three month period ended September 30, 2013. The current period revenue was due to a one-time payment in connection with a license agreement for certain of our owned intellectual property.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seek to generate revenue through the monetization of our intellectual property through licensing, strategic partnerships and litigation, when required, which may be resolved through a settlement or collection. We also intend to continue to expand our planned operations worldwide through acquisitions and monetization of additional patents, other intellectual property or operating businesses.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anticipate that our legal proceedings may continue for several years and may require significant expenditures for legal fees and other expenses. Disputes regarding the assertion of patents and other intellectual property rights are highly complex and technical.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Operating legal costs</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6"/>
          </w:tcPr>
          <w:p>
            <w:pPr>
              <w:jc w:val="right"/>
              <w:ind w:right="25"/>
              <w:spacing w:after="0"/>
              <w:rPr>
                <w:sz w:val="20"/>
                <w:szCs w:val="20"/>
                <w:color w:val="auto"/>
              </w:rPr>
            </w:pPr>
            <w:r>
              <w:rPr>
                <w:rFonts w:ascii="Arial" w:cs="Arial" w:eastAsia="Arial" w:hAnsi="Arial"/>
                <w:sz w:val="18"/>
                <w:szCs w:val="18"/>
                <w:color w:val="auto"/>
              </w:rPr>
              <w:t>Three months ended September 30,</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2014</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2013</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8"/>
              </w:rPr>
              <w:t>Change</w:t>
            </w:r>
          </w:p>
        </w:tc>
        <w:tc>
          <w:tcPr>
            <w:tcW w:w="100" w:type="dxa"/>
            <w:vAlign w:val="bottom"/>
            <w:tcBorders>
              <w:bottom w:val="single" w:sz="8" w:color="CCEEFF"/>
            </w:tcBorders>
          </w:tcPr>
          <w:p>
            <w:pPr>
              <w:spacing w:after="0"/>
              <w:rPr>
                <w:sz w:val="18"/>
                <w:szCs w:val="18"/>
                <w:color w:val="auto"/>
              </w:rPr>
            </w:pPr>
          </w:p>
        </w:tc>
      </w:tr>
      <w:tr>
        <w:trPr>
          <w:trHeight w:val="223"/>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legal costs</w:t>
            </w: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8,865,000</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5,414,000</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3,451,000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three month period ended September 30, 2014, our operating legal costs were $8,865,000, which represents an increase of $3,451,000 (or 63.7%) from operating legal costs recorded for the three months ended September 30, 2013. This increase was primarily due to the timing and nature of consulting and patent litigation costs related to legal proceedings against ZTE and Google. With respect to our legal proceedings against ZTE, costs during the three month period ended September 30, 2014 were associated with our continued worldwide litigation efforts. In addition, we incurred costs during the current period in the U.S. related to our efforts in obtaining the temporary restraining order and preliminary and permanent injunctions against ZTE related to its use of prohibited materials captured under NDA. Expenses incurred in connection with our legal proceedings against Google decreased during the three month period ended September 30, 2014 following the oral argument heard in the appeals court in May 2014.</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It is uncertain whether our operating legal costs will increase over time. Though we aim to diversify our portfolio of products and increase our intellectual property monetization efforts, we have also increased the size of our in-house legal department staff. The goal is to decrease our overall legal expenses by bringing more work in-house, which we believe will cost less than outsourcing to external firms. There is no guarantee, however, that an in-house team will be less expensive or more efficient than outsourcing this work. Moreover, as we expand the scope of our monetization efforts, the amount of legal work will increase leading to a concomitant increase in our operating legal costs, regardless of whether such work is performed in-house or outsourced.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Arial" w:cs="Arial" w:eastAsia="Arial" w:hAnsi="Arial"/>
                <w:sz w:val="18"/>
                <w:szCs w:val="18"/>
                <w:b w:val="1"/>
                <w:bCs w:val="1"/>
                <w:color w:val="auto"/>
              </w:rPr>
              <w:t>Amortization and impairment of intangibles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6040" w:type="dxa"/>
            <w:vAlign w:val="bottom"/>
          </w:tcPr>
          <w:p>
            <w:pPr>
              <w:spacing w:after="0"/>
              <w:rPr>
                <w:sz w:val="24"/>
                <w:szCs w:val="24"/>
                <w:color w:val="auto"/>
              </w:rPr>
            </w:pPr>
          </w:p>
        </w:tc>
        <w:tc>
          <w:tcPr>
            <w:tcW w:w="3660" w:type="dxa"/>
            <w:vAlign w:val="bottom"/>
            <w:gridSpan w:val="8"/>
          </w:tcPr>
          <w:p>
            <w:pPr>
              <w:jc w:val="center"/>
              <w:ind w:right="100"/>
              <w:spacing w:after="0"/>
              <w:rPr>
                <w:sz w:val="20"/>
                <w:szCs w:val="20"/>
                <w:color w:val="auto"/>
              </w:rPr>
            </w:pPr>
            <w:r>
              <w:rPr>
                <w:rFonts w:ascii="Arial" w:cs="Arial" w:eastAsia="Arial" w:hAnsi="Arial"/>
                <w:sz w:val="18"/>
                <w:szCs w:val="18"/>
                <w:color w:val="auto"/>
                <w:w w:val="88"/>
              </w:rPr>
              <w:t>Three months ended September 30,</w:t>
            </w:r>
          </w:p>
        </w:tc>
      </w:tr>
      <w:tr>
        <w:trPr>
          <w:trHeight w:val="223"/>
        </w:trPr>
        <w:tc>
          <w:tcPr>
            <w:tcW w:w="604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2014</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2013</w:t>
            </w:r>
          </w:p>
        </w:tc>
        <w:tc>
          <w:tcPr>
            <w:tcW w:w="20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8"/>
              </w:rPr>
              <w:t>Change</w:t>
            </w:r>
          </w:p>
        </w:tc>
        <w:tc>
          <w:tcPr>
            <w:tcW w:w="80" w:type="dxa"/>
            <w:vAlign w:val="bottom"/>
            <w:tcBorders>
              <w:bottom w:val="single" w:sz="8" w:color="CCEEFF"/>
            </w:tcBorders>
          </w:tcPr>
          <w:p>
            <w:pPr>
              <w:spacing w:after="0"/>
              <w:rPr>
                <w:sz w:val="19"/>
                <w:szCs w:val="19"/>
                <w:color w:val="auto"/>
              </w:rPr>
            </w:pPr>
          </w:p>
        </w:tc>
      </w:tr>
      <w:tr>
        <w:trPr>
          <w:trHeight w:val="223"/>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and impairment of intangibles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2,333,000</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860,000</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three month period ended September 30, 2014, amortization expense and impairment charges related to our intangible assets totaled $2,333,000 which represents an increase of $1,473,000 (or 171.3%) from amortization and impairment of intangibles recorded for the three month period ended September 30, 2013. Currently, our intangible assets consist of our patent portfolios, which are amortized over their remaining useful lives (i.e., through the expiration date of the patent). During the three month period ended September 30, 2014, we recorded an impairment charge of $1,355,000 related to the patent portfolio containing the patents-in-suit in I/P Engine's litigation against AOL Inc., Google Inc. et al. There were no impairment charges related to our intangible assets during the three month period ended September 30, 2013. The remaining increase of $118,000 during the current period was due to the additional amortization on patent portfolios that were acquired during the fourth quarter of 2013.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Arial" w:cs="Arial" w:eastAsia="Arial" w:hAnsi="Arial"/>
                <w:sz w:val="18"/>
                <w:szCs w:val="18"/>
                <w:b w:val="1"/>
                <w:bCs w:val="1"/>
                <w:color w:val="auto"/>
              </w:rPr>
              <w:t>Research and development</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6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gridSpan w:val="8"/>
          </w:tcPr>
          <w:p>
            <w:pPr>
              <w:ind w:left="280"/>
              <w:spacing w:after="0"/>
              <w:rPr>
                <w:sz w:val="20"/>
                <w:szCs w:val="20"/>
                <w:color w:val="auto"/>
              </w:rPr>
            </w:pPr>
            <w:r>
              <w:rPr>
                <w:rFonts w:ascii="Arial" w:cs="Arial" w:eastAsia="Arial" w:hAnsi="Arial"/>
                <w:sz w:val="18"/>
                <w:szCs w:val="18"/>
                <w:color w:val="auto"/>
              </w:rPr>
              <w:t>Three months ended September 30,</w:t>
            </w:r>
          </w:p>
        </w:tc>
      </w:tr>
      <w:tr>
        <w:trPr>
          <w:trHeight w:val="223"/>
        </w:trPr>
        <w:tc>
          <w:tcPr>
            <w:tcW w:w="60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2014</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2013</w:t>
            </w:r>
          </w:p>
        </w:tc>
        <w:tc>
          <w:tcPr>
            <w:tcW w:w="20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8"/>
              </w:rPr>
              <w:t>Change</w:t>
            </w:r>
          </w:p>
        </w:tc>
        <w:tc>
          <w:tcPr>
            <w:tcW w:w="80" w:type="dxa"/>
            <w:vAlign w:val="bottom"/>
            <w:tcBorders>
              <w:bottom w:val="single" w:sz="8" w:color="CCEEFF"/>
            </w:tcBorders>
          </w:tcPr>
          <w:p>
            <w:pPr>
              <w:spacing w:after="0"/>
              <w:rPr>
                <w:sz w:val="19"/>
                <w:szCs w:val="19"/>
                <w:color w:val="auto"/>
              </w:rPr>
            </w:pPr>
          </w:p>
        </w:tc>
      </w:tr>
      <w:tr>
        <w:trPr>
          <w:trHeight w:val="223"/>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89"/>
              </w:rPr>
              <w:t>228,000</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542,000</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(314,000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three month periods ended September 30, 2014 and 2013, our research and development expenses amounted to $228,000 and $542,000, respectively. The prior period amount excludes research and development expenses related to our mobile social application business which is presented in discontinued operations. The decrease of $314,000 (or 57.9%) is primarily due to a decrease in costs related to third party consultants who were engaged on certain projects during 2013. Such projects had ended prior to 2014 and therefore these third party consultants were no longer utilized in the current period.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Arial" w:cs="Arial" w:eastAsia="Arial" w:hAnsi="Arial"/>
                <w:sz w:val="18"/>
                <w:szCs w:val="18"/>
                <w:b w:val="1"/>
                <w:bCs w:val="1"/>
                <w:color w:val="auto"/>
              </w:rPr>
              <w:t>General and administrative</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6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gridSpan w:val="8"/>
          </w:tcPr>
          <w:p>
            <w:pPr>
              <w:ind w:left="280"/>
              <w:spacing w:after="0"/>
              <w:rPr>
                <w:sz w:val="20"/>
                <w:szCs w:val="20"/>
                <w:color w:val="auto"/>
              </w:rPr>
            </w:pPr>
            <w:r>
              <w:rPr>
                <w:rFonts w:ascii="Arial" w:cs="Arial" w:eastAsia="Arial" w:hAnsi="Arial"/>
                <w:sz w:val="18"/>
                <w:szCs w:val="18"/>
                <w:color w:val="auto"/>
              </w:rPr>
              <w:t>Three months ended September 30,</w:t>
            </w:r>
          </w:p>
        </w:tc>
      </w:tr>
      <w:tr>
        <w:trPr>
          <w:trHeight w:val="223"/>
        </w:trPr>
        <w:tc>
          <w:tcPr>
            <w:tcW w:w="60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2014</w:t>
            </w:r>
          </w:p>
        </w:tc>
        <w:tc>
          <w:tcPr>
            <w:tcW w:w="20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2013</w:t>
            </w:r>
          </w:p>
        </w:tc>
        <w:tc>
          <w:tcPr>
            <w:tcW w:w="20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8"/>
              </w:rPr>
              <w:t>Change</w:t>
            </w:r>
          </w:p>
        </w:tc>
        <w:tc>
          <w:tcPr>
            <w:tcW w:w="80" w:type="dxa"/>
            <w:vAlign w:val="bottom"/>
            <w:tcBorders>
              <w:bottom w:val="single" w:sz="8" w:color="CCEEFF"/>
            </w:tcBorders>
          </w:tcPr>
          <w:p>
            <w:pPr>
              <w:spacing w:after="0"/>
              <w:rPr>
                <w:sz w:val="19"/>
                <w:szCs w:val="19"/>
                <w:color w:val="auto"/>
              </w:rPr>
            </w:pPr>
          </w:p>
        </w:tc>
      </w:tr>
      <w:tr>
        <w:trPr>
          <w:trHeight w:val="223"/>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7"/>
              </w:rPr>
              <w:t>3,920,000</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7"/>
              </w:rPr>
              <w:t>3,703,000</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 month period ended September 30, 2014, general and administrative expenses increased by $217,000 (or 5.9%), to $3,920,000, compared to $3,703,000 that was recorded during the three month period ended September 30, 2013. The overall increase in general and administrative expenses was primarily due to increased costs in connection with our efforts to consolidate our executive management and finance functions in a centralized location. In addition, there was an increase in corporate legal and accounting fees as compared to the prior period.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Arial" w:cs="Arial" w:eastAsia="Arial" w:hAnsi="Arial"/>
                <w:sz w:val="18"/>
                <w:szCs w:val="18"/>
                <w:b w:val="1"/>
                <w:bCs w:val="1"/>
                <w:color w:val="auto"/>
              </w:rPr>
              <w:t>Non-operating income, net</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6040" w:type="dxa"/>
            <w:vAlign w:val="bottom"/>
          </w:tcPr>
          <w:p>
            <w:pPr>
              <w:spacing w:after="0"/>
              <w:rPr>
                <w:sz w:val="24"/>
                <w:szCs w:val="24"/>
                <w:color w:val="auto"/>
              </w:rPr>
            </w:pPr>
          </w:p>
        </w:tc>
        <w:tc>
          <w:tcPr>
            <w:tcW w:w="3660" w:type="dxa"/>
            <w:vAlign w:val="bottom"/>
            <w:gridSpan w:val="8"/>
          </w:tcPr>
          <w:p>
            <w:pPr>
              <w:jc w:val="center"/>
              <w:ind w:right="100"/>
              <w:spacing w:after="0"/>
              <w:rPr>
                <w:sz w:val="20"/>
                <w:szCs w:val="20"/>
                <w:color w:val="auto"/>
              </w:rPr>
            </w:pPr>
            <w:r>
              <w:rPr>
                <w:rFonts w:ascii="Arial" w:cs="Arial" w:eastAsia="Arial" w:hAnsi="Arial"/>
                <w:sz w:val="18"/>
                <w:szCs w:val="18"/>
                <w:color w:val="auto"/>
                <w:w w:val="88"/>
              </w:rPr>
              <w:t>Three months ended September 30,</w:t>
            </w:r>
          </w:p>
        </w:tc>
      </w:tr>
      <w:tr>
        <w:trPr>
          <w:trHeight w:val="223"/>
        </w:trPr>
        <w:tc>
          <w:tcPr>
            <w:tcW w:w="604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2014</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2013</w:t>
            </w:r>
          </w:p>
        </w:tc>
        <w:tc>
          <w:tcPr>
            <w:tcW w:w="20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8"/>
              </w:rPr>
              <w:t>Change</w:t>
            </w:r>
          </w:p>
        </w:tc>
        <w:tc>
          <w:tcPr>
            <w:tcW w:w="80" w:type="dxa"/>
            <w:vAlign w:val="bottom"/>
            <w:tcBorders>
              <w:bottom w:val="single" w:sz="8" w:color="CCEEFF"/>
            </w:tcBorders>
          </w:tcPr>
          <w:p>
            <w:pPr>
              <w:spacing w:after="0"/>
              <w:rPr>
                <w:sz w:val="19"/>
                <w:szCs w:val="19"/>
                <w:color w:val="auto"/>
              </w:rPr>
            </w:pPr>
          </w:p>
        </w:tc>
      </w:tr>
      <w:tr>
        <w:trPr>
          <w:trHeight w:val="223"/>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Non-operating income, net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2,820,000</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670,000</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three month period ended September 30, 2014, we recorded non-operating income, net, of $2,820,000 compared to non-operating income, net, of $670,000 during the three month period ended September 30, 2013. Included in non-operating income, net, for the three month periods ended September 30, 2014 and 2013, are approximately $2,785,000 and $645,000 of income, respectively, related to a decrease in the fair value of our derivative warrant liabilities. The fair value of our derivative warrant liabilities depends on a variety of assumptions and is significantly driven by our common stock price on the fair value measurement date. An increase in the price of our common stock increases the value of the warrants, resulting in a loss on our statement of operations. A decrease in the price of our common stock decreases the value of the warrants, resulting in a gain on our statement of operations.</w:t>
      </w:r>
    </w:p>
    <w:p>
      <w:pPr>
        <w:spacing w:after="0" w:line="1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third quarter of 2014, we experienced a decline in our common stock price. The increase in income related to the fair value of our derivative warrant liabilities of $2,140,000, as compared to the prior three month period, was directly attributable to this common stock price decline.</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that our non-operating income (expense) will remain highly volatile, and we may choose to fund our operations through additional financing. In particular, non-operating income (expense) will continue to be affected by the adjustments to fair value of our derivative instruments. In addition to our common stock price, the fair value of these derivative instruments is impacted by assumptions regarding triggering of down-round protection. A higher estimated probability of a down-round protection increases the value of the warrants, resulting in a loss on our statement of operations. A lower estimated probability of a down-round protection decreases the value of the warrants, resulting in a gain on our statement of operations. Also refer to Note 8 to the accompanying unaudited consolidated financial statements.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Arial" w:cs="Arial" w:eastAsia="Arial" w:hAnsi="Arial"/>
                <w:sz w:val="18"/>
                <w:szCs w:val="18"/>
                <w:b w:val="1"/>
                <w:bCs w:val="1"/>
                <w:color w:val="auto"/>
              </w:rPr>
              <w:t>Loss from discontinued mobile social application operations</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6040" w:type="dxa"/>
            <w:vAlign w:val="bottom"/>
          </w:tcPr>
          <w:p>
            <w:pPr>
              <w:spacing w:after="0"/>
              <w:rPr>
                <w:sz w:val="24"/>
                <w:szCs w:val="24"/>
                <w:color w:val="auto"/>
              </w:rPr>
            </w:pPr>
          </w:p>
        </w:tc>
        <w:tc>
          <w:tcPr>
            <w:tcW w:w="3660" w:type="dxa"/>
            <w:vAlign w:val="bottom"/>
            <w:gridSpan w:val="10"/>
          </w:tcPr>
          <w:p>
            <w:pPr>
              <w:ind w:left="500"/>
              <w:spacing w:after="0"/>
              <w:rPr>
                <w:sz w:val="20"/>
                <w:szCs w:val="20"/>
                <w:color w:val="auto"/>
              </w:rPr>
            </w:pPr>
            <w:r>
              <w:rPr>
                <w:rFonts w:ascii="Arial" w:cs="Arial" w:eastAsia="Arial" w:hAnsi="Arial"/>
                <w:sz w:val="18"/>
                <w:szCs w:val="18"/>
                <w:color w:val="auto"/>
              </w:rPr>
              <w:t>Three months ended September 30,</w:t>
            </w:r>
          </w:p>
        </w:tc>
      </w:tr>
      <w:tr>
        <w:trPr>
          <w:trHeight w:val="223"/>
        </w:trPr>
        <w:tc>
          <w:tcPr>
            <w:tcW w:w="604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2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2013</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8"/>
              </w:rPr>
              <w:t>Change</w:t>
            </w:r>
          </w:p>
        </w:tc>
        <w:tc>
          <w:tcPr>
            <w:tcW w:w="80" w:type="dxa"/>
            <w:vAlign w:val="bottom"/>
            <w:tcBorders>
              <w:bottom w:val="single" w:sz="8" w:color="CCEEFF"/>
            </w:tcBorders>
          </w:tcPr>
          <w:p>
            <w:pPr>
              <w:spacing w:after="0"/>
              <w:rPr>
                <w:sz w:val="19"/>
                <w:szCs w:val="19"/>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0" w:type="dxa"/>
            <w:vAlign w:val="bottom"/>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CEEFF"/>
          </w:tcPr>
          <w:p>
            <w:pPr>
              <w:spacing w:after="0"/>
              <w:rPr>
                <w:sz w:val="18"/>
                <w:szCs w:val="18"/>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Operating expenses</w:t>
            </w:r>
          </w:p>
        </w:tc>
        <w:tc>
          <w:tcPr>
            <w:tcW w:w="800" w:type="dxa"/>
            <w:vAlign w:val="bottom"/>
          </w:tcPr>
          <w:p>
            <w:pPr>
              <w:spacing w:after="0"/>
              <w:rPr>
                <w:sz w:val="19"/>
                <w:szCs w:val="19"/>
                <w:color w:val="auto"/>
              </w:rPr>
            </w:pP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(707,000)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707,000</w:t>
            </w: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(657,000</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Non-operating expense</w:t>
            </w:r>
          </w:p>
        </w:tc>
        <w:tc>
          <w:tcPr>
            <w:tcW w:w="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Borders>
              <w:bottom w:val="single" w:sz="8" w:color="CCEEFF"/>
            </w:tcBorders>
          </w:tcPr>
          <w:p>
            <w:pPr>
              <w:spacing w:after="0"/>
              <w:rPr>
                <w:sz w:val="18"/>
                <w:szCs w:val="18"/>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taxes on income</w:t>
            </w:r>
          </w:p>
        </w:tc>
        <w:tc>
          <w:tcPr>
            <w:tcW w:w="8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(682,000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682,000</w:t>
            </w:r>
          </w:p>
        </w:tc>
        <w:tc>
          <w:tcPr>
            <w:tcW w:w="80" w:type="dxa"/>
            <w:vAlign w:val="bottom"/>
            <w:shd w:val="clear" w:color="auto" w:fill="CCEEFF"/>
          </w:tcPr>
          <w:p>
            <w:pPr>
              <w:spacing w:after="0"/>
              <w:rPr>
                <w:sz w:val="18"/>
                <w:szCs w:val="18"/>
                <w:color w:val="auto"/>
              </w:rPr>
            </w:pPr>
          </w:p>
        </w:tc>
      </w:tr>
      <w:tr>
        <w:trPr>
          <w:trHeight w:val="210"/>
        </w:trPr>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29,000</w:t>
            </w:r>
          </w:p>
        </w:tc>
        <w:tc>
          <w:tcPr>
            <w:tcW w:w="80" w:type="dxa"/>
            <w:vAlign w:val="bottom"/>
            <w:tcBorders>
              <w:bottom w:val="single" w:sz="8" w:color="CCEEFF"/>
            </w:tcBorders>
          </w:tcPr>
          <w:p>
            <w:pPr>
              <w:spacing w:after="0"/>
              <w:rPr>
                <w:sz w:val="18"/>
                <w:szCs w:val="18"/>
                <w:color w:val="auto"/>
              </w:rPr>
            </w:pPr>
          </w:p>
        </w:tc>
      </w:tr>
      <w:tr>
        <w:trPr>
          <w:trHeight w:val="223"/>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800" w:type="dxa"/>
            <w:vAlign w:val="bottom"/>
            <w:tcBorders>
              <w:bottom w:val="single" w:sz="8" w:color="auto"/>
            </w:tcBorders>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(711,000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February 18, 2014, we executed the sale of our mobile social application business to InfoMedia, receiving eighteen (18) Class B shares of InfoMedia as consideration, which represent an 8.25% ownership interest. Additionally, our Chief Executive Officer was appointed as a full voting member on InfoMedia’s board of directors and we received a number of customary protective rights. The InfoMedia Class B shares are accounted for as a cost-method investment.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 period ended September 30, 2014, there were no results from discontinued operations since all related activities ceased when the sale was executed.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 period ended September 30, 2014 compared to the nine month period ended September 30,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6040" w:type="dxa"/>
            <w:vAlign w:val="bottom"/>
          </w:tcPr>
          <w:p>
            <w:pPr>
              <w:spacing w:after="0"/>
              <w:rPr>
                <w:sz w:val="24"/>
                <w:szCs w:val="24"/>
                <w:color w:val="auto"/>
              </w:rPr>
            </w:pPr>
          </w:p>
        </w:tc>
        <w:tc>
          <w:tcPr>
            <w:tcW w:w="3660" w:type="dxa"/>
            <w:vAlign w:val="bottom"/>
            <w:gridSpan w:val="8"/>
          </w:tcPr>
          <w:p>
            <w:pPr>
              <w:ind w:left="540"/>
              <w:spacing w:after="0"/>
              <w:rPr>
                <w:sz w:val="20"/>
                <w:szCs w:val="20"/>
                <w:color w:val="auto"/>
              </w:rPr>
            </w:pPr>
            <w:r>
              <w:rPr>
                <w:rFonts w:ascii="Arial" w:cs="Arial" w:eastAsia="Arial" w:hAnsi="Arial"/>
                <w:sz w:val="18"/>
                <w:szCs w:val="18"/>
                <w:color w:val="auto"/>
              </w:rPr>
              <w:t>Nine months ended September 30,</w:t>
            </w:r>
          </w:p>
        </w:tc>
      </w:tr>
      <w:tr>
        <w:trPr>
          <w:trHeight w:val="223"/>
        </w:trPr>
        <w:tc>
          <w:tcPr>
            <w:tcW w:w="604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2014</w:t>
            </w:r>
          </w:p>
        </w:tc>
        <w:tc>
          <w:tcPr>
            <w:tcW w:w="20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2013</w:t>
            </w:r>
          </w:p>
        </w:tc>
        <w:tc>
          <w:tcPr>
            <w:tcW w:w="20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8"/>
              </w:rPr>
              <w:t>Change</w:t>
            </w:r>
          </w:p>
        </w:tc>
        <w:tc>
          <w:tcPr>
            <w:tcW w:w="80" w:type="dxa"/>
            <w:vAlign w:val="bottom"/>
            <w:tcBorders>
              <w:bottom w:val="single" w:sz="8" w:color="CCEEFF"/>
            </w:tcBorders>
          </w:tcPr>
          <w:p>
            <w:pPr>
              <w:spacing w:after="0"/>
              <w:rPr>
                <w:sz w:val="19"/>
                <w:szCs w:val="19"/>
                <w:color w:val="auto"/>
              </w:rPr>
            </w:pPr>
          </w:p>
        </w:tc>
      </w:tr>
      <w:tr>
        <w:trPr>
          <w:trHeight w:val="223"/>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1,200,000</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7"/>
              </w:rPr>
              <w:t>1,100,000</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nine month period ended September 30, 2014, we recorded total revenue of $1,200,000, which represents an increase of $100,000 (or 9.1%) as compared to the nine month period ended September 30, 2013. Revenue during the nine month period ended September 30, 2014 was due to certain one-time payments in connection with license and settlement agreements for certain of our owned intellectual property. Revenue during the nine month period ended September 30, 2013 of $1,100,000 mostly relates to a one-time payment in connection with the license and settlement agreement entered into with Microsoft for $1,000,000.</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seek to generate revenue through the monetization of our intellectual property through licensing, strategic partnerships and litigation, when required, which may be resolved through a settlement or collection. We also intend to continue to expand our planned operations through acquisitions and monetization of additional patents, other intellectual property or operating businesses. In particular, following the incorporation of our subsidiary in Germany and the acquisition of a patent portfolio from Nokia, we intend to continue to expand our intellectual property monetization efforts worldwide.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anticipate that our legal proceedings may continue for several years and may require significant expenditures for legal fees and other expenses. Disputes regarding the assertion of patents and other intellectual property rights are highly complex and technical.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Arial" w:cs="Arial" w:eastAsia="Arial" w:hAnsi="Arial"/>
                <w:sz w:val="18"/>
                <w:szCs w:val="18"/>
                <w:b w:val="1"/>
                <w:bCs w:val="1"/>
                <w:color w:val="auto"/>
              </w:rPr>
              <w:t>Operating legal costs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6040" w:type="dxa"/>
            <w:vAlign w:val="bottom"/>
          </w:tcPr>
          <w:p>
            <w:pPr>
              <w:spacing w:after="0"/>
              <w:rPr>
                <w:sz w:val="24"/>
                <w:szCs w:val="24"/>
                <w:color w:val="auto"/>
              </w:rPr>
            </w:pPr>
          </w:p>
        </w:tc>
        <w:tc>
          <w:tcPr>
            <w:tcW w:w="3660" w:type="dxa"/>
            <w:vAlign w:val="bottom"/>
            <w:gridSpan w:val="7"/>
          </w:tcPr>
          <w:p>
            <w:pPr>
              <w:ind w:left="540"/>
              <w:spacing w:after="0"/>
              <w:rPr>
                <w:sz w:val="20"/>
                <w:szCs w:val="20"/>
                <w:color w:val="auto"/>
              </w:rPr>
            </w:pPr>
            <w:r>
              <w:rPr>
                <w:rFonts w:ascii="Arial" w:cs="Arial" w:eastAsia="Arial" w:hAnsi="Arial"/>
                <w:sz w:val="18"/>
                <w:szCs w:val="18"/>
                <w:color w:val="auto"/>
              </w:rPr>
              <w:t>Nine months ended September 30,</w:t>
            </w:r>
          </w:p>
        </w:tc>
      </w:tr>
      <w:tr>
        <w:trPr>
          <w:trHeight w:val="223"/>
        </w:trPr>
        <w:tc>
          <w:tcPr>
            <w:tcW w:w="604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2014</w:t>
            </w:r>
          </w:p>
        </w:tc>
        <w:tc>
          <w:tcPr>
            <w:tcW w:w="200" w:type="dxa"/>
            <w:vAlign w:val="bottom"/>
            <w:tcBorders>
              <w:top w:val="single" w:sz="8" w:color="auto"/>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2013</w:t>
            </w:r>
          </w:p>
        </w:tc>
        <w:tc>
          <w:tcPr>
            <w:tcW w:w="20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8"/>
              </w:rPr>
              <w:t>Change</w:t>
            </w:r>
          </w:p>
        </w:tc>
        <w:tc>
          <w:tcPr>
            <w:tcW w:w="80" w:type="dxa"/>
            <w:vAlign w:val="bottom"/>
            <w:tcBorders>
              <w:bottom w:val="single" w:sz="8" w:color="CCEEFF"/>
            </w:tcBorders>
          </w:tcPr>
          <w:p>
            <w:pPr>
              <w:spacing w:after="0"/>
              <w:rPr>
                <w:sz w:val="19"/>
                <w:szCs w:val="19"/>
                <w:color w:val="auto"/>
              </w:rPr>
            </w:pPr>
          </w:p>
        </w:tc>
      </w:tr>
      <w:tr>
        <w:trPr>
          <w:trHeight w:val="223"/>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legal costs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19,722,000</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15,603,000</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4,119,000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nine month period ended September 30, 2014, our operating legal costs were $19,722,000, which represents an increase of $4,119,000 (or 26.4%) from operating legal costs recorded for the nine months ended September 30, 2013. This increase was primarily due to the timing and nature of consulting and patent litigation costs related to legal proceedings against Google and ZTE. During the nine month period ended September 30, 2014, there were costs associated with the oral argument heard in the appeals court in May 2014 in connection with our legal proceedings against Google. With respect to our legal proceedings against ZTE, costs during the nine month period ended September 30, 2014 were associated with our continued worldwide litigation efforts including commencement of legal actions in Brazil, Malaysia, Spain, Netherlands, and other countries. In addition, we incurred costs during the current period in the U.S. related to our efforts in obtaining the temporary restraining order and preliminary and permanent injunctions against ZTE related to its use of prohibited materials captured under NDA. There was also an increase in stock-based compensation expense (approximately $141,000) due to our efforts to expand our in-house legal department staff.</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5" w:name="page26"/>
    <w:bookmarkEnd w:id="25"/>
    <w:p>
      <w:pPr>
        <w:jc w:val="both"/>
        <w:spacing w:after="0" w:line="297" w:lineRule="auto"/>
        <w:rPr>
          <w:sz w:val="20"/>
          <w:szCs w:val="20"/>
          <w:color w:val="auto"/>
        </w:rPr>
      </w:pPr>
      <w:r>
        <w:rPr>
          <w:rFonts w:ascii="Arial" w:cs="Arial" w:eastAsia="Arial" w:hAnsi="Arial"/>
          <w:sz w:val="16"/>
          <w:szCs w:val="16"/>
          <w:color w:val="auto"/>
        </w:rPr>
        <w:t>It is uncertain whether our operating legal costs will increase over time. Though we aim to diversify our portfolio of products and increase our intellectual property monetization efforts, we have also increased the size of our in-house legal department staff as mentioned above. The goal is to decrease our overall legal expenses by bringing more work in-house, which we believe will cost less than outsourcing to external firms. There is no guarantee, however, that an in-house team will be less expensive or more efficient than outsourcing this work. Moreover, as we expand the scope of our monetization efforts, the amount of legal work will increase leading to a concomitant increase in our operating legal costs, regardless of if such work is performed in-house or outsourced.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Arial" w:cs="Arial" w:eastAsia="Arial" w:hAnsi="Arial"/>
                <w:sz w:val="18"/>
                <w:szCs w:val="18"/>
                <w:b w:val="1"/>
                <w:bCs w:val="1"/>
                <w:color w:val="auto"/>
              </w:rPr>
              <w:t>Amortization and impairment of intangibles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6040" w:type="dxa"/>
            <w:vAlign w:val="bottom"/>
          </w:tcPr>
          <w:p>
            <w:pPr>
              <w:spacing w:after="0"/>
              <w:rPr>
                <w:sz w:val="24"/>
                <w:szCs w:val="24"/>
                <w:color w:val="auto"/>
              </w:rPr>
            </w:pPr>
          </w:p>
        </w:tc>
        <w:tc>
          <w:tcPr>
            <w:tcW w:w="3660" w:type="dxa"/>
            <w:vAlign w:val="bottom"/>
            <w:gridSpan w:val="8"/>
          </w:tcPr>
          <w:p>
            <w:pPr>
              <w:ind w:left="540"/>
              <w:spacing w:after="0"/>
              <w:rPr>
                <w:sz w:val="20"/>
                <w:szCs w:val="20"/>
                <w:color w:val="auto"/>
              </w:rPr>
            </w:pPr>
            <w:r>
              <w:rPr>
                <w:rFonts w:ascii="Arial" w:cs="Arial" w:eastAsia="Arial" w:hAnsi="Arial"/>
                <w:sz w:val="18"/>
                <w:szCs w:val="18"/>
                <w:color w:val="auto"/>
              </w:rPr>
              <w:t>Nine months ended September 30,</w:t>
            </w:r>
          </w:p>
        </w:tc>
      </w:tr>
      <w:tr>
        <w:trPr>
          <w:trHeight w:val="223"/>
        </w:trPr>
        <w:tc>
          <w:tcPr>
            <w:tcW w:w="604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2014</w:t>
            </w:r>
          </w:p>
        </w:tc>
        <w:tc>
          <w:tcPr>
            <w:tcW w:w="20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2013</w:t>
            </w:r>
          </w:p>
        </w:tc>
        <w:tc>
          <w:tcPr>
            <w:tcW w:w="20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8"/>
              </w:rPr>
              <w:t>Change</w:t>
            </w:r>
          </w:p>
        </w:tc>
        <w:tc>
          <w:tcPr>
            <w:tcW w:w="80" w:type="dxa"/>
            <w:vAlign w:val="bottom"/>
            <w:tcBorders>
              <w:bottom w:val="single" w:sz="8" w:color="CCEEFF"/>
            </w:tcBorders>
          </w:tcPr>
          <w:p>
            <w:pPr>
              <w:spacing w:after="0"/>
              <w:rPr>
                <w:sz w:val="19"/>
                <w:szCs w:val="19"/>
                <w:color w:val="auto"/>
              </w:rPr>
            </w:pPr>
          </w:p>
        </w:tc>
      </w:tr>
      <w:tr>
        <w:trPr>
          <w:trHeight w:val="223"/>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and impairment of intangibles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4,258,000</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7"/>
              </w:rPr>
              <w:t>2,538,000</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nine month period ended September 30, 2014, amortization expense and impairment charges related to our intangibles totaled $4,258,000 which represents an increase of $1,720,000 (or 67.8%) from amortization and impairment of intangibles recorded for the nine month period ended September 30, 2013. Currently, our intangible assets consist of our patent portfolios which are amortized over their remaining useful lives (i.e., through the expiration date of the patent). During the quarter ended September 30, 2014, we recorded an impairment charge of $1,355,000 related to the patent portfolio containing the patents-in-suit in I/P Engine's litigation against AOL Inc., Google Inc. et al. There were no impairment charges related to our intangible assets during the nine month period ended September 30, 2013. The remaining increase of $365,000 during the current period was due to the additional amortization of patent portfolios that were acquired during the fourth quarter of 2013.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Arial" w:cs="Arial" w:eastAsia="Arial" w:hAnsi="Arial"/>
                <w:sz w:val="18"/>
                <w:szCs w:val="18"/>
                <w:b w:val="1"/>
                <w:bCs w:val="1"/>
                <w:color w:val="auto"/>
              </w:rPr>
              <w:t>Research and development</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6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gridSpan w:val="8"/>
          </w:tcPr>
          <w:p>
            <w:pPr>
              <w:jc w:val="right"/>
              <w:ind w:right="560"/>
              <w:spacing w:after="0"/>
              <w:rPr>
                <w:sz w:val="20"/>
                <w:szCs w:val="20"/>
                <w:color w:val="auto"/>
              </w:rPr>
            </w:pPr>
            <w:r>
              <w:rPr>
                <w:rFonts w:ascii="Arial" w:cs="Arial" w:eastAsia="Arial" w:hAnsi="Arial"/>
                <w:sz w:val="18"/>
                <w:szCs w:val="18"/>
                <w:color w:val="auto"/>
                <w:w w:val="99"/>
              </w:rPr>
              <w:t>Nine months ended September 30,</w:t>
            </w:r>
          </w:p>
        </w:tc>
      </w:tr>
      <w:tr>
        <w:trPr>
          <w:trHeight w:val="223"/>
        </w:trPr>
        <w:tc>
          <w:tcPr>
            <w:tcW w:w="60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2014</w:t>
            </w:r>
          </w:p>
        </w:tc>
        <w:tc>
          <w:tcPr>
            <w:tcW w:w="20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2013</w:t>
            </w:r>
          </w:p>
        </w:tc>
        <w:tc>
          <w:tcPr>
            <w:tcW w:w="20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8"/>
              </w:rPr>
              <w:t>Change</w:t>
            </w:r>
          </w:p>
        </w:tc>
        <w:tc>
          <w:tcPr>
            <w:tcW w:w="80" w:type="dxa"/>
            <w:vAlign w:val="bottom"/>
            <w:tcBorders>
              <w:bottom w:val="single" w:sz="8" w:color="CCEEFF"/>
            </w:tcBorders>
          </w:tcPr>
          <w:p>
            <w:pPr>
              <w:spacing w:after="0"/>
              <w:rPr>
                <w:sz w:val="19"/>
                <w:szCs w:val="19"/>
                <w:color w:val="auto"/>
              </w:rPr>
            </w:pPr>
          </w:p>
        </w:tc>
      </w:tr>
      <w:tr>
        <w:trPr>
          <w:trHeight w:val="223"/>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670,000</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7"/>
              </w:rPr>
              <w:t>1,279,000</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(609,000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nine month periods ended September 30, 2014 and 2013, our research and development expenses amounted to $670,000 and $1,279,000, respectively. These amounts exclude research and development expenses related to our mobile social application business which is presented in discontinued operations. The decrease of $609,000 (or 47.6%) is primarily due to a decrease in costs related to third party consultants who were engaged on certain projects during 2013. Such projects had ended prior to 2014 and therefore these third party consultants were no longer utilized in the current period.</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mentioned above, in February 2014, we sold our mobile social application business to InfoMedia. As part of the sale agreement, the employment of our mobile products and services personnel were assumed by InfoMedia.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Arial" w:cs="Arial" w:eastAsia="Arial" w:hAnsi="Arial"/>
                <w:sz w:val="18"/>
                <w:szCs w:val="18"/>
                <w:b w:val="1"/>
                <w:bCs w:val="1"/>
                <w:color w:val="auto"/>
              </w:rPr>
              <w:t>General and administrative</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6040" w:type="dxa"/>
            <w:vAlign w:val="bottom"/>
          </w:tcPr>
          <w:p>
            <w:pPr>
              <w:spacing w:after="0"/>
              <w:rPr>
                <w:sz w:val="24"/>
                <w:szCs w:val="24"/>
                <w:color w:val="auto"/>
              </w:rPr>
            </w:pPr>
          </w:p>
        </w:tc>
        <w:tc>
          <w:tcPr>
            <w:tcW w:w="3660" w:type="dxa"/>
            <w:vAlign w:val="bottom"/>
            <w:gridSpan w:val="7"/>
          </w:tcPr>
          <w:p>
            <w:pPr>
              <w:ind w:left="540"/>
              <w:spacing w:after="0"/>
              <w:rPr>
                <w:sz w:val="20"/>
                <w:szCs w:val="20"/>
                <w:color w:val="auto"/>
              </w:rPr>
            </w:pPr>
            <w:r>
              <w:rPr>
                <w:rFonts w:ascii="Arial" w:cs="Arial" w:eastAsia="Arial" w:hAnsi="Arial"/>
                <w:sz w:val="18"/>
                <w:szCs w:val="18"/>
                <w:color w:val="auto"/>
              </w:rPr>
              <w:t>Nine months ended September 30,</w:t>
            </w:r>
          </w:p>
        </w:tc>
      </w:tr>
      <w:tr>
        <w:trPr>
          <w:trHeight w:val="223"/>
        </w:trPr>
        <w:tc>
          <w:tcPr>
            <w:tcW w:w="604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2014</w:t>
            </w:r>
          </w:p>
        </w:tc>
        <w:tc>
          <w:tcPr>
            <w:tcW w:w="200" w:type="dxa"/>
            <w:vAlign w:val="bottom"/>
            <w:tcBorders>
              <w:top w:val="single" w:sz="8" w:color="auto"/>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2013</w:t>
            </w:r>
          </w:p>
        </w:tc>
        <w:tc>
          <w:tcPr>
            <w:tcW w:w="20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8"/>
              </w:rPr>
              <w:t>Change</w:t>
            </w:r>
          </w:p>
        </w:tc>
        <w:tc>
          <w:tcPr>
            <w:tcW w:w="80" w:type="dxa"/>
            <w:vAlign w:val="bottom"/>
            <w:tcBorders>
              <w:bottom w:val="single" w:sz="8" w:color="CCEEFF"/>
            </w:tcBorders>
          </w:tcPr>
          <w:p>
            <w:pPr>
              <w:spacing w:after="0"/>
              <w:rPr>
                <w:sz w:val="19"/>
                <w:szCs w:val="19"/>
                <w:color w:val="auto"/>
              </w:rPr>
            </w:pPr>
          </w:p>
        </w:tc>
      </w:tr>
      <w:tr>
        <w:trPr>
          <w:trHeight w:val="223"/>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11,924,000</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11,453,000</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three month period ended September 30, 2014, general and administrative expenses increased by $471,000 (or 4.1%), to $11,924,000, compared to $11,453,000 that was recorded during the nine month period ended September 30, 2013. The overall increase in general and administrative expenses was primarily due to increased costs in connection with our efforts to consolidate our executive management and finance functions in a centralized location. In addition, there was an increase in corporate legal, insurance, and accounting costs as compared to the prior period.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Arial" w:cs="Arial" w:eastAsia="Arial" w:hAnsi="Arial"/>
                <w:sz w:val="18"/>
                <w:szCs w:val="18"/>
                <w:b w:val="1"/>
                <w:bCs w:val="1"/>
                <w:color w:val="auto"/>
              </w:rPr>
              <w:t>Non-operating income (expense), net</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6040" w:type="dxa"/>
            <w:vAlign w:val="bottom"/>
          </w:tcPr>
          <w:p>
            <w:pPr>
              <w:spacing w:after="0"/>
              <w:rPr>
                <w:sz w:val="24"/>
                <w:szCs w:val="24"/>
                <w:color w:val="auto"/>
              </w:rPr>
            </w:pPr>
          </w:p>
        </w:tc>
        <w:tc>
          <w:tcPr>
            <w:tcW w:w="3660" w:type="dxa"/>
            <w:vAlign w:val="bottom"/>
            <w:gridSpan w:val="7"/>
          </w:tcPr>
          <w:p>
            <w:pPr>
              <w:ind w:left="540"/>
              <w:spacing w:after="0"/>
              <w:rPr>
                <w:sz w:val="20"/>
                <w:szCs w:val="20"/>
                <w:color w:val="auto"/>
              </w:rPr>
            </w:pPr>
            <w:r>
              <w:rPr>
                <w:rFonts w:ascii="Arial" w:cs="Arial" w:eastAsia="Arial" w:hAnsi="Arial"/>
                <w:sz w:val="18"/>
                <w:szCs w:val="18"/>
                <w:color w:val="auto"/>
              </w:rPr>
              <w:t>Nine months ended September 30,</w:t>
            </w:r>
          </w:p>
        </w:tc>
      </w:tr>
      <w:tr>
        <w:trPr>
          <w:trHeight w:val="223"/>
        </w:trPr>
        <w:tc>
          <w:tcPr>
            <w:tcW w:w="604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2014</w:t>
            </w:r>
          </w:p>
        </w:tc>
        <w:tc>
          <w:tcPr>
            <w:tcW w:w="200" w:type="dxa"/>
            <w:vAlign w:val="bottom"/>
            <w:tcBorders>
              <w:top w:val="single" w:sz="8" w:color="auto"/>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2013</w:t>
            </w:r>
          </w:p>
        </w:tc>
        <w:tc>
          <w:tcPr>
            <w:tcW w:w="20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8"/>
              </w:rPr>
              <w:t>Change</w:t>
            </w:r>
          </w:p>
        </w:tc>
        <w:tc>
          <w:tcPr>
            <w:tcW w:w="80" w:type="dxa"/>
            <w:vAlign w:val="bottom"/>
            <w:tcBorders>
              <w:bottom w:val="single" w:sz="8" w:color="CCEEFF"/>
            </w:tcBorders>
          </w:tcPr>
          <w:p>
            <w:pPr>
              <w:spacing w:after="0"/>
              <w:rPr>
                <w:sz w:val="19"/>
                <w:szCs w:val="19"/>
                <w:color w:val="auto"/>
              </w:rPr>
            </w:pPr>
          </w:p>
        </w:tc>
      </w:tr>
      <w:tr>
        <w:trPr>
          <w:trHeight w:val="223"/>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Non-operating income (expense), net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2,049,000</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(1,164,000</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3,213,000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nine month period ended September 30, 2014, we recorded non-operating income, net, of $2,049,000 compared to non-operating expense, net, of $1,164,000 during the nine month period ended September 30, 2013. Included in non-operating income, net, for the nine month period ended September 30, 2014 is approximately $2,057,000 related to a decrease in the fair value of our derivative warrant liabilities during the period. The fair value of our derivative warrant liabilities depends on a variety of assumptions and is significantly driven by our common stock price on the fair value measurement date. An increase in the price of our common stock increases the value of the warrants, resulting in a loss on our statement of operations. A decrease in the price of our common stock decreases the value of the warrants, resulting in a gain on our statement of operations.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6" w:name="page27"/>
    <w:bookmarkEnd w:id="26"/>
    <w:p>
      <w:pPr>
        <w:jc w:val="both"/>
        <w:spacing w:after="0" w:line="279" w:lineRule="auto"/>
        <w:rPr>
          <w:sz w:val="20"/>
          <w:szCs w:val="20"/>
          <w:color w:val="auto"/>
        </w:rPr>
      </w:pPr>
      <w:r>
        <w:rPr>
          <w:rFonts w:ascii="Arial" w:cs="Arial" w:eastAsia="Arial" w:hAnsi="Arial"/>
          <w:sz w:val="17"/>
          <w:szCs w:val="17"/>
          <w:color w:val="auto"/>
        </w:rPr>
        <w:t>During the third quarter of 2014, we experienced a decline in our common stock price. The increase in income related to the fair value of our derivative warrant liabilities during the current period was directly attributable to this common stock price decline. During the nine month period ended September 30, 2013, a charge of $1,574,000 was recorded related to the removal of the down-round protection clause in certain then outstanding Series 1 Warrants. This charge was partially offset by income of $410,000 related to a decrease in fair value of our then remaining derivative warrant liabilities.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that our non-operating income (expense) will remain highly volatile, and we may choose to fund our operations through additional financing. In particular, non-operating income (expense) will continue to be affected by the adjustments to fair value of our derivative instruments. In addition to our common stock price, the fair value of these derivative instruments is impacted by assumptions regarding triggering of down-round protection. A higher estimated probability of a down-round protection increases the value of the warrants, resulting in a loss on our statement of operations. A lower estimated probability of a down-round protection decreases the value of the warrants, resulting in a gain on our statement of operations. Also refer to Note 8 to the accompanying unaudited consolidated financial statements.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Arial" w:cs="Arial" w:eastAsia="Arial" w:hAnsi="Arial"/>
                <w:sz w:val="18"/>
                <w:szCs w:val="18"/>
                <w:b w:val="1"/>
                <w:bCs w:val="1"/>
                <w:color w:val="auto"/>
              </w:rPr>
              <w:t>Loss from discontinued mobile social application operations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6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gridSpan w:val="9"/>
          </w:tcPr>
          <w:p>
            <w:pPr>
              <w:ind w:left="320"/>
              <w:spacing w:after="0"/>
              <w:rPr>
                <w:sz w:val="20"/>
                <w:szCs w:val="20"/>
                <w:color w:val="auto"/>
              </w:rPr>
            </w:pPr>
            <w:r>
              <w:rPr>
                <w:rFonts w:ascii="Arial" w:cs="Arial" w:eastAsia="Arial" w:hAnsi="Arial"/>
                <w:sz w:val="18"/>
                <w:szCs w:val="18"/>
                <w:color w:val="auto"/>
              </w:rPr>
              <w:t>Nine months ended September 30,</w:t>
            </w:r>
          </w:p>
        </w:tc>
      </w:tr>
      <w:tr>
        <w:trPr>
          <w:trHeight w:val="223"/>
        </w:trPr>
        <w:tc>
          <w:tcPr>
            <w:tcW w:w="60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2014</w:t>
            </w:r>
          </w:p>
        </w:tc>
        <w:tc>
          <w:tcPr>
            <w:tcW w:w="2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2013</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8"/>
              </w:rPr>
              <w:t>Change</w:t>
            </w:r>
          </w:p>
        </w:tc>
        <w:tc>
          <w:tcPr>
            <w:tcW w:w="80" w:type="dxa"/>
            <w:vAlign w:val="bottom"/>
            <w:tcBorders>
              <w:bottom w:val="single" w:sz="8" w:color="CCEEFF"/>
            </w:tcBorders>
          </w:tcPr>
          <w:p>
            <w:pPr>
              <w:spacing w:after="0"/>
              <w:rPr>
                <w:sz w:val="19"/>
                <w:szCs w:val="19"/>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(139,000)</w:t>
            </w:r>
          </w:p>
        </w:tc>
        <w:tc>
          <w:tcPr>
            <w:tcW w:w="80" w:type="dxa"/>
            <w:vAlign w:val="bottom"/>
            <w:shd w:val="clear" w:color="auto" w:fill="CCEEFF"/>
          </w:tcPr>
          <w:p>
            <w:pPr>
              <w:spacing w:after="0"/>
              <w:rPr>
                <w:sz w:val="18"/>
                <w:szCs w:val="18"/>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(266,000)</w:t>
            </w:r>
          </w:p>
        </w:tc>
        <w:tc>
          <w:tcPr>
            <w:tcW w:w="1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7"/>
              </w:rPr>
              <w:t>(2,600,000)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2,334,000</w:t>
            </w:r>
          </w:p>
        </w:tc>
        <w:tc>
          <w:tcPr>
            <w:tcW w:w="80" w:type="dxa"/>
            <w:vAlign w:val="bottom"/>
          </w:tcPr>
          <w:p>
            <w:pPr>
              <w:spacing w:after="0"/>
              <w:rPr>
                <w:sz w:val="19"/>
                <w:szCs w:val="19"/>
                <w:color w:val="auto"/>
              </w:rPr>
            </w:pP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(229,000</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(2,424,000</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Non-operating income (expense)</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(56,000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76,000</w:t>
            </w:r>
          </w:p>
        </w:tc>
        <w:tc>
          <w:tcPr>
            <w:tcW w:w="80" w:type="dxa"/>
            <w:vAlign w:val="bottom"/>
            <w:tcBorders>
              <w:bottom w:val="single" w:sz="8" w:color="CCEEFF"/>
            </w:tcBorders>
          </w:tcPr>
          <w:p>
            <w:pPr>
              <w:spacing w:after="0"/>
              <w:rPr>
                <w:sz w:val="18"/>
                <w:szCs w:val="18"/>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taxes on income</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(209,000</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(2,480,000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2,271,000</w:t>
            </w:r>
          </w:p>
        </w:tc>
        <w:tc>
          <w:tcPr>
            <w:tcW w:w="80" w:type="dxa"/>
            <w:vAlign w:val="bottom"/>
            <w:shd w:val="clear" w:color="auto" w:fill="CCEEFF"/>
          </w:tcPr>
          <w:p>
            <w:pPr>
              <w:spacing w:after="0"/>
              <w:rPr>
                <w:sz w:val="18"/>
                <w:szCs w:val="18"/>
                <w:color w:val="auto"/>
              </w:rPr>
            </w:pPr>
          </w:p>
        </w:tc>
      </w:tr>
      <w:tr>
        <w:trPr>
          <w:trHeight w:val="210"/>
        </w:trPr>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(47,000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47,000</w:t>
            </w:r>
          </w:p>
        </w:tc>
        <w:tc>
          <w:tcPr>
            <w:tcW w:w="80" w:type="dxa"/>
            <w:vAlign w:val="bottom"/>
            <w:tcBorders>
              <w:bottom w:val="single" w:sz="8" w:color="CCEEFF"/>
            </w:tcBorders>
          </w:tcPr>
          <w:p>
            <w:pPr>
              <w:spacing w:after="0"/>
              <w:rPr>
                <w:sz w:val="18"/>
                <w:szCs w:val="18"/>
                <w:color w:val="auto"/>
              </w:rPr>
            </w:pPr>
          </w:p>
        </w:tc>
      </w:tr>
      <w:tr>
        <w:trPr>
          <w:trHeight w:val="223"/>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(209,000</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(2,527,000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18, 2014, we executed the sale of our mobile social application business to InfoMedia, receiving eighteen (18) Class B shares of InfoMedia as consideration, which represent an 8.25% ownership interest. Additionally, our Chief Executive Officer was appointed as a full voting member on InfoMedia’s board of directors and we received a number of customary protective rights. The InfoMedia Class B shares are accounted for as a cost-method investment. Cash requirements for termination of mobile operations included mainly post-employment obligations, were incurred during the six month period ended June 30, 2014, and are considered to be immaterial.</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 period ended September 30, 2014, operating expenses decreased by $2,334,000 (or 89.8%), to $266,000, from $2,600,000 recorded during the nine month period ended September 30, 2013. This decrease is primarily due to the fact that there were no substantial operating expenses and no amortization related to acquired technology during the current year as the related asset was classified as held for sale as of December 31, 2013 and was subsequently sold to InfoMedia in February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Taxes on Income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2014, our estimated aggregate total net tax loss carryforwards ("NOL") was approximately $107 million for U.S. federal, state and local purposes expiring 20 years from the respective tax years to which they relate. The Tax Reform Act of 1986 imposed substantial restrictions on the utilization of NOL and tax credits in the event of an ownership change of a corporation. Thus, our ability to utilize all such NOL and credit carryforwards may be limited.</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valuation allowance has been recorded against the net deferred tax asset in the U.S., as it is in the opinion of our management that it is more likely than not that the operating loss carryforwards will not be utilized in the foreseeable future.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file our tax returns in the U.S. federal jurisdiction, as well as in various state and local jurisdictions. Vringo, Inc. has open tax years for 2010 through 2013. As of September 30, 2014, all tax years for our subsidiary Innovate/Protect are still open. The Israeli subsidiary files its income tax returns in Israel. As of September 30, 2014, the Israeli subsidiary has open tax years for 2010 through 2013.</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did not have any material unrecognized tax benefits as of September 30, 2014. We do not expect to record any additional material provisions for unrecognized tax benefits within the next year.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September 30, 2014, we had a cash balance of $24,290,000. This represents a decrease of $9,296,000 from our cash balance on December 31, 2013, which is mainly due to net cash used by us in our business operations of approximately $20,215,000 during the nine month period ended September 30, 2014. Our average monthly cash spent in operations for the nine month periods ended September 30, 2014 and 2013 was approximately $2,200,000 and $1,900,000, respectively. The majority of these expenditures consisted of costs related to our four litigation campaigns. In our case against Google et al., we incurred costs related to the preparation for the oral argument, which was heard before the Federal Circuit on May 6, 2014, in addition to other related costs. In our cases against ZTE and ASUS, we incurred costs related to the preparation and filing of briefs and other court documents, as well as case preparation and management. A large percentage of these costs were incurred in the United Kingdom, Australia, Germany, Brazil, the Netherlands, and France. In civil law jurisdictions, such as Germany, France, Spain, and others, the majority of costs are incurred in the early stages of litigation and we anticipate that the costs in these jurisdictions will be lower in future periods. In our case against Tyco, we incurred costs related to the preparation and filing of briefs and other court documents, case preparation and management, and the worldwide resolution of litigation between the parties. In addition, we paid approximately $2,304,000 in deposits with courts related to proceedings in Germany and Brazil.</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overall decrease in our cash balance from expenditures related to our litigation campaigns was partially offset by approximately $13,452,000 that was received in connection with the exercises of warrants and stock options that occurred during the nine month period ended September 30, 2014, as described below. As of September 30, 2014, our total stockholders' equity was $104,919,000 which mainly decreased due to continuing accumulated operating deficits since December 31, 2013.</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nine month period ended September 30, 2014, a total of 6,415,992 warrants to purchase an aggregate of 6,415,992 shares of our common stock, at an exercise price of $1.76 per share, were exercised by our warrant holders, pursuant to which we received $11,292,000. These proceeds are most significantly attributable to the execution of the agreements with certain of our warrant holders described above in connection with the June 2014 Warrants. In addition, 1,126,815 options to purchase 1,126,815 shares of our common stock were exercised during the nine month period ended September 30, 2014. As a result, we received $2,160,000 through September 2014.</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current operating plans, we expect to have sufficient funds for our operations for at least the next twelve months. In addition, until we generate sufficient revenue, we may need to raise additional funds, which can be achieved through the issuance of additional equity or debt, or through loans from financial institutions. There can be no assurance, however, that any such opportunities will materialize. We may also be able to raise additional funds through the exercise of our outstanding warrants and options, however, a significant portion of such outstanding equity instruments are currently “out of the money” due to the recent decline in our stock price.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anticipate that we will continue to search for additional sources of liquidity, when needed, until we generate positive cash flows to support our operations. We cannot give any assurance that the necessary capital will be raised or that, if funds are raised, it will be on favorable terms. If we are unable to obtain additional funding on a timely basis, we may be required to curtail or terminate some of our business plans. Any future sales of securities to finance our operations may require stockholder approval and will dilute existing stockholders' ownership. We cannot guarantee when or if we will ever generate positive cash flows.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6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20" w:type="dxa"/>
            <w:vAlign w:val="bottom"/>
            <w:gridSpan w:val="9"/>
          </w:tcPr>
          <w:p>
            <w:pPr>
              <w:jc w:val="right"/>
              <w:ind w:right="640"/>
              <w:spacing w:after="0"/>
              <w:rPr>
                <w:sz w:val="20"/>
                <w:szCs w:val="20"/>
                <w:color w:val="auto"/>
              </w:rPr>
            </w:pPr>
            <w:r>
              <w:rPr>
                <w:rFonts w:ascii="Arial" w:cs="Arial" w:eastAsia="Arial" w:hAnsi="Arial"/>
                <w:sz w:val="18"/>
                <w:szCs w:val="18"/>
                <w:color w:val="auto"/>
              </w:rPr>
              <w:t>Nine months ended September 30,</w:t>
            </w:r>
          </w:p>
        </w:tc>
      </w:tr>
      <w:tr>
        <w:trPr>
          <w:trHeight w:val="223"/>
        </w:trPr>
        <w:tc>
          <w:tcPr>
            <w:tcW w:w="60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2014</w:t>
            </w:r>
          </w:p>
        </w:tc>
        <w:tc>
          <w:tcPr>
            <w:tcW w:w="20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2013</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8"/>
              </w:rPr>
              <w:t>Change</w:t>
            </w:r>
          </w:p>
        </w:tc>
        <w:tc>
          <w:tcPr>
            <w:tcW w:w="80" w:type="dxa"/>
            <w:vAlign w:val="bottom"/>
            <w:tcBorders>
              <w:bottom w:val="single" w:sz="8" w:color="CCEEFF"/>
            </w:tcBorders>
          </w:tcPr>
          <w:p>
            <w:pPr>
              <w:spacing w:after="0"/>
              <w:rPr>
                <w:sz w:val="19"/>
                <w:szCs w:val="19"/>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(20,215,000)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(17,384,000)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(2,831,000)</w:t>
            </w:r>
          </w:p>
        </w:tc>
        <w:tc>
          <w:tcPr>
            <w:tcW w:w="8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(2,550,000)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(692,000)</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(1,858,000)</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13,452,000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1,539,000</w:t>
            </w:r>
          </w:p>
        </w:tc>
        <w:tc>
          <w:tcPr>
            <w:tcW w:w="2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11,913,000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nine month period ended September 30, 2014, net cash used in operating activities totaled $20,215,000. During the nine month period ended September 30, 2013, net cash used in operating activities totaled $17,384,000. The $2,831,000 increase in net cash used in operating activities was mainly due to increased litigation costs described above, as well as an increase in cost of our in-house staff, which we began expanding during the second half of 2013.</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net cash used in operating activities could increase if we engage in future business development activities. As we expect to move towards greater revenue generation in the future, we expect that these amounts will be offset over time by the collection of revenues.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nine month period ended September 30, 2014, net cash used in investing activities totaled $2,550,000. During the nine month period ended September 30, 2013, net cash used in investing activities totaled $692,000. Net cash used in investing activities during the nine month period ended September 30, 2014 is mostly comprised of the $2,304,000 deposited with courts that is described above. Net cash used in investing activities during the nine month period ended September 30, 2013 is related to certain short-term investments made during that period. There was also an increase in fixed asset purchases during the nine month period ended September 30, 2014 as compared to the nine month period ended September 30, 2013.</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that net cash used in investing activities will increase as we intend to continue to acquire additional intellectual property assets and invest surplus cash, according to our investment policy.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869"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 period ended September 30, 2014, cash provided by financing activities totaled $13,452,000, which relates to funds that we received from the exercises of warrants and stock options in the total amount of $11,292,000 and $2,160,000, respectively. During the nine month period ended September 30, 2013, cash provided by financing activities totaled $1,539,000, which relates to funds received from the exercises of warrants and stock options in the total amount of $566,000 and $973,000, respectively.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portion of our issued and outstanding warrants, for which the underlying shares of common stock held by non-affiliates are freely tradable, are currently “out of the money.” Therefore, the potential of additional incoming funds from exercises by our warrant holders is very limited as of September 30, 2014. To the extent that this portion of our issued and outstanding warrants were “in the money”, it could be used as a source of additional funding if the warrant holders choose to exercise.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may also choose to raise additional funds in connection with any acquisitions of patent portfolios or other intellectual property assets that we may pursue. There can be no assurance, however, that any such opportunity will materialize. Moreover, any such financing would likely be dilutive to our current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operations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constantly seeking to identify patent portfolios, other intellectual property assets and operating businesses that we may wish to acquire. In addition, we are continuing to explore further opportunities for strategic business alliances. However, there can be no assurance that any such opportunities will be consummated.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From October 2012 through the filing date of this Form 10-Q, our subsidiaries filed patent infringement lawsuits against the subsidiaries of ZTE Corporation in the United Kingdom, France, Germany, Australia, India, Brazil, Malaysia, Romania, and the Netherlands. Should we be deemed the losing party in any of its applications to the court in the UK, we may be held responsible for a portion of the defendant’s legal fees for the relevant application or for the litigation. Pursuant to negotiation with ZTE’s UK subsidiary, in the United Kingdom, we placed two written commitments to ensure the payment of a potential liability by Vringo Infrastructure resulting for the two cases filed in the fourth quarter of 2012 and second quarter of 2013, which the defendants estimated to be approximately $2,900,000 each. In addition, we may be required to grant additional written commitments, as necessary, in connection with our commenced proceedings against ZTE Corporation in Europe, Brazil, India and Australia. It should be noted, however, that if we were successful on any court applications or the entirety of any litigation, ZTE Corporation would be responsible for a substantial portion of our legal fees.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than the arrangements described in the preceding paragraph, 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future contractual obligations beginning on October 1, 2014: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Remainder</w:t>
            </w:r>
          </w:p>
        </w:tc>
        <w:tc>
          <w:tcPr>
            <w:tcW w:w="240" w:type="dxa"/>
            <w:vAlign w:val="bottom"/>
          </w:tcPr>
          <w:p>
            <w:pPr>
              <w:spacing w:after="0"/>
              <w:rPr>
                <w:sz w:val="14"/>
                <w:szCs w:val="14"/>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of 2014</w:t>
            </w: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60" w:type="dxa"/>
            <w:vAlign w:val="bottom"/>
            <w:tcBorders>
              <w:top w:val="single" w:sz="8" w:color="CCEEFF"/>
            </w:tcBorders>
            <w:shd w:val="clear" w:color="auto" w:fill="CCEEFF"/>
          </w:tcPr>
          <w:p>
            <w:pPr>
              <w:ind w:left="60"/>
              <w:spacing w:after="0" w:line="142" w:lineRule="exact"/>
              <w:rPr>
                <w:sz w:val="20"/>
                <w:szCs w:val="20"/>
                <w:color w:val="auto"/>
              </w:rPr>
            </w:pPr>
            <w:r>
              <w:rPr>
                <w:rFonts w:ascii="Arial" w:cs="Arial" w:eastAsia="Arial" w:hAnsi="Arial"/>
                <w:sz w:val="14"/>
                <w:szCs w:val="14"/>
                <w:color w:val="auto"/>
              </w:rPr>
              <w:t>Operating leases</w:t>
            </w: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67,000</w:t>
            </w:r>
          </w:p>
        </w:tc>
        <w:tc>
          <w:tcPr>
            <w:tcW w:w="2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403,000</w:t>
            </w:r>
          </w:p>
        </w:tc>
        <w:tc>
          <w:tcPr>
            <w:tcW w:w="2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403,000</w:t>
            </w:r>
          </w:p>
        </w:tc>
        <w:tc>
          <w:tcPr>
            <w:tcW w:w="2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407,000</w:t>
            </w: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416,000</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347,000</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2,043,000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July 2012, the Company signed a rental agreement for its corporate executive office in New York for an annual rental fee of approximately $137,000 (subject to certain adjustments) which was to expire in September 2015. However, in January 2014, the Company entered into an amended lease agreement with the landlord for newly renovated office within the same building. The initial annual rental fee for this new office is approximately $403,000 (subject to certain future escalations and adjustments) beginning when the new office space was available on August 1, 2014. This lease will expire in October 2019.</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These consolidated financial statements should be read in conjunction with the audited consolidated financial statements included in our Annual Report on Form 10-K filed with the SEC on March 10, 2014, which includes a description of our critical accounting policies that involve subjective and complex judgments that could potentially affect reported results. While there have been no material changes to our critical accounting policies as to the methodologies or assumptions we apply under them, we continue to monitor such methodologies and assumptions. </w:t>
      </w:r>
      <w:r>
        <w:rPr>
          <w:rFonts w:ascii="Arial" w:cs="Arial" w:eastAsia="Arial" w:hAnsi="Arial"/>
          <w:sz w:val="17"/>
          <w:szCs w:val="17"/>
          <w:color w:val="231F20"/>
        </w:rPr>
        <w:t>The following discussion has been included only to</w:t>
      </w:r>
      <w:r>
        <w:rPr>
          <w:rFonts w:ascii="Arial" w:cs="Arial" w:eastAsia="Arial" w:hAnsi="Arial"/>
          <w:sz w:val="17"/>
          <w:szCs w:val="17"/>
          <w:color w:val="auto"/>
        </w:rPr>
        <w:t xml:space="preserve"> </w:t>
      </w:r>
      <w:r>
        <w:rPr>
          <w:rFonts w:ascii="Arial" w:cs="Arial" w:eastAsia="Arial" w:hAnsi="Arial"/>
          <w:sz w:val="17"/>
          <w:szCs w:val="17"/>
          <w:color w:val="231F20"/>
        </w:rPr>
        <w:t>provide the results of the interim goodwill impairment test performed during the third quarter of 2014.</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Goodwill is an asset representing the future economic benefits arising from other assets acquired in a business combination that are not individually identified and separately recognized. Goodwill is reviewed for impairment at least annually, and when triggering events occur, in accordance with the provisions of Financial Accounting Standards Board (“FASB”) Accounting Standards Codification (“ASC”) Topic 350, Intangibles - Goodwill and Other. We have one reporting unit for purposes of evaluating goodwill impairment and performs our annual goodwill impairment test on December 31.</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the option to perform a qualitative assessment to determine if an impairment is more likely than not to have occurred. If we can support the conclusion that it is not more likely than not that the fair value of a reporting unit is less than its carrying amount, we would not need to perform the two-step impairment test for the reporting unit. If we cannot support such a conclusion or we do not elect to perform the qualitative assessment, then the first step of the goodwill impairment test is used to identify potential impairment by comparing the fair value of the reporting unit with its carrying amount, including goodwill. Fair value of the reporting unit is determined using certain valuation techniques, including the estimation of an implied control premium, in addition to our market capitalization on the measurement date.</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the fair value of the reporting unit exceeds its carrying value, then the second step of the impairment test (measurement) does not need to be performed. If the fair value of the reporting unit is less than its carrying value, an indication of goodwill impairment exists for the reporting unit and the entity must perform the second step of the impairment test. Under the second step, an impairment loss is recognized for any excess of the carrying amount of the reporting unit’s goodwill over the implied fair value of that goodwill. The implied fair value of goodwill is determined by allocating the fair value of the reporting unit in a manner similar to an acquisition price allocation and the residual fair value after this allocation is the implied fair value of the reporting unit goodwill. A significant amount of judgment is required in estimating the fair value of a reporting unit and performing goodwill impairment tests.</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Based upon a combination of factors and developments occurring during the third quarter of 2014, including a decline in our stock price, we determined that there were impairment indicators related to our goodwill which were deemed “triggering” events requiring that goodwill be tested for impairment as of September 30, 2014. Our stock price opened at $3.18, reached a low of $0.67, and closed at $0.88 on August 15, 2014. The closing price of our stock on September 30, 2014 was $0.95. Our average closing stock price from August 15, 2014 through September 30, 2014 was approximately $1.05, ranging from $0.95 to $1.40 during that time period. We performed the first step of the goodwill impairment test as of September 30, 2014 in order to identify potential impairment by comparing the fair value of the reporting unit with its carrying amount, including goodwill. The fair value of the reporting unit was determined with the assistance of a third party valuation specialist using certain valuation techniques, including the estimation of an implied control premium, in addition to our market capitalization on the measurement date. The implied control premium selected was developed based on certain observable market data of comparable companies. The market capitalization is sensitive to the volatility of our stock price. Based upon the first step of the goodwill impairment test performed as of September 30, 2014, we determined that the fair value of the reporting unit was in excess of its carrying amount by approximately 14% and therefore the second step of the goodwill impairment test was not required.</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we believe we have made reasonable estimates and assumptions to calculate the fair value of the reporting unit, it is possible a material change could occur. For instance, a subsequent decline in our common stock price would lower our market capitalization affecting the fair value of the reporting unit. Additionally, market data used in the future assessment of the implied control premium could change our current estimate. If our actual results are not consistent with our estimates and assumptions used to calculate fair value, we may be required to perform the second step, which could result in a material impairment of our goodwill. The closing price of our stock on September 30, 2014 was $0.95. Our closing stock price during October 2014 ranged from $0.72 to $1.10.</w:t>
      </w:r>
    </w:p>
    <w:p>
      <w:pPr>
        <w:spacing w:after="0" w:line="18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instruments which potentially subject us to significant concentrations of credit risk consist principally of cash and cash equivalents. We maintain our cash and cash equivalents with various major financial institutions. These major financial institutions are located in the United States and our policy is designed to limit exposure to any one institution.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primary objective of our investment activities is to preserve principal while concurrently maximizing the income we receive from our investments without significantly increasing risk. To minimize risks in the future, we intend to maintain our portfolio of cash equivalents and short-term investments in securities such as commercial paper and money market funds. As of September 30, 2014 and December 31, 2013, our cash was mostly held in money market funds. In general, money market funds are not subject to market risk because the interest paid on such funds fluctuates with the prevailing interest rate. Accordingly, a 100 basis point increase in interest rates or a 10% decline in the value of the United States equity markets would not be expected to have a material impact on the value of such money market funds.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portion of our expenses are denominated in foreign currencies. If the value of the U.S. dollar weakens against the value of these currencies, there will be a negative impact on our operating costs. In addition, we are subject to the risk of exchange rate fluctuations to the extent we hold monetary assets and liabilities in these currencies.</w:t>
      </w:r>
    </w:p>
    <w:p>
      <w:pPr>
        <w:spacing w:after="0" w:line="17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pursuant to Rule 13a-15 under the Securities Exchange Act of 1934, as amended (the “Exchange Act”), as of the end of the period covered by this Quarterly Report on Form 10-Q.</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0" w:name="page31"/>
    <w:bookmarkEnd w:id="30"/>
    <w:p>
      <w:pPr>
        <w:jc w:val="both"/>
        <w:spacing w:after="0" w:line="276" w:lineRule="auto"/>
        <w:rPr>
          <w:sz w:val="20"/>
          <w:szCs w:val="20"/>
          <w:color w:val="auto"/>
        </w:rPr>
      </w:pPr>
      <w:r>
        <w:rPr>
          <w:rFonts w:ascii="Arial" w:cs="Arial" w:eastAsia="Arial" w:hAnsi="Arial"/>
          <w:sz w:val="17"/>
          <w:szCs w:val="17"/>
          <w:color w:val="auto"/>
        </w:rPr>
        <w:t>Based on this evaluation, our chief executive officer and chief financial officer concluded that, as of September 30, 2014,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or persons performing similar functions, as appropriate, to allow timely decisions regarding required disclosure.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There were no changes in our internal control over financial reporting that occurred during the last fiscal quarter that have materially affected, or are reasonably likely to materially affect, our internal control over financial reporting.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Search Patents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August 15, 2014, a panel at the U.S. Court of Appeals for the Federal Circuit (the "Federal Circuit") held that the asserted claims of the patents asserted by our wholly-owned subsidiary I/P Engine, Inc. against AOL Inc, Google, Inc. et al. are invalid for obviousness. One of the three judges on the panel dissented. On August 20, 2014, we announced that I/P Engine would seek en banc review of the split panel's decision.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15, 2014, I/P Engine filed a petition for rehearing en banc. On October 20, 2014, the Federal Circuit invited the Defendants (as defined below) to respond to the petition for rehearing en banc.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on District Court and Court of Appeals Proceedings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15, 2011, I/P Engine initiated litigation in the United States District Court, Eastern District of Virginia, against AOL Inc., Google, Inc., IAC Search &amp; Media, Inc., Gannett Company, Inc., and Target Corporation (collectively, the "Defendants") for infringement of claims of U.S. Patent Nos. 6,314,420 and 6,775,664, which I/P Engine acquired from Lycos,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Trial commenced on October 16, 2012, and the case was submitted to the jury on November 1, 2012.</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6, 2012, the jury ruled in favor of I/P Engine and against the Defendants. After upholding the validity of the patents-in-suit, and determining that the asserted claims of the patents were infringed by the defendants, the jury found that reasonable royalty damages should be based on a "running royalty," and that the running royalty rate should be 3.5%. The jury also awarded I/P Engine a total of approximately $30,500,000. On November 20, 2012, the clerk entered the District Court's final judgment.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3, 2014, the District Court ordered that I/P Engine recover an additional sum of $17,320,000 from Defendants for supplemental damages and prejudgment interest.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21, 2014, the District Court ruled that Defendants' alleged design-around is "nothing more than a colorable variation of the system adjudged to infringe," and accordingly I/P Engine "is entitled to ongoing royalties as long as Defendants continue to use the modified system."</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January 28, 2014, the District Court ruled that the appropriate ongoing royalty rate for Defendants' continued infringement of the patents-in-suit that "would reasonably compensate [I/P Engine] for giving up [its] right to exclude yet allow an ongoing willful infringer to make a reasonable profit" is a rate of 6.5% of the 20.9% royalty base previously set by the District Court. The Defendants also filed a separate appeal related to these matters.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court dockets for the foregoing cases are publicly available on the Public Access to Court Electronic Records website, www.pacer.gov, which is operated by the Administrative Office of the U.S. Courts.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on United States Patent and Trademark Office Proceedings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May 24, 2012, Google submitted a request to the USPTO for ex parte reexamination of certain claims of U.S. Patent No. 6,314,420. On September 13, 2013, the USPTO issued a certificate confirming that all of the claims in the '420 patent challenged by Google remain valid and unchanged.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1" w:name="page32"/>
    <w:bookmarkEnd w:id="31"/>
    <w:p>
      <w:pPr>
        <w:jc w:val="both"/>
        <w:spacing w:after="0" w:line="259" w:lineRule="auto"/>
        <w:rPr>
          <w:sz w:val="20"/>
          <w:szCs w:val="20"/>
          <w:color w:val="auto"/>
        </w:rPr>
      </w:pPr>
      <w:r>
        <w:rPr>
          <w:rFonts w:ascii="Arial" w:cs="Arial" w:eastAsia="Arial" w:hAnsi="Arial"/>
          <w:sz w:val="18"/>
          <w:szCs w:val="18"/>
          <w:color w:val="auto"/>
        </w:rPr>
        <w:t>On November 28, 2012, Google submitted a request to the USPTO for ex parte reexamination of certain claims of U.S. Patent No. 6,775,664. On February 8, 2013, Google filed another request to the USPTO for ex parte reexamination of certain claims of the '664 patent. On June 13, 2013, the USPTO merged the two reexamination proceedings regarding the '664 patent. On December 13, 2013, the USPTO issued a certificate confirming that all of the claims in the '664 patent challenged by Google remain valid and unchanged.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19, 2013, Google submitted another request to the USPTO for ex parte reexamination of certain claims of the '420 patent. On July 31, 2014, the USPTO issued a certificate confirming that all of the claims in the '420 patent challenged by Google remain valid and unchanged.</w:t>
      </w:r>
    </w:p>
    <w:p>
      <w:pPr>
        <w:sectPr>
          <w:pgSz w:w="11900" w:h="16838" w:orient="portrait"/>
          <w:cols w:equalWidth="0" w:num="1">
            <w:col w:w="11420"/>
          </w:cols>
          <w:pgMar w:left="240" w:top="881" w:right="239" w:bottom="1440" w:gutter="0" w:footer="0" w:header="0"/>
        </w:sectPr>
      </w:pPr>
    </w:p>
    <w:p>
      <w:pPr>
        <w:spacing w:after="0" w:line="170" w:lineRule="exact"/>
        <w:rPr>
          <w:sz w:val="20"/>
          <w:szCs w:val="20"/>
          <w:color w:val="auto"/>
        </w:rPr>
      </w:pPr>
    </w:p>
    <w:p>
      <w:pPr>
        <w:spacing w:after="0"/>
        <w:tabs>
          <w:tab w:leader="none" w:pos="1120" w:val="left"/>
          <w:tab w:leader="none" w:pos="2120" w:val="left"/>
          <w:tab w:leader="none" w:pos="3000" w:val="left"/>
          <w:tab w:leader="none" w:pos="4200" w:val="left"/>
          <w:tab w:leader="none" w:pos="4720" w:val="left"/>
          <w:tab w:leader="none" w:pos="5640" w:val="left"/>
        </w:tabs>
        <w:rPr>
          <w:sz w:val="20"/>
          <w:szCs w:val="20"/>
          <w:color w:val="auto"/>
        </w:rPr>
      </w:pPr>
      <w:r>
        <w:rPr>
          <w:rFonts w:ascii="Arial" w:cs="Arial" w:eastAsia="Arial" w:hAnsi="Arial"/>
          <w:sz w:val="18"/>
          <w:szCs w:val="18"/>
          <w:color w:val="auto"/>
        </w:rPr>
        <w:t>Documents</w:t>
      </w:r>
      <w:r>
        <w:rPr>
          <w:sz w:val="20"/>
          <w:szCs w:val="20"/>
          <w:color w:val="auto"/>
        </w:rPr>
        <w:tab/>
      </w:r>
      <w:r>
        <w:rPr>
          <w:rFonts w:ascii="Arial" w:cs="Arial" w:eastAsia="Arial" w:hAnsi="Arial"/>
          <w:sz w:val="18"/>
          <w:szCs w:val="18"/>
          <w:color w:val="auto"/>
        </w:rPr>
        <w:t>regarding</w:t>
      </w:r>
      <w:r>
        <w:rPr>
          <w:sz w:val="20"/>
          <w:szCs w:val="20"/>
          <w:color w:val="auto"/>
        </w:rPr>
        <w:tab/>
      </w:r>
      <w:r>
        <w:rPr>
          <w:rFonts w:ascii="Arial" w:cs="Arial" w:eastAsia="Arial" w:hAnsi="Arial"/>
          <w:sz w:val="18"/>
          <w:szCs w:val="18"/>
          <w:color w:val="auto"/>
        </w:rPr>
        <w:t>USPTO</w:t>
      </w:r>
      <w:r>
        <w:rPr>
          <w:sz w:val="20"/>
          <w:szCs w:val="20"/>
          <w:color w:val="auto"/>
        </w:rPr>
        <w:tab/>
      </w:r>
      <w:r>
        <w:rPr>
          <w:rFonts w:ascii="Arial" w:cs="Arial" w:eastAsia="Arial" w:hAnsi="Arial"/>
          <w:sz w:val="18"/>
          <w:szCs w:val="18"/>
          <w:color w:val="auto"/>
        </w:rPr>
        <w:t>proceedings</w:t>
      </w:r>
      <w:r>
        <w:rPr>
          <w:sz w:val="20"/>
          <w:szCs w:val="20"/>
          <w:color w:val="auto"/>
        </w:rPr>
        <w:tab/>
      </w:r>
      <w:r>
        <w:rPr>
          <w:rFonts w:ascii="Arial" w:cs="Arial" w:eastAsia="Arial" w:hAnsi="Arial"/>
          <w:sz w:val="18"/>
          <w:szCs w:val="18"/>
          <w:color w:val="auto"/>
        </w:rPr>
        <w:t>are</w:t>
      </w:r>
      <w:r>
        <w:rPr>
          <w:sz w:val="20"/>
          <w:szCs w:val="20"/>
          <w:color w:val="auto"/>
        </w:rPr>
        <w:tab/>
      </w:r>
      <w:r>
        <w:rPr>
          <w:rFonts w:ascii="Arial" w:cs="Arial" w:eastAsia="Arial" w:hAnsi="Arial"/>
          <w:sz w:val="18"/>
          <w:szCs w:val="18"/>
          <w:color w:val="auto"/>
        </w:rPr>
        <w:t>publicly</w:t>
      </w:r>
      <w:r>
        <w:rPr>
          <w:sz w:val="20"/>
          <w:szCs w:val="20"/>
          <w:color w:val="auto"/>
        </w:rPr>
        <w:tab/>
      </w:r>
      <w:r>
        <w:rPr>
          <w:rFonts w:ascii="Arial" w:cs="Arial" w:eastAsia="Arial" w:hAnsi="Arial"/>
          <w:sz w:val="16"/>
          <w:szCs w:val="16"/>
          <w:color w:val="auto"/>
        </w:rPr>
        <w:t>available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on</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Patent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Application</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Information</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Retrieval</w:t>
      </w:r>
    </w:p>
    <w:p>
      <w:pPr>
        <w:spacing w:after="0" w:line="45" w:lineRule="exact"/>
        <w:rPr>
          <w:sz w:val="20"/>
          <w:szCs w:val="20"/>
          <w:color w:val="auto"/>
        </w:rPr>
      </w:pPr>
    </w:p>
    <w:p>
      <w:pPr>
        <w:sectPr>
          <w:pgSz w:w="11900" w:h="16838" w:orient="portrait"/>
          <w:cols w:equalWidth="0" w:num="7">
            <w:col w:w="6300" w:space="320"/>
            <w:col w:w="180" w:space="320"/>
            <w:col w:w="220" w:space="300"/>
            <w:col w:w="460" w:space="320"/>
            <w:col w:w="840" w:space="320"/>
            <w:col w:w="860" w:space="320"/>
            <w:col w:w="660"/>
          </w:cols>
          <w:pgMar w:left="240" w:top="881" w:right="239" w:bottom="1440" w:gutter="0" w:footer="0" w:header="0"/>
          <w:type w:val="continuous"/>
        </w:sectPr>
      </w:pPr>
    </w:p>
    <w:p>
      <w:pPr>
        <w:spacing w:after="0"/>
        <w:rPr>
          <w:sz w:val="20"/>
          <w:szCs w:val="20"/>
          <w:color w:val="auto"/>
        </w:rPr>
      </w:pPr>
      <w:r>
        <w:rPr>
          <w:rFonts w:ascii="Arial" w:cs="Arial" w:eastAsia="Arial" w:hAnsi="Arial"/>
          <w:sz w:val="16"/>
          <w:szCs w:val="16"/>
          <w:color w:val="auto"/>
        </w:rPr>
        <w:t>website, http://portal.uspto.gov/pair/PublicPair, which is operated by the USPTO.</w:t>
      </w:r>
    </w:p>
    <w:p>
      <w:pPr>
        <w:sectPr>
          <w:pgSz w:w="11900" w:h="16838" w:orient="portrait"/>
          <w:cols w:equalWidth="0" w:num="1">
            <w:col w:w="11420"/>
          </w:cols>
          <w:pgMar w:left="240" w:top="881" w:right="239"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Infrastructure Patents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On August 9, 2012, we entered into a patent purchase agreement with Nokia Corporation ("Nokia"), comprising of 124 patent families with counterparts world-wide. The total consideration paid for the portfolio was $22,000,000. Under the terms of the purchase agreement, to the extent that the gross revenue generated by such portfolio exceeds $22,000,000, we are obligated to pay a royalty of 35% of such excess. The portfolio encompasses technologies relating to telecom infrastructure, including communication management, data and signal transmission, mobility management, radio resources management and services. Declarations were filed by Nokia indicating that 31 of the 124 patent families acquired may be essential to wireless communications standards. Copies of the declarations are available on our website at </w:t>
      </w:r>
      <w:r>
        <w:rPr>
          <w:rFonts w:ascii="Arial" w:cs="Arial" w:eastAsia="Arial" w:hAnsi="Arial"/>
          <w:sz w:val="16"/>
          <w:szCs w:val="16"/>
          <w:u w:val="single" w:color="auto"/>
          <w:color w:val="auto"/>
        </w:rPr>
        <w:t>http://www.vringoip.com/documents/FG/vringo/ip/99208_Nokia_ETSI_Declarations.pdf</w:t>
      </w:r>
      <w:r>
        <w:rPr>
          <w:rFonts w:ascii="Arial" w:cs="Arial" w:eastAsia="Arial" w:hAnsi="Arial"/>
          <w:sz w:val="16"/>
          <w:szCs w:val="16"/>
          <w:color w:val="auto"/>
        </w:rPr>
        <w:t xml:space="preserve"> .</w:t>
      </w:r>
    </w:p>
    <w:p>
      <w:pPr>
        <w:spacing w:after="0" w:line="16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one of the means of realizing the value of the patents on telecom infrastructure, our wholly-owned subsidiaries, Vringo Infrastructure, Inc. (“Vringo Infrastructure”), Vringo, Inc. and Vringo Germany GmbH (“Vringo Germany”) have filed a number of suits against ZTE Corporation (“ZTE”), ASUSTeK Computer Inc. (“ASUS”), Belkin International, Inc. (“Belkin”), and certain of their subsidiaries, affiliates and other companies in the United States, European jurisdictions, India, Australia, Brazil, and Malaysia alleging infringement of certain U.S., European, Indian, Australian, Brazilian, and Malaysian patents.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5, 2012, Vringo Infrastructure filed a suit in the UK High Court of Justice, Chancery Division, Patents Court, alleging infringement of three European patents. Subsequently, ZTE responded to the complaint on December 19, 2012 with a counterclaim for invalidity of the patents-in-suit. Of the three patents-in-suit, one was withdrawn from litigation, one was postponed by mutual agreement of the parties, and one was heard in a trial on liability that commenced on October 28, 2014. A decision is anticipated in December 2014 or January 2015. If the Court finds the patent valid and infringed, the remedy phase of the litigation will commence.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Vringo Infrastructure filed a second UK suit on December 3, 2012, alleging infringement of three additional European patents. A second trial is scheduled for June 2015. However, it is unclear which of the four remaining patents-in-suit will be heard in that trial. A schedule for the remainder of this matter has yet to be set.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November 15, 2012, Vringo Germany filed a suit in the Mannheim Regional Court in Germany, alleging infringement of a European patent. The litigation was expanded to include a second European patent on February 21, 2013. On November 4, 2013, we filed a further brief with respect to the proceedings of the first European patent suit, asserting infringement by ZTE eNode B infrastructure equipment used in 4G networks.</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hearing for the first European patent case has been postponed by mutual agreement with ZTE; no date has been set for reinstatement. On December 17, 2013, the Court issued its judgment in the second European patent case, finding that ZTE infringed that patent and ordered an accounting and an injunction upon payment of the appropriate bonds. On February 19, 2014, Vringo Germany filed suit in the Mannheim Regional Court seeking enforcement of the accounting ordered and a further order that non-compliance be subject to civil and criminal penalties. On May 5, 2014, we paid a bond of approximately $1,400,000 to the Court in order to enforce the injunction against ZTE. Trial in the suit to enforce the accounting is scheduled for November 2014.</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27, 2013, ZTE filed a notice of appeal of the Mannheim Regional Court’s judgment in the second European patent case, and on January 24, 2014, ZTE filed an emergency motion with the Court of Appeals seeking a stay of the judge’s order pending appeal. On February 24, 2014, ZTE’s motion was denied.</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September 13, 2013 and January 28, 2014, Vringo Germany filed two suits in the Regional Court of Düsseldorf, alleging infringement of two additional European patents. Both cases are scheduled to be heard in November 2014. On April 23, 2014, Google commenced the process to intervene in the fourth filed suit as an interested third party. As a result of this process, Google is entitled to file defensive briefs in tandem with ZTE.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32" w:name="page33"/>
    <w:bookmarkEnd w:id="32"/>
    <w:p>
      <w:pPr>
        <w:jc w:val="both"/>
        <w:spacing w:after="0" w:line="276" w:lineRule="auto"/>
        <w:rPr>
          <w:sz w:val="20"/>
          <w:szCs w:val="20"/>
          <w:color w:val="auto"/>
        </w:rPr>
      </w:pPr>
      <w:r>
        <w:rPr>
          <w:rFonts w:ascii="Arial" w:cs="Arial" w:eastAsia="Arial" w:hAnsi="Arial"/>
          <w:sz w:val="17"/>
          <w:szCs w:val="17"/>
          <w:color w:val="auto"/>
        </w:rPr>
        <w:t>ZTE filed nullity suits with respect to the first and second European patents in the Federal Patents Court in Munich, Germany during the second and fourth quarters, respectively, of 2013. Trials in the nullity suits have not been scheduled. ZTE filed a nullity suit with respect to the third European patent in the Federal Patents Court in Munich, Germany, in the fourth quarter of 2013. A schedule has not yet been set and the trial is not anticipated before the third quarter of 2015. In addition, ZTE filed a nullity suit with respect to the fourth European patent in the Federal Patents Court in Munich, Germany in the second quarter of 2014. A schedule has not yet been set and the trial is not anticipated before the third quarter of 2015.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ZTE has filed 35 reexamination requests of Vringo’s Chinese patents with the Patent Re-Examination Board (“PRB”) of the State Intellectual Property Office of the People’s Republic of China. To date, the PRB has upheld the validity of two of Vringo’s patents and has held that one of Vringo’s patents is invalid. Vringo is appealing the latter decision. The remaining 32 reexamination requests remain pending, with decisions expected to be rendered on a rolling basis.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81818"/>
        </w:rPr>
        <w:t>On February 21, 2014, ZTE filed a civil complaint against Vringo and Vringo Infrastructure in the Shenzhen Intermediate Court alleging Vringo violated China’s antimonopoly laws. Vringo received notice of the action on June 26, 2014. Vringo intends to vigorously contest all aspects of this action in the appropriate manner. On July 28, 2014, Vringo filed a motion to have this complaint dismissed due to lack of jurisdiction. On August 6, 2014, the Court dismissed this motion. Vringo has appealed this dismissal; a hearing date in the appeal has not yet been set. The remainder of the case remains pending, and a schedule has not yet been set.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On March 29, 2013, Vringo Infrastructure filed a patent infringement lawsuit in France in the Tribunal de Grande Instance de Paris, alleging infringement of the French part of two European patents. Vringo Infrastructure filed the lawsuit based on particular information uncovered during a seizure to obtain evidence of infringement, known as a saisie-contrefaçon, which was executed at two of ZTE's facilities in France. The oral hearing in relation to these patents has been scheduled for December 2014 before the 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division of the 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chamber of the Tribunal de Grande Instance de Paris (specializing in IP matters).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11, 2013, Vringo Infrastructure filed a patent infringement lawsuit in the Federal Court of Australia in the New South Wales registry, alleging infringement by ZTE of two Australian patents. We currently anticipate that the Court will set a trial date in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6, 2013, Vringo Infrastructure filed a preliminary inquiry order against ZTE in the Commercial Court of Madrid, Spain, requiring ZTE to provide discovery relating to alleged infringement of a patent which is the Spanish counter-part of the second European patent filed in Germany. In light of ZTE’s non-responsiveness to the order, on March 24, 2014 the Court granted our request to seek discovery of four of ZTE’s Spanish customers. We have received responses from all four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India</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7, 2013, we and our subsidiary, Vringo Infrastructure, filed a patent infringement lawsuit in the High Court of Delhi at New Delhi, India, alleging infringement of an Indian patent related to CDMA. On November 8, 2013, the Court granted an ex-parte preliminary injunction and appointed commissioners to inspect ZTE’s facilities and collect evidence. ZTE appealed the preliminary injunction and, on December 12, 2013, the Court instituted an interim arrangement.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3, 2014, we filed a motion for contempt for ZTE’s failure to comply with the Court’s order, and requested that the Court order ZTE to pay an increased bond. A ruling on this motion is pending.</w:t>
      </w:r>
    </w:p>
    <w:p>
      <w:pPr>
        <w:spacing w:after="0" w:line="17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On January 31, 2014, we and our subsidiary, Vringo Infrastructure, filed a patent infringement lawsuit in the High Court of Delhi at New Delhi, alleging infringement of a second Indian patent related to GSM Infrastructure. The Court granted an ex-parte preliminary injunction and appointed commissioners to inspect ZTE’s facilities and collect evidence. ZTE appealed the preliminary injunction and, on August 13, 2014, the Court instituted an interim arrangement.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30, 2014, we filed a motion for contempt for ZTE’s failure to comply with the Court’s order, and requested that the Court order ZTE to pay an increased bond. A ruling on this motion is pending.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Brazil</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April 14, 2014, Vringo Infrastructure filed a patent infringement lawsuit in the 5th Trial Court of Rio de Janeiro State Court in Brazil, alleging infringement of a Brazilian patent related to 3G/4G/LTE infrastructure. On April 15, 2014, the court granted an ex-parte preliminary injunction restraining ZTE from manufacturing, using, offering for sale, selling, installing, testing, or importing such infrastructure equipment, subject to a fine. To enforce the injunction, the Company posted a bond of approximately $904,000 with the court on April 17, 2014. On May 9, 2014, ZTE filed an interlocutory appeal against the injunction. This appeal was denied by the Court on June 16, 2014. ZTE continues to vigorously defend its position.</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17, 2014, ZTE filed a nullity suit in the Federal district court in Rio de Janiero, Brazil, against both Vringo and the Brazilian patent office, seeking to invalidate Vringo’s Brazilian patent. A schedule for the remainder of this matter has not yet been set.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Malaysia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23, 2014, Vringo Infrastructure filed a patent infringement lawsuit against ZTE in the High Court of Malaya at Kuala Lumpur. The Court is expected to hear the case in March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Romania</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23, 2014, Vringo Infrastructure filed a patent infringement lawsuit against ZTE in the Bucharest Tribunal Civil Section. On July 1, 2014, the court granted an ex-parte preliminary injunction, ordering ZTE to cease any importation, exportation, introduction on the market, offer for sale, storage, sale, trade, distribution, promotion, or any other business activity regarding the infringing product. ZTE appealed the granting of the injunction and, on October 10, 2014, the Bucharest Court of Appeal suspended enforcement of the injunction in light of ZTE’s allegations that it was immediately subject to approximately $39,900,000 in contract losses, pending the outcome of the appeal, which is expected before mid-December 2014. The remaining schedule has not yet been set in this matter.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Netherlands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May 28, 2014, Vringo Infrastructure commenced legal proceedings, pursuant to European Anti-Piracy Regulations, Number 1383/2003, Article 11 against ZTE in the District Court of The Hague. ZTE has filed an invalidity lawsuit for the patent-in-suit. A schedule has not yet been set in this matter.</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4, 2014, ZTE filed suit in the District Court of Rotterdam against Vringo and Vringo Infrastructure for the alleged wrongful detention of goods under the relevant anti-piracy regulations. A schedule has not yet been set in this matter.</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24, 2014, ZTE filed a request with the District Court of The Hague to seek the release of ZTE UMTS products being held by Dutch customs officials and to order Vringo to ask the Dutch customs authorities to stop their actions against ZTE’s products based on the Anti-Piracy Regulations of the European Union. On October 24, 2014, the President of the Court denied ZTE’s requests, and upheld the detention of ZTE’s goods, finding, prima facie, that ZTE has infringed one of Vringo’s European patents, upholding the validity of that patent, and rejecting ZTE’s argument that Vringo has violated European competition law by enforcing that patent. ZTE was also ordered to pay Vringo’s legal costs of approximately $250,000. ZTE may choose to appeal this decision.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2, 2014, Vringo filed suit in the United States District Court for the Southern District of New York seeking a temporary restraining order and preliminary and permanent injunctions against ZTE, enjoining ZTE’s use of prohibited materials captured under NDA, including but not limited to ZTE’s use of such materials in its antitrust lawsuit in China against Vringo and Vringo Infrastructure. On July 7, 2014, the court granted a temporary restraining order against ZTE’s use of such material. On July 23, 2014, ZTE filed a counterclaim against Vringo. On July 24, 2014, the Court held a hearing on Vringo’s motion for a preliminary injunction against ZTE. A ruling on this motion is pending. On October 2, 2014, Vringo filed a motion for judgment on the pleadings, similar to a motion for summary judgment, asking the court to render a judgment on Vringo’s cause of action based solely on the pleadings of the parties.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Commission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April 10, 2014, ZTE filed a complaint with the European Commission. We believe that the accusations are not accurate. The European Commission has not yet set the schedule for this matter.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October 4, 2013 and January 29, 2014, Vringo Germany filed two patent infringement lawsuits against ASUS in the Düsseldorf Regional Court, alleging infringement of two European patents. The cases are scheduled to be heard in November 2014.</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ASUS filed nullity suits with respect to the first and second European patents in the Federal Patents Court in Munich, Germany, during the second quarter of 2014. Trials in the nullity suits have not been scheduled but are not anticipated before the second quarter of 2016 for the first patent and the second quarter of 2015 for the second patent.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707"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Spain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7, 2014, Vringo Infrastructure filed suit in the Commercial Court of Barcelona alleging infringement of a patent which is the Spanish counter-part of the first European patent filed in Germany. The oral hearing for this case is scheduled to be heard before the Commercial Court of Barcelona in November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India</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April 15, 2014, Vringo Infrastructure filed suit in the High Court of Delhi, New Delhi alleging infringement of a patent related to use of dictionaries in search engines preloaded on certain ASUS devices. Google has successfully petitioned to intervene as an interested party and has the right to file responsive pleadings. The pleading stage of the litigation will be completed in December 2014. A schedule for the remainder of case has not yet been set.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Tyco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April 28, 2014, the Company entered into a confidential agreement with Tyco that resolved all litigation pending between the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Belkin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October 1, 2014, the Company entered into a confidential agreement with Belkin that resolved all litigation pending between the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The risk factors set forth below update the risk factors in Part I, “Item 1A. Risk Factors” in our Annual Report on Form 10-K for the year ended December 31, 2013 and Part II, “Item 1A. Risk Factors” in our Quarterly Reports on Form 10-Q for the quarterly periods ended March 31, 2014 and June 30, 2014. In addition to the risk factors below and the risk factors included in our Annual Report on Form 10-K, as updated by our Quarterly Report on Form 10-Q, you should carefully consider the other risks highlighted elsewhere in this report or in our other filings with the Securities and Exchange Commission, which could materially affect our business, financial position and results of operations. Additional risks and uncertainties not presently known to us or that we currently deem immaterial also may impair our business, financial position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limited operating history makes it difficult to evaluate our current business and future prospects.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date, our business is focused on the assertion of our patent portfolio of which the earliest patent was acquired by us in June 2011. Therefore, we not only have a limited operating history, but also a limited track record in executing our business model which includes, among other things, creating, prosecuting, licensing, litigating or otherwise monetizing our patent assets. Our limited operating history makes it difficult to evaluate our current business model and future prospects.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light of the costs, uncertainties, delays and difficulties frequently encountered by companies in the early stages of development with no operating history, there is a significant risk that we will not be able to:</w:t>
      </w:r>
    </w:p>
    <w:p>
      <w:pPr>
        <w:spacing w:after="0" w:line="170" w:lineRule="exact"/>
        <w:rPr>
          <w:sz w:val="20"/>
          <w:szCs w:val="20"/>
          <w:color w:val="auto"/>
        </w:rPr>
      </w:pPr>
    </w:p>
    <w:p>
      <w:pPr>
        <w:ind w:left="1960" w:hanging="804"/>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implement or execute our current business plan, or demonstrate that our business plan is sound; and/or</w:t>
      </w:r>
    </w:p>
    <w:p>
      <w:pPr>
        <w:spacing w:after="0" w:line="225" w:lineRule="exact"/>
        <w:rPr>
          <w:rFonts w:ascii="Arial" w:cs="Arial" w:eastAsia="Arial" w:hAnsi="Arial"/>
          <w:sz w:val="18"/>
          <w:szCs w:val="18"/>
          <w:color w:val="auto"/>
        </w:rPr>
      </w:pPr>
    </w:p>
    <w:p>
      <w:pPr>
        <w:ind w:left="1960" w:hanging="804"/>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raise sufficient funds in the capital markets to effectuate our long-term business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we are unable to execute any one of the foregoing or similar matters relating to our operations, our business may fail.</w:t>
      </w:r>
    </w:p>
    <w:p>
      <w:pPr>
        <w:spacing w:after="0" w:line="221" w:lineRule="exact"/>
        <w:rPr>
          <w:sz w:val="20"/>
          <w:szCs w:val="20"/>
          <w:color w:val="auto"/>
        </w:rPr>
      </w:pPr>
    </w:p>
    <w:p>
      <w:pPr>
        <w:ind w:right="140"/>
        <w:spacing w:after="0" w:line="313" w:lineRule="auto"/>
        <w:rPr>
          <w:sz w:val="20"/>
          <w:szCs w:val="20"/>
          <w:color w:val="auto"/>
        </w:rPr>
      </w:pPr>
      <w:r>
        <w:rPr>
          <w:rFonts w:ascii="Arial" w:cs="Arial" w:eastAsia="Arial" w:hAnsi="Arial"/>
          <w:sz w:val="17"/>
          <w:szCs w:val="17"/>
          <w:b w:val="1"/>
          <w:bCs w:val="1"/>
          <w:color w:val="auto"/>
        </w:rPr>
        <w:t>We commenced legal proceedings against major online search engines, security and communications companies, and we expect such proceedings to be time-consuming and costly, which may adversely affect our financial condition and our ability to operate our business.</w:t>
      </w:r>
    </w:p>
    <w:p>
      <w:pPr>
        <w:spacing w:after="0" w:line="14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To license or otherwise monetize the patent assets that we own, we commenced legal proceedings against a number of large, multi-national companies, pursuant to which we allege that such companies infringe on one or more of our patents. Our viability is highly dependent on the outcome of these litigations, and there is a risk that we may be unable to achieve the results we desire from such litigation, failure from which would harm our business to a great degree. In addition, the defendants in these litigations have substantially more resources than we do, which could make our litigation efforts more difficult.</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anticipate that legal proceedings may continue for several years and may require significant expenditures for legal fees and other expenses. Disputes regarding the assertion of patents and other intellectual property rights are highly complex and technical. Once initiated, we may be forced to litigate against other parties in addition to the originally named defendants. Our adversaries may allege defenses and/or file counterclaims for, inter alia, revocation of our patents or file collateral litigations or initiate investigations in the United States, Europe, India, and China or elsewhere in an effort to avoid or limit liability and damages for patent infringement. If such actions are successful, they may preclude our ability to derive licensing revenue from the patents currently being asserted.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5" w:name="page36"/>
    <w:bookmarkEnd w:id="35"/>
    <w:p>
      <w:pPr>
        <w:jc w:val="both"/>
        <w:spacing w:after="0" w:line="259" w:lineRule="auto"/>
        <w:rPr>
          <w:sz w:val="20"/>
          <w:szCs w:val="20"/>
          <w:color w:val="auto"/>
        </w:rPr>
      </w:pPr>
      <w:r>
        <w:rPr>
          <w:rFonts w:ascii="Arial" w:cs="Arial" w:eastAsia="Arial" w:hAnsi="Arial"/>
          <w:sz w:val="18"/>
          <w:szCs w:val="18"/>
          <w:color w:val="auto"/>
        </w:rPr>
        <w:t>Additionally, we anticipate that our legal fees and other expenses will be material and will negatively impact our financial condition and results of operations and may result in our inability to continue our business. We estimate that our legal fees over the next twelve months will be significant for these enforcement actions. Expenses thereafter are dependent on the outcome of the status of the litigation. Our failure to monetize our patent assets would significantly harm our business.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 should we be deemed the losing party in many of our litigations, we may be liable for some or all of our opponents’ legal fees. In addition, in connection with litigation, we have made several affirmative financial guarantees to courts around the world, and might face the need to make additional guarantees in the future.</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any of our applications to the Court in the UK ZTE litigation or for the entire UK ZTE litigation, we may be held responsible for a substantial percentage of the defendant’s legal fees for the relevant application or for the litigation. These fees may be substantial. Pursuant to negotiation with ZTE’s United Kingdom subsidiary, we placed two written commitments, in November 2012 and May 2013, to ensure payment should a liability by Vringo Infrastructure arise as a result of the two cases we filed. To date, ZTE has asserted that its anticipated fees in defending the UK litigation may be approximately $5,800,000.</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Australia, should we be deemed the losing party in any of our applications to the Court or for the entire litigation, we may be held responsible for a substantial percentage of the defendant’s legal fees for the relevant application or for the litigation. These fees may be substantial. In addition, pursuant to negotiations with ZTE’s Australian subsidiary, we placed a written commitment in April 2014 to ensure payment should a liability by Vringo Infrastructure arise as a result of the case filed. The amount of such commitment cannot be reasonably estimated at this time, and we assess the likelihood of such payment as remote.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Germany, the amount of fees payable by a losing party is determined based on certain possible statutory levels of “value in dispute.” The value in dispute is only very loosely correlated to the actual value of any potential final settlement or license. The estimated value in dispute for each of the four patent infringement cases we have filed against ZTE in Germany, and for each of the two patent infringement cases we have filed against ASUS in Germany is approximately $1,400,000. The estimated value in dispute for each of the four invalidity cases which ZTE has filed against us in Germany is approximately $1,700,000. Under the current statute, our risk is capped at approximately $1,000,000 were the court to determine that the value in dispute is at the highest tier under law.</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Germany, should the court order an injunction, for it to be enforced, we will have to pay a security based on the relevant statutory rate. In our litigations against ZTE and ASUS the statutory rate is approximately $1,400,000 for each patent asserted. We have already deposited a bond of $1,400,000 on May 5, 2014 in one of our cases. The statutory rate is only loosely correlated to any actual harm the defendant may suffer from an injunction. The district court judge is entitled to increase the amount of the security. Generally, the courts take the value in dispute as the amount payable as security. Should the injunction be successfully overturned on appeal, we may be obligated to compensate the defendant for any damages allegedly suffered as a result of the enforcement of the injunction, which would be ascertained through separate damages proceedings. Should the judgment which granted the injunction be affirmed on appeal, however, the amount paid as security would be returnable to us in full.</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France, should we be deemed to be the losing party, it is more likely than not that we will be ordered to pay a contribution to ZTE’s attorney and expert fees. The court in France will make an assessment of winning party’s costs during the course of the proceeding on the merits, and at its discretion order the losing party to pay a portion of those costs, typically between 40 and 60%.</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Brazil, as a condition of the relief requested, we deposited $904,000 as a surety against the truth of the allegations contained in the complaint. Unless ZTE is the prevailing party and proves that actual material damages were suffered while the requested relief was in place, the funds are returnable at the end of the litigation.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may be required to grant additional written commitments, as necessary, in connection with our commenced proceedings against ZTE Corporation and its subsidiaries in various countries. As of today, we cannot estimate our potential future liability. However, should we be successful on any court applications, for example, in the UK, Australia, France, or Germany or the entire litigation and/or litigations, our adversary may be responsible for a substantial percentage of our legal fees.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 if any of the patents in suit are found not infringed or invalid, it is highly unlikely that the relevant patents would be viewed as essential and therefore infringed by all unlicensed market participants.</w:t>
      </w:r>
    </w:p>
    <w:p>
      <w:pPr>
        <w:spacing w:after="0" w:line="16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b w:val="1"/>
          <w:bCs w:val="1"/>
          <w:color w:val="auto"/>
        </w:rPr>
        <w:t>There is a risk that a court will find our patents invalid, not infringed or unenforceable and/or that the U.S. Patent and Trademark Office (USPTO) or other relevant patent office will either invalidate the patents or materially narrow the scope of their claims during the course of a reexamination, opposition or other such proceeding. In addition, even with a positive trial court verdict, the patents may be invalidated, found not infringed or rendered unenforceable on appeal. This risk may occur either presently or from time to time in connection with future litigations we may bring. If this were to occur, it would have a material adverse effect on the viability of our company and our operations.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certain companies infringe certain of our patents, but recognize that obtaining and collecting a judgment against such companies may be difficult or impossible. Patent litigation is inherently risky and the outcome is uncertain. Some of the parties that we believe infringe on our patents are large and well-financed companies with substantially greater resources than ours. We believe that these parties would devote a substantial amount of resources in an attempt to avoid or limit a finding that they are liable for infringing on our patents or, in the event liability is found, to avoid or limit the amount of associated damages. In addition, there is a risk that these parties may file reexaminations or other proceedings with the USPTO or other government agencies in the United States or abroad in an attempt to invalidate, narrow the scope or render unenforceable the patents we own.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140" w:gutter="0" w:footer="0" w:header="0"/>
        </w:sectPr>
      </w:pPr>
    </w:p>
    <w:bookmarkStart w:id="36" w:name="page37"/>
    <w:bookmarkEnd w:id="36"/>
    <w:p>
      <w:pPr>
        <w:jc w:val="both"/>
        <w:spacing w:after="0" w:line="259" w:lineRule="auto"/>
        <w:rPr>
          <w:sz w:val="20"/>
          <w:szCs w:val="20"/>
          <w:color w:val="auto"/>
        </w:rPr>
      </w:pPr>
      <w:r>
        <w:rPr>
          <w:rFonts w:ascii="Arial" w:cs="Arial" w:eastAsia="Arial" w:hAnsi="Arial"/>
          <w:sz w:val="18"/>
          <w:szCs w:val="18"/>
          <w:color w:val="auto"/>
        </w:rPr>
        <w:t>In addition, as part of our ongoing legal proceedings, the validity and/or enforceability of our patents is often challenged in a court or an administrative proceeding. On August 15, 2014, the Federal Circuit reversed a judgment of the United States District Court for the Eastern District of Virginia by holding that the asserted claims of the patents-in-suit in I/P Engine's litigation against AOL Inc., Google Inc. et al. are invalid for obviousness. During the third quarter of 2014, we experienced a decline in our common stock price.</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Moreover, in connection with any of our present or future patent enforcement actions, it is possible that a defendant may request and/or a court may rule that we violated relevant statues, regulations, rules or standards relating to the substantive or procedural aspects of such enforcement actions in the United States or abroad. In such event, a court or other regulatory agency may issue monetary sanctions against us or our operating subsidiaries or award attorneys’ fees and/or expenses to one or more defendants, which could be material, and if we or our subsidiaries are required to pay such monetary sanctions, attorneys’ fees and/or expenses, such payment could materially harm our operating results and financial position.</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it is difficult in general to predict the outcome of patent enforcement litigation at the trial or appellate level. In the United States, there is a higher rate of appeals in patent enforcement litigation than in standard business litigation. The defendant to any case we bring, may file as many appeals as allowed by right, including to the first, second and/or final courts of appeal (in the United States those courts would be the Federal Circuit and Supreme Court, respectively). Such appeals are expensive and time-consuming, and the outcomes of such appeals are sometimes unpredictable, resulting in increased costs and reduced or delayed revenue.</w:t>
      </w:r>
    </w:p>
    <w:p>
      <w:pPr>
        <w:spacing w:after="0" w:line="184"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We may not be able to successfully monetize the patents we acquired from Nokia, nor any of the other patent acquisitions, thus we may fail to realize all of the anticipated benefits of such acquisition.</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There is no assurance that we will be able to successfully monetize the patent portfolio that we acquired from Nokia, nor any of the other patent acquisitions. The patents we acquired from Nokia could fail to produce anticipated benefits, or could have other adverse effects that we currently do not foresee. Failure to successfully monetize these patent assets may have a material adverse effect on our business, financial condition and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acquisition of a patent portfolio is subject to a number of risks, including, but not limited to the following:</w:t>
      </w:r>
    </w:p>
    <w:p>
      <w:pPr>
        <w:spacing w:after="0" w:line="225" w:lineRule="exact"/>
        <w:rPr>
          <w:sz w:val="20"/>
          <w:szCs w:val="20"/>
          <w:color w:val="auto"/>
        </w:rPr>
      </w:pPr>
    </w:p>
    <w:p>
      <w:pPr>
        <w:jc w:val="both"/>
        <w:ind w:left="1500" w:hanging="803"/>
        <w:spacing w:after="0" w:line="264" w:lineRule="auto"/>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is a significant time lag between acquiring a patent portfolio and recognizing revenue from those patent assets, if at all. During that time lag, material costs are likely to be incurred that would have a negative effect on our results of operations, cash flows and financial position.</w:t>
      </w:r>
    </w:p>
    <w:p>
      <w:pPr>
        <w:spacing w:after="0" w:line="181" w:lineRule="exact"/>
        <w:rPr>
          <w:rFonts w:ascii="Arial" w:cs="Arial" w:eastAsia="Arial" w:hAnsi="Arial"/>
          <w:sz w:val="18"/>
          <w:szCs w:val="18"/>
          <w:color w:val="auto"/>
        </w:rPr>
      </w:pPr>
    </w:p>
    <w:p>
      <w:pPr>
        <w:jc w:val="both"/>
        <w:ind w:left="1500" w:hanging="803"/>
        <w:spacing w:after="0" w:line="264" w:lineRule="auto"/>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integration of a patent portfolio is a time consuming and expensive process that may disrupt our operations. If our integration efforts are not successful, our results of operations could be harmed. In addition, we may not achieve anticipated synergies or other benefits from such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Therefore, there is no assurance that we will be able to monetize an acquired patent portfolio and recoup our investment.</w:t>
      </w:r>
    </w:p>
    <w:p>
      <w:pPr>
        <w:spacing w:after="0" w:line="221"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We may seek to internally develop new inventions and intellectual property, which would take time and would be costly. Moreover, the failure to obtain or maintain intellectual property rights for such inventions would lead to the loss of our investments in such activities.</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Members of our management team have experience as inventors. As such, part of our business may include the internal development of new inventions or intellectual property that we will seek to monetize. However, this aspect of our business would likely require significant capital and would take time to achieve. Such activities could also distract our management team from its present business initiatives, which could have a material and adverse effect on our business. There is also the risk that our initiatives in this regard would not yield any viable new inventions or technology, which would lead to a loss of our investments in time and resources in such activities.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even if we are able to internally develop new inventions, in order for those inventions to be viable and to compete effectively, we would need to develop and maintain them, and they would heavily rely on, a proprietary position with respect to such inventions and intellectual property. However, there are significant risks associated with any such intellectual property we may develop principally including the following:</w:t>
      </w:r>
    </w:p>
    <w:p>
      <w:pPr>
        <w:spacing w:after="0" w:line="181" w:lineRule="exact"/>
        <w:rPr>
          <w:sz w:val="20"/>
          <w:szCs w:val="20"/>
          <w:color w:val="auto"/>
        </w:rPr>
      </w:pPr>
    </w:p>
    <w:p>
      <w:pPr>
        <w:ind w:left="1620" w:hanging="802"/>
        <w:spacing w:after="0"/>
        <w:tabs>
          <w:tab w:leader="none" w:pos="1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patent applications we may file may not result in issued patents or may take longer than we expect to result in issued patents;</w:t>
      </w:r>
    </w:p>
    <w:p>
      <w:pPr>
        <w:spacing w:after="0" w:line="236" w:lineRule="exact"/>
        <w:rPr>
          <w:rFonts w:ascii="Arial" w:cs="Arial" w:eastAsia="Arial" w:hAnsi="Arial"/>
          <w:sz w:val="17"/>
          <w:szCs w:val="17"/>
          <w:color w:val="auto"/>
        </w:rPr>
      </w:pPr>
    </w:p>
    <w:p>
      <w:pPr>
        <w:ind w:left="1620" w:hanging="802"/>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subject to opposition proceedings in the U.S. or foreign countries;</w:t>
      </w:r>
    </w:p>
    <w:p>
      <w:pPr>
        <w:spacing w:after="0" w:line="225" w:lineRule="exact"/>
        <w:rPr>
          <w:rFonts w:ascii="Arial" w:cs="Arial" w:eastAsia="Arial" w:hAnsi="Arial"/>
          <w:sz w:val="18"/>
          <w:szCs w:val="18"/>
          <w:color w:val="auto"/>
        </w:rPr>
      </w:pPr>
    </w:p>
    <w:p>
      <w:pPr>
        <w:ind w:left="1620" w:hanging="802"/>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patents that are issued to us may not provide meaningful protection;</w:t>
      </w:r>
    </w:p>
    <w:p>
      <w:pPr>
        <w:spacing w:after="0" w:line="225" w:lineRule="exact"/>
        <w:rPr>
          <w:rFonts w:ascii="Arial" w:cs="Arial" w:eastAsia="Arial" w:hAnsi="Arial"/>
          <w:sz w:val="18"/>
          <w:szCs w:val="18"/>
          <w:color w:val="auto"/>
        </w:rPr>
      </w:pPr>
    </w:p>
    <w:p>
      <w:pPr>
        <w:ind w:left="1620" w:hanging="802"/>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develop additional proprietary technologies that are patentable;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7" w:name="page38"/>
    <w:bookmarkEnd w:id="37"/>
    <w:p>
      <w:pPr>
        <w:ind w:left="1620" w:hanging="802"/>
        <w:spacing w:after="0"/>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companies may challenge patents issued to us;</w:t>
      </w:r>
    </w:p>
    <w:p>
      <w:pPr>
        <w:spacing w:after="0" w:line="225" w:lineRule="exact"/>
        <w:rPr>
          <w:rFonts w:ascii="Arial" w:cs="Arial" w:eastAsia="Arial" w:hAnsi="Arial"/>
          <w:sz w:val="18"/>
          <w:szCs w:val="18"/>
          <w:color w:val="auto"/>
        </w:rPr>
      </w:pPr>
    </w:p>
    <w:p>
      <w:pPr>
        <w:ind w:left="1620" w:hanging="802"/>
        <w:spacing w:after="0" w:line="277" w:lineRule="auto"/>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companies may have independently developed and/or patented (or may in the future independently develop and patent) similar or alternative technologies, or duplicate our technologies;</w:t>
      </w:r>
    </w:p>
    <w:p>
      <w:pPr>
        <w:spacing w:after="0" w:line="170" w:lineRule="exact"/>
        <w:rPr>
          <w:rFonts w:ascii="Arial" w:cs="Arial" w:eastAsia="Arial" w:hAnsi="Arial"/>
          <w:sz w:val="18"/>
          <w:szCs w:val="18"/>
          <w:color w:val="auto"/>
        </w:rPr>
      </w:pPr>
    </w:p>
    <w:p>
      <w:pPr>
        <w:ind w:left="1620" w:hanging="802"/>
        <w:spacing w:after="0"/>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companies may design around patents we have developed; and</w:t>
      </w:r>
    </w:p>
    <w:p>
      <w:pPr>
        <w:spacing w:after="0" w:line="225" w:lineRule="exact"/>
        <w:rPr>
          <w:rFonts w:ascii="Arial" w:cs="Arial" w:eastAsia="Arial" w:hAnsi="Arial"/>
          <w:sz w:val="18"/>
          <w:szCs w:val="18"/>
          <w:color w:val="auto"/>
        </w:rPr>
      </w:pPr>
    </w:p>
    <w:p>
      <w:pPr>
        <w:ind w:left="1620" w:hanging="802"/>
        <w:spacing w:after="0"/>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enforcement of our patents could be complex, uncertain and very expensive.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cannot be certain that patents will be issued as a result of any future applications, or that any of our patents, once issued, will provide us with adequate protection from competing products. For example, issued patents may be circumvented or challenged, declared invalid or unenforceable, or narrowed in scope. In addition, since publication of discoveries in scientific or patent literature often lags behind actual discoveries, we cannot be certain that we will be the first to make our additional new inventions or to file patent applications covering those inventions. It is also possible that others may have or may obtain issued patents that could prevent us from commercializing our products or require us to obtain licenses requiring the payment of significant fees or royalties in order to enable us to conduct our business. As to those patents that we may license or otherwise monetize, our rights will depend on maintaining our obligations to the licensor under the applicable license agreement, and we may be unable to do so. Our failure to obtain or maintain intellectual property rights for our inventions would lead to the loss of our investments in such activities, which would have a material and adverse effect on our company.</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Moreover, patent application delays could cause delays in recognizing revenue from our internally generated patents and could cause us to miss opportunities to license patents before other competing technologies are developed or introduced into the market.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legislation, regulations or court rulings related to enforcing patents could harm our business and operating results.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Intellectual property is the subject of intense scrutiny by the courts, legislatures and executive branches of governments around the world. Various patent offices, governments or intergovernmental bodies (like the European Commission) may implement new legislation, regulations or rulings that impact the patent enforcement process or the rights of patent holders and such changes could negatively affect our business model.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our ability to assert our patent or other intellectual property rights.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2013, the Federal Trade Commission announced that it is planning to gather information from approximately 25 companies that are in the business of buying and asserting patents in order to develop a better understanding of how those companies do business and impact innovation and competition. Both the Federal Trade Commission and European Commission are actively considering what the appropriate restrictions are on the ability of owners of patents declared to technical standards to receive both injunctions and royalties.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Furthermore, United States patent laws have been amended by the Leahy-Smith America Invents Act, or the America Invents Act. The America Invents Act includes a number of significant changes to U.S. patent law. In general, the legislation attempts to address issues surrounding the enforceability of patents and the increase in patent litigation by, among other things, establishing new procedures for patent litigation. For example, the America Invents Act changes the way that parties may be joined in patent infringement actions, increasing the likelihood that such actions will need to be brought against individual parties allegedly infringing by their respective individual actions or activities. At this time, it is not clear what, if any, impact the America Invents Act will have on the operation of our enforcement business. However, the America Invents Act and its implementation could increase the uncertainties and costs surrounding the enforcement of our patented technologies, which could have a material adverse effect on our business and financial condition.</w:t>
      </w:r>
    </w:p>
    <w:p>
      <w:pPr>
        <w:spacing w:after="0" w:line="16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the U.S. Department of Justice (“DOJ”) has conducted reviews of the patent system to evaluate the impact of patent assertion entities on industries in which those patents relate. It is possible that the findings and recommendations of the DOJ could impact the ability to effectively license and enforce standards-essential patents and could increase the uncertainties and costs surrounding the enforcement of any such patented technologies.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Furthermore, in various pending litigation and appeals in the United States Federal courts, various arguments and legal theories are being advanced to potentially limit the scope of damages that a patent licensing company such as us might be entitled to. Any one of these pending cases could result in new legal doctrines that could make our existing or future patent portfolios less valuable or more costly to enforce.</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 and in general, 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we conduct our business and negatively impact our business, prospects, financial condition and results of operations. That said, to date, we do not believe that any existing or proposed statutory or regulatory change has materially affected our business.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ind w:right="40"/>
        <w:spacing w:after="0" w:line="282" w:lineRule="auto"/>
        <w:rPr>
          <w:sz w:val="20"/>
          <w:szCs w:val="20"/>
          <w:color w:val="auto"/>
        </w:rPr>
      </w:pPr>
      <w:r>
        <w:rPr>
          <w:rFonts w:ascii="Arial" w:cs="Arial" w:eastAsia="Arial" w:hAnsi="Arial"/>
          <w:sz w:val="18"/>
          <w:szCs w:val="18"/>
          <w:b w:val="1"/>
          <w:b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common stock is listed for trading on the NASDAQ Capital Market (“NASDAQ”). We must satisfy NASDAQ’s continued listing requirements, including, among other things, a minimum closing bid price requirement of $1.00 per share for 30 consecutive business days. If a company trades for 30 consecutive business days below the $1.00 minimum closing bid price requirement, NASDAQ will send a deficiency notice to the company, advising that it has been afforded a "compliance period" of 180 calendar days to regain compliance with the applicable requirements. Thereafter, if such a company does not regain compliance with the bid price requirement, a second 180-day compliance period may be available.</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delisting of our common stock from NASDAQ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employees and fewer business development opportunities.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Acquisitions of additional patent assets may be time consuming, complex and costly, which could adversely affect our operating results.</w:t>
      </w:r>
    </w:p>
    <w:p>
      <w:pPr>
        <w:spacing w:after="0" w:line="2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Acquisitions of patents or other intellectual property assets, which are and will be critical to our business plan, are often time consuming, complex and costly to consummate. We may utilize many different transaction structures in our acquisitions and the terms of such acquisition agreements tend to be heavily negotiated. As a result, we expect to incur significant operating expenses and will likely be required to raise capital during the negotiations even if the acquisition is ultimately not consummated. Even if we are able to acquire particular patents or other intellectual property assets, there is no guarantee that we will generate sufficient revenue related to those assets to offset the acquisition costs. While we will seek to conduct confirmatory due diligence on the patents or other intellectual property assets we are considering for acquisition, we may acquire such assets from a seller who does not have proper title to those assets. In those cases, we may be required to spend significant resources to defend our interest in such assets and, if we are not successful, our acquisition may be invalid, in which case we could lose part or all of our investment in those assets.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also identify patents or other intellectual property assets that cost more than we are prepared to spend with our own capital resources. We may incur significant costs to organize and negotiate a structured acquisition that does not ultimately result in an acquisition of any patents or other intellectual property assets or, if consummated, proves to be unprofitable for us. These higher costs could adversely affect our operating results, and if we incur losses, the value of our securities will decline.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may acquire patents and technologies that are in the early stages of adoption in the commercial, industrial and consumer markets. Demand for some of these technologies will likely be untested and may be subject to fluctuation based upon the rate at which our licensees will adopt our patents and technologies in their products and services. As a result, there can be no assurance as to whether technologies we acquire or develop will have value that we can monetize.</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In certain acquisitions of patent assets, we may seek to defer payment or finance a portion of the acquisition price. This approach may put us at a competitive disadvantage and could result in harm to our business.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limited capital and may seek to negotiate acquisitions of patent or other intellectual property assets where we can defer payments or finance a portion of the acquisition price. These types of debt financing or deferred payment arrangements may not be as attractive to sellers of patent assets as receiving the full purchase price for those assets in cash at the closing of the acquisition. As a result, we might not compete effectively against other companies in the market for acquiring patent assets, some of whom have greater cash resources than we have.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confidential information may be disclosed by other parties.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routinely enter into non-disclosure agreements with other parties, including but not limited to vendors, law firms, parties with whom we are engaged in negotiations, and employees. However, there exists a risk that those other parties will not honor their contractual obligations to not disclose our confidential information. This may include parties who breach such obligations in the context of confidential settlement offers and/or negotiations. In addition, there exists a risk that, upon such breach and subsequent dissemination of our confidential information, third parties and potential licensees may seek to use such confidential information to their advantage or to our disadvantage including in legal proceedings in which we are involved. Our ability to act against such third parties may be limited, as we may not be in privity of contract with such third parties.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Competition is intense in the industries in which our subsidiaries do business and as a result, we may not be able to grow or maintain our market share for our technologies and patents.</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expect to encounter competition in the area of patent acquisition and enforcement as the number of companies entering this market is increasing. This includes competitors seeking to acquire the same or similar patents and technologies that we may seek to acquire. As new technological advances occur, many of our patented technologies may become obsolete before they are completely monetized. If we are unable to replace obsolete technologies with more technologically advanced patented technologies, then this obsolescence could have a negative effect on our ability to generate future revenues.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9" w:name="page40"/>
    <w:bookmarkEnd w:id="39"/>
    <w:p>
      <w:pPr>
        <w:jc w:val="both"/>
        <w:spacing w:after="0" w:line="259" w:lineRule="auto"/>
        <w:rPr>
          <w:sz w:val="20"/>
          <w:szCs w:val="20"/>
          <w:color w:val="auto"/>
        </w:rPr>
      </w:pPr>
      <w:r>
        <w:rPr>
          <w:rFonts w:ascii="Arial" w:cs="Arial" w:eastAsia="Arial" w:hAnsi="Arial"/>
          <w:sz w:val="18"/>
          <w:szCs w:val="18"/>
          <w:color w:val="auto"/>
        </w:rPr>
        <w:t>Our licensing business also competes with venture capital firms and various industry leaders for technology licensing opportunities. Many of these competitors may have more financial and human resources than we do. As we become more successful, we may find more companies entering the market for similar technology opportunities, which may reduce our market share in one or more technology industries that we currently rely upon to generate future revenue.</w:t>
      </w:r>
    </w:p>
    <w:p>
      <w:pPr>
        <w:spacing w:after="0" w:line="1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Weak global economic conditions may cause infringing parties to delay entering into licensing agreements, which could prolong our litigation and adversely affect our financial condition and operating results.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plan depends significantly on worldwide economic conditions, and the United States and world economies have recently experienced weak economic conditions. Uncertainty about global economic conditions poses a risk as businesses may postpone spending in response to tighter credit, negative financial news and declines in income or asset values. This response could have a material negative effect on the willingness of parties infringing on our assets to enter into licensing or other revenue generating agreements voluntarily. Entering into such agreements is critical to our business plan, and our failure to do so could cause material harm to our business.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exercise of a substantial number of warrants or options by our security holders may have an adverse effect on the market price of our common stock.</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Should our warrants outstanding as of October 24, 2014, be exercised, there would be an additional 17,423,851 shares of common stock eligible for trading in the public market. In addition, we currently have incentive equity instruments outstanding to purchase 10,089,595 shares of our common stock granted to our management, employees, directors and consultants. Certain options granted to officers, directors and certain key employees are subject to acceleration of vesting of 75% and 100% (according to the agreement signed with each grantee), upon a subsequent change of control. Certain options granted in prior years that are outstanding have exercise prices that are below recent market prices. Such securities, if exercised, will increase the number of issued and outstanding shares of our common stock. Therefore, the sale, or even the possibility of sale, of the shares of common stock underlying the warrants and options could have an adverse effect on the market price for our securities and/or on our ability to obtain future financing.</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Future sales of our shares of common stock by our stockholders could cause the market price of our common stock to drop significantly, even if our business is otherwise performing well.</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October 24, 2014, we had 93,175,380 shares of common stock issued and outstanding, excluding shares of common stock issuable upon exercise of warrants, options or restricted stock units (“RSU”). As shares saleable under Rule 144 are sold or as restrictions on resale lapse, the market price of our common stock could drop significantly, if the holders of restricted shares sell them, or are perceived by the market as intending to sell them. This decline in our stock price could occur even if our business is otherwise performing well.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company stock prices are especially volatile, and this volatility may depress the price of our common stock.</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stock market has experienced significant price and volume fluctuations, and the market prices of technology companies have been highly volatile. We believe that various factors may cause the market price of our common stock to fluctuate, perhaps substantially, including, among others, the following:</w:t>
      </w:r>
    </w:p>
    <w:p>
      <w:pPr>
        <w:spacing w:after="0" w:line="124" w:lineRule="exact"/>
        <w:rPr>
          <w:sz w:val="20"/>
          <w:szCs w:val="20"/>
          <w:color w:val="auto"/>
        </w:rPr>
      </w:pPr>
    </w:p>
    <w:p>
      <w:pPr>
        <w:ind w:left="1720" w:hanging="564"/>
        <w:spacing w:after="0"/>
        <w:tabs>
          <w:tab w:leader="none" w:pos="1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developments or disputes concerning our patents;</w:t>
      </w:r>
    </w:p>
    <w:p>
      <w:pPr>
        <w:spacing w:after="0" w:line="23" w:lineRule="exact"/>
        <w:rPr>
          <w:rFonts w:ascii="Arial" w:cs="Arial" w:eastAsia="Arial" w:hAnsi="Arial"/>
          <w:sz w:val="18"/>
          <w:szCs w:val="18"/>
          <w:color w:val="auto"/>
        </w:rPr>
      </w:pPr>
    </w:p>
    <w:p>
      <w:pPr>
        <w:ind w:left="1720" w:hanging="564"/>
        <w:spacing w:after="0"/>
        <w:tabs>
          <w:tab w:leader="none" w:pos="1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of developments in our patent enforcement actions;</w:t>
      </w:r>
    </w:p>
    <w:p>
      <w:pPr>
        <w:spacing w:after="0" w:line="9" w:lineRule="exact"/>
        <w:rPr>
          <w:rFonts w:ascii="Arial" w:cs="Arial" w:eastAsia="Arial" w:hAnsi="Arial"/>
          <w:sz w:val="18"/>
          <w:szCs w:val="18"/>
          <w:color w:val="auto"/>
        </w:rPr>
      </w:pPr>
    </w:p>
    <w:p>
      <w:pPr>
        <w:ind w:left="1720" w:hanging="564"/>
        <w:spacing w:after="0"/>
        <w:tabs>
          <w:tab w:leader="none" w:pos="1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additions to or departures of our key personnel;</w:t>
      </w:r>
    </w:p>
    <w:p>
      <w:pPr>
        <w:spacing w:after="0" w:line="9" w:lineRule="exact"/>
        <w:rPr>
          <w:rFonts w:ascii="Arial" w:cs="Arial" w:eastAsia="Arial" w:hAnsi="Arial"/>
          <w:sz w:val="18"/>
          <w:szCs w:val="18"/>
          <w:color w:val="auto"/>
        </w:rPr>
      </w:pPr>
    </w:p>
    <w:p>
      <w:pPr>
        <w:ind w:left="1720" w:hanging="564"/>
        <w:spacing w:after="0"/>
        <w:tabs>
          <w:tab w:leader="none" w:pos="1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9" w:lineRule="exact"/>
        <w:rPr>
          <w:rFonts w:ascii="Arial" w:cs="Arial" w:eastAsia="Arial" w:hAnsi="Arial"/>
          <w:sz w:val="18"/>
          <w:szCs w:val="18"/>
          <w:color w:val="auto"/>
        </w:rPr>
      </w:pPr>
    </w:p>
    <w:p>
      <w:pPr>
        <w:ind w:left="1720" w:right="520" w:hanging="564"/>
        <w:spacing w:after="0" w:line="250" w:lineRule="auto"/>
        <w:tabs>
          <w:tab w:leader="none" w:pos="1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acquisitions, strategic partnerships, capital commitments, new technologies, or patents;</w:t>
      </w:r>
    </w:p>
    <w:p>
      <w:pPr>
        <w:ind w:left="1720" w:hanging="564"/>
        <w:spacing w:after="0"/>
        <w:tabs>
          <w:tab w:leader="none" w:pos="1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9" w:lineRule="exact"/>
        <w:rPr>
          <w:rFonts w:ascii="Arial" w:cs="Arial" w:eastAsia="Arial" w:hAnsi="Arial"/>
          <w:sz w:val="18"/>
          <w:szCs w:val="18"/>
          <w:color w:val="auto"/>
        </w:rPr>
      </w:pPr>
    </w:p>
    <w:p>
      <w:pPr>
        <w:ind w:left="1720" w:hanging="564"/>
        <w:spacing w:after="0"/>
        <w:tabs>
          <w:tab w:leader="none" w:pos="1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 and</w:t>
      </w:r>
    </w:p>
    <w:p>
      <w:pPr>
        <w:spacing w:after="0" w:line="9" w:lineRule="exact"/>
        <w:rPr>
          <w:rFonts w:ascii="Arial" w:cs="Arial" w:eastAsia="Arial" w:hAnsi="Arial"/>
          <w:sz w:val="18"/>
          <w:szCs w:val="18"/>
          <w:color w:val="auto"/>
        </w:rPr>
      </w:pPr>
    </w:p>
    <w:p>
      <w:pPr>
        <w:ind w:left="1720" w:hanging="564"/>
        <w:spacing w:after="0"/>
        <w:tabs>
          <w:tab w:leader="none" w:pos="1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market prices of the securities of technology companies have been highly volatile and are likely to remain highly volatile in the future. The stock market as a whole also has experienced extreme price and volume fluctuations that have affected the market price of many technology companies in ways that may have been unrelated to these companies' operating performance. Furthermore, we believe that fluctuations in our stock price can also be impacted by court rulings and/or other developments in our patent licensing and enforcement actions and stock price may reflect certain future growth and profitability expectations. If we fail to meet these expectations then our stock price may significantly decline which could have an adverse impact on investor confidence.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raise capital through equity or equity-linked transactions may be limited.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for us to raise capital privately through equity or equity-linked transactions, stockholder approval is required to enable us to issue more than 19.99% of our outstanding shares of common stock pursuant to the rules and regulations of the NASDAQ Capital Market. Should stockholders not approve such issuances, one means to raise capital would be through debt, which could have a material adverse effect on our consolidated balance sheet and overall financial condition.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0" w:name="page41"/>
    <w:bookmarkEnd w:id="40"/>
    <w:p>
      <w:pPr>
        <w:jc w:val="both"/>
        <w:spacing w:after="0" w:line="282" w:lineRule="auto"/>
        <w:rPr>
          <w:sz w:val="20"/>
          <w:szCs w:val="20"/>
          <w:color w:val="auto"/>
        </w:rPr>
      </w:pPr>
      <w:r>
        <w:rPr>
          <w:rFonts w:ascii="Arial" w:cs="Arial" w:eastAsia="Arial" w:hAnsi="Arial"/>
          <w:sz w:val="18"/>
          <w:szCs w:val="18"/>
          <w:b w:val="1"/>
          <w:bCs w:val="1"/>
          <w:color w:val="auto"/>
        </w:rPr>
        <w:t>We may not be able to raise additional capital. Moreover, additional financing may have an adverse effect on the value of the equity instruments held by our stockholders.</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choose to raise additional funds in connection with any potential acquisition of patent portfolios or other intellectual property assets or operating businesses. In addition, we may also need additional funds to respond to business opportunities and challenges, including our ongoing operating expenses, protection of our assets, development of new lines of business and enhancement of our operating infrastructure. While we will need to seek additional funding, we may not be able to obtain financing on acceptable terms, or at all. In addition, the terms of our financings may be dilutive to, or otherwise adversely affect, holders of our common stock. We may also seek additional funds through arrangements with collaborators or other third parties. We may not be able to negotiate arrangements on acceptable terms, if at all. If we are unable to obtain additional funding on a timely basis, we may be required to curtail or terminate some or all of our business plans. Any such financing that we undertake will likely be dilutive to our current stockholders.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ind w:left="30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18"/>
                <w:szCs w:val="18"/>
                <w:color w:val="auto"/>
              </w:rPr>
            </w:pPr>
          </w:p>
        </w:tc>
        <w:tc>
          <w:tcPr>
            <w:tcW w:w="10160" w:type="dxa"/>
            <w:vAlign w:val="bottom"/>
          </w:tcPr>
          <w:p>
            <w:pPr>
              <w:spacing w:after="0"/>
              <w:rPr>
                <w:sz w:val="18"/>
                <w:szCs w:val="18"/>
                <w:color w:val="auto"/>
              </w:rPr>
            </w:pPr>
          </w:p>
        </w:tc>
      </w:tr>
      <w:tr>
        <w:trPr>
          <w:trHeight w:val="234"/>
        </w:trPr>
        <w:tc>
          <w:tcPr>
            <w:tcW w:w="116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No.</w:t>
            </w:r>
          </w:p>
        </w:tc>
        <w:tc>
          <w:tcPr>
            <w:tcW w:w="100" w:type="dxa"/>
            <w:vAlign w:val="bottom"/>
          </w:tcPr>
          <w:p>
            <w:pPr>
              <w:spacing w:after="0"/>
              <w:rPr>
                <w:sz w:val="20"/>
                <w:szCs w:val="20"/>
                <w:color w:val="auto"/>
              </w:rPr>
            </w:pPr>
          </w:p>
        </w:tc>
        <w:tc>
          <w:tcPr>
            <w:tcW w:w="10160" w:type="dxa"/>
            <w:vAlign w:val="bottom"/>
            <w:tcBorders>
              <w:bottom w:val="single" w:sz="8" w:color="auto"/>
            </w:tcBorders>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Certification of Principal Executive Officer pursuant to Exchange Act, Rules 13a – 14(a) and 15d – 14(a), as adopted pursuant to Section</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302 of the Sarbanes-Oxley Act of 2002.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1"/>
              </w:rPr>
              <w:t>Certification of Principal Financial Officer pursuant to Exchange Act Rules 13a – 14(a) and 15d – 14(a), as adopted pursuant to Section 302</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of the Sarbanes-Oxley Act of 2002.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4"/>
              </w:rPr>
              <w:t>Certifications of Principal Executive Officer and Principal Financial Officer Pursuant to 18 U.S.C. Section 1350, as adopted pursuant to</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Section 906 of the Sarbanes-Oxley Act of 2002.</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Instance Document</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ind w:left="1260" w:hanging="1252"/>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260" w:hanging="1252"/>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Furnished herein.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the 4th day of November 2014.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VRINGO, INC.</w:t>
            </w:r>
          </w:p>
        </w:tc>
        <w:tc>
          <w:tcPr>
            <w:tcW w:w="8360" w:type="dxa"/>
            <w:vAlign w:val="bottom"/>
          </w:tcPr>
          <w:p>
            <w:pPr>
              <w:spacing w:after="0"/>
              <w:rPr>
                <w:sz w:val="20"/>
                <w:szCs w:val="20"/>
                <w:color w:val="auto"/>
              </w:rPr>
            </w:pPr>
          </w:p>
        </w:tc>
      </w:tr>
      <w:tr>
        <w:trPr>
          <w:trHeight w:val="432"/>
        </w:trPr>
        <w:tc>
          <w:tcPr>
            <w:tcW w:w="3060" w:type="dxa"/>
            <w:vAlign w:val="bottom"/>
            <w:gridSpan w:val="2"/>
          </w:tcPr>
          <w:p>
            <w:pPr>
              <w:spacing w:after="0"/>
              <w:rPr>
                <w:sz w:val="20"/>
                <w:szCs w:val="20"/>
                <w:color w:val="auto"/>
              </w:rPr>
            </w:pPr>
            <w:r>
              <w:rPr>
                <w:rFonts w:ascii="Arial" w:cs="Arial" w:eastAsia="Arial" w:hAnsi="Arial"/>
                <w:sz w:val="18"/>
                <w:szCs w:val="18"/>
                <w:color w:val="auto"/>
              </w:rPr>
              <w:t>By:</w:t>
            </w:r>
          </w:p>
        </w:tc>
        <w:tc>
          <w:tcPr>
            <w:tcW w:w="8360" w:type="dxa"/>
            <w:vAlign w:val="bottom"/>
          </w:tcPr>
          <w:p>
            <w:pPr>
              <w:jc w:val="center"/>
              <w:ind w:right="1810"/>
              <w:spacing w:after="0"/>
              <w:rPr>
                <w:sz w:val="20"/>
                <w:szCs w:val="20"/>
                <w:color w:val="auto"/>
              </w:rPr>
            </w:pPr>
            <w:r>
              <w:rPr>
                <w:rFonts w:ascii="Arial" w:cs="Arial" w:eastAsia="Arial" w:hAnsi="Arial"/>
                <w:sz w:val="18"/>
                <w:szCs w:val="18"/>
                <w:color w:val="auto"/>
              </w:rPr>
              <w:t>/s/  ANASTASIA NYRKOVSKAYA</w:t>
            </w:r>
          </w:p>
        </w:tc>
      </w:tr>
      <w:tr>
        <w:trPr>
          <w:trHeight w:val="191"/>
        </w:trPr>
        <w:tc>
          <w:tcPr>
            <w:tcW w:w="1160" w:type="dxa"/>
            <w:vAlign w:val="bottom"/>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8360" w:type="dxa"/>
            <w:vAlign w:val="bottom"/>
            <w:tcBorders>
              <w:top w:val="single" w:sz="8" w:color="auto"/>
            </w:tcBorders>
          </w:tcPr>
          <w:p>
            <w:pPr>
              <w:jc w:val="center"/>
              <w:ind w:right="1810"/>
              <w:spacing w:after="0" w:line="191" w:lineRule="exact"/>
              <w:rPr>
                <w:sz w:val="20"/>
                <w:szCs w:val="20"/>
                <w:color w:val="auto"/>
              </w:rPr>
            </w:pPr>
            <w:r>
              <w:rPr>
                <w:rFonts w:ascii="Arial" w:cs="Arial" w:eastAsia="Arial" w:hAnsi="Arial"/>
                <w:sz w:val="18"/>
                <w:szCs w:val="18"/>
                <w:b w:val="1"/>
                <w:bCs w:val="1"/>
                <w:color w:val="auto"/>
                <w:w w:val="90"/>
              </w:rPr>
              <w:t>Anastasia Nyrkovskaya</w:t>
            </w:r>
          </w:p>
        </w:tc>
      </w:tr>
      <w:tr>
        <w:trPr>
          <w:trHeight w:val="216"/>
        </w:trPr>
        <w:tc>
          <w:tcPr>
            <w:tcW w:w="1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360" w:type="dxa"/>
            <w:vAlign w:val="bottom"/>
          </w:tcPr>
          <w:p>
            <w:pPr>
              <w:jc w:val="center"/>
              <w:ind w:right="1810"/>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11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360" w:type="dxa"/>
            <w:vAlign w:val="bottom"/>
          </w:tcPr>
          <w:p>
            <w:pPr>
              <w:jc w:val="center"/>
              <w:ind w:right="1810"/>
              <w:spacing w:after="0"/>
              <w:rPr>
                <w:sz w:val="20"/>
                <w:szCs w:val="20"/>
                <w:color w:val="auto"/>
              </w:rPr>
            </w:pPr>
            <w:r>
              <w:rPr>
                <w:rFonts w:ascii="Arial" w:cs="Arial" w:eastAsia="Arial" w:hAnsi="Arial"/>
                <w:sz w:val="18"/>
                <w:szCs w:val="18"/>
                <w:b w:val="1"/>
                <w:bCs w:val="1"/>
                <w:color w:val="auto"/>
                <w:w w:val="93"/>
              </w:rPr>
              <w:t>(Principal Financial Officer)</w:t>
            </w:r>
          </w:p>
        </w:tc>
      </w:tr>
      <w:tr>
        <w:trPr>
          <w:trHeight w:val="648"/>
        </w:trPr>
        <w:tc>
          <w:tcPr>
            <w:tcW w:w="1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tcPr>
          <w:p>
            <w:pPr>
              <w:jc w:val="right"/>
              <w:ind w:right="5530"/>
              <w:spacing w:after="0"/>
              <w:rPr>
                <w:sz w:val="20"/>
                <w:szCs w:val="20"/>
                <w:color w:val="auto"/>
              </w:rPr>
            </w:pPr>
            <w:r>
              <w:rPr>
                <w:rFonts w:ascii="Arial" w:cs="Arial" w:eastAsia="Arial" w:hAnsi="Arial"/>
                <w:sz w:val="18"/>
                <w:szCs w:val="18"/>
                <w:color w:val="auto"/>
              </w:rPr>
              <w:t>42</w:t>
            </w:r>
          </w:p>
        </w:tc>
      </w:tr>
    </w:tbl>
    <w:p>
      <w:pPr>
        <w:sectPr>
          <w:pgSz w:w="11900" w:h="16838" w:orient="portrait"/>
          <w:cols w:equalWidth="0" w:num="1">
            <w:col w:w="11420"/>
          </w:cols>
          <w:pgMar w:left="240" w:top="877"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D. Perlman, certify that:</w:t>
      </w:r>
    </w:p>
    <w:p>
      <w:pPr>
        <w:spacing w:after="0" w:line="225"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Vringo,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4" w:lineRule="auto"/>
        <w:tabs>
          <w:tab w:leader="none" w:pos="1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0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4, 2014</w:t>
      </w:r>
    </w:p>
    <w:p>
      <w:pPr>
        <w:spacing w:after="0" w:line="225" w:lineRule="exact"/>
        <w:rPr>
          <w:sz w:val="20"/>
          <w:szCs w:val="20"/>
          <w:color w:val="auto"/>
        </w:rPr>
      </w:pPr>
    </w:p>
    <w:p>
      <w:pPr>
        <w:ind w:left="4400"/>
        <w:spacing w:after="0"/>
        <w:tabs>
          <w:tab w:leader="none" w:pos="47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D. PERLMAN</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Anastasia Nyrkovskaya, certify that:</w:t>
      </w:r>
    </w:p>
    <w:p>
      <w:pPr>
        <w:spacing w:after="0" w:line="225"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Vringo,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4" w:lineRule="auto"/>
        <w:tabs>
          <w:tab w:leader="none" w:pos="1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8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4, 2014</w:t>
      </w:r>
    </w:p>
    <w:p>
      <w:pPr>
        <w:spacing w:after="0" w:line="225" w:lineRule="exact"/>
        <w:rPr>
          <w:sz w:val="20"/>
          <w:szCs w:val="20"/>
          <w:color w:val="auto"/>
        </w:rPr>
      </w:pPr>
    </w:p>
    <w:p>
      <w:pPr>
        <w:ind w:left="4340"/>
        <w:spacing w:after="0"/>
        <w:tabs>
          <w:tab w:leader="none" w:pos="46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ANASTASIA NYRKOVSKAYA</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PERSUANT SECTION 906 OF THE SARBANES-OXLEY ACT OF 2002</w:t>
      </w:r>
    </w:p>
    <w:p>
      <w:pPr>
        <w:spacing w:after="0" w:line="21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Vringo, Inc., a Delaware corporation (the “Company”), does hereby certify, to such officer’s knowledge, that:</w:t>
      </w:r>
    </w:p>
    <w:p>
      <w:pPr>
        <w:spacing w:after="0" w:line="14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Quarterly Report for the quarter ended September 30, 2014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2014</w:t>
      </w:r>
    </w:p>
    <w:p>
      <w:pPr>
        <w:spacing w:after="0" w:line="225" w:lineRule="exact"/>
        <w:rPr>
          <w:sz w:val="20"/>
          <w:szCs w:val="20"/>
          <w:color w:val="auto"/>
        </w:rPr>
      </w:pPr>
    </w:p>
    <w:p>
      <w:pPr>
        <w:ind w:left="4400"/>
        <w:spacing w:after="0"/>
        <w:tabs>
          <w:tab w:leader="none" w:pos="47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D. PERLMAN</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2014</w:t>
      </w:r>
    </w:p>
    <w:p>
      <w:pPr>
        <w:spacing w:after="0" w:line="225" w:lineRule="exact"/>
        <w:rPr>
          <w:sz w:val="20"/>
          <w:szCs w:val="20"/>
          <w:color w:val="auto"/>
        </w:rPr>
      </w:pPr>
    </w:p>
    <w:p>
      <w:pPr>
        <w:ind w:left="4340"/>
        <w:spacing w:after="0"/>
        <w:tabs>
          <w:tab w:leader="none" w:pos="46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ANASTASIA NYRKOVSKAYA</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Anastasia Nyrkovskaya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lowerLetter"/>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decimal"/>
      <w:start w:val="5"/>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decimal"/>
      <w:start w:val="5"/>
    </w:lvl>
  </w:abstractNum>
  <w:abstractNum w:abstractNumId="22">
    <w:nsid w:val="2D1D5A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2019-12-07T16:59:39Z</dcterms:created>
  <dcterms:modified xsi:type="dcterms:W3CDTF">2019-12-07T16:59:39Z</dcterms:modified>
</cp:coreProperties>
</file>