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March 19, 2021</w:t>
      </w:r>
    </w:p>
    <w:p>
      <w:pPr>
        <w:spacing w:after="0" w:line="50" w:lineRule="exact"/>
        <w:rPr>
          <w:sz w:val="24"/>
          <w:szCs w:val="24"/>
          <w:color w:val="auto"/>
        </w:rPr>
      </w:pPr>
    </w:p>
    <w:p>
      <w:pPr>
        <w:ind w:left="9180"/>
        <w:spacing w:after="0"/>
        <w:rPr>
          <w:sz w:val="20"/>
          <w:szCs w:val="20"/>
          <w:color w:val="auto"/>
        </w:rPr>
      </w:pPr>
      <w:r>
        <w:rPr>
          <w:rFonts w:ascii="Arial" w:cs="Arial" w:eastAsia="Arial" w:hAnsi="Arial"/>
          <w:sz w:val="16"/>
          <w:szCs w:val="16"/>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472" w:right="339" w:bottom="559" w:gutter="0" w:footer="0" w:header="0"/>
        </w:sectPr>
      </w:pPr>
    </w:p>
    <w:p>
      <w:pPr>
        <w:spacing w:after="0" w:line="138"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7"/>
          <w:szCs w:val="17"/>
          <w:color w:val="auto"/>
        </w:rPr>
        <w:t>(I.R.S. Employer Identification No.)</w:t>
      </w:r>
    </w:p>
    <w:p>
      <w:pPr>
        <w:spacing w:after="0" w:line="151" w:lineRule="exact"/>
        <w:rPr>
          <w:sz w:val="24"/>
          <w:szCs w:val="24"/>
          <w:color w:val="auto"/>
        </w:rPr>
      </w:pPr>
    </w:p>
    <w:p>
      <w:pPr>
        <w:sectPr>
          <w:pgSz w:w="11900" w:h="16838" w:orient="portrait"/>
          <w:cols w:equalWidth="0" w:num="2">
            <w:col w:w="6680" w:space="720"/>
            <w:col w:w="3840"/>
          </w:cols>
          <w:pgMar w:left="320" w:top="472" w:right="339" w:bottom="559"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254 West 31st Street, 11th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XpresSpa Group, Inc. 2020 Equity Incentive Plan</w:t>
      </w:r>
    </w:p>
    <w:p>
      <w:pPr>
        <w:spacing w:after="0" w:line="34"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(Full title of the plans)</w:t>
      </w:r>
    </w:p>
    <w:p>
      <w:pPr>
        <w:spacing w:after="0" w:line="138"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Douglas Satzman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XpresSpa Group,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254 West 31st Street, 11th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Copies to: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Robert J. Endicott,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Kenneth L. Henderson,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Bryan Cave Leighton Paisner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211 North Broadway, Suite 3600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St. Louis, Missouri 63102-2750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(314) 259-2000</w:t>
      </w:r>
    </w:p>
    <w:p>
      <w:pPr>
        <w:spacing w:after="0" w:line="143"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72" w:right="339" w:bottom="559" w:gutter="0" w:footer="0" w:header="0"/>
          <w:type w:val="continuous"/>
        </w:sectPr>
      </w:pPr>
    </w:p>
    <w:p>
      <w:pPr>
        <w:spacing w:after="0" w:line="8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5" w:lineRule="exact"/>
        <w:rPr>
          <w:sz w:val="24"/>
          <w:szCs w:val="24"/>
          <w:color w:val="auto"/>
        </w:rPr>
      </w:pPr>
    </w:p>
    <w:p>
      <w:pPr>
        <w:sectPr>
          <w:pgSz w:w="11900" w:h="16838" w:orient="portrait"/>
          <w:cols w:equalWidth="0" w:num="2">
            <w:col w:w="5020" w:space="720"/>
            <w:col w:w="5500"/>
          </w:cols>
          <w:pgMar w:left="320" w:top="472" w:right="339" w:bottom="559" w:gutter="0" w:footer="0" w:header="0"/>
          <w:type w:val="continuous"/>
        </w:sect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80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Proposed maximum</w:t>
            </w:r>
          </w:p>
        </w:tc>
        <w:tc>
          <w:tcPr>
            <w:tcW w:w="27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r>
      <w:tr>
        <w:trPr>
          <w:trHeight w:val="216"/>
        </w:trPr>
        <w:tc>
          <w:tcPr>
            <w:tcW w:w="2800" w:type="dxa"/>
            <w:vAlign w:val="bottom"/>
          </w:tcPr>
          <w:p>
            <w:pPr>
              <w:jc w:val="center"/>
              <w:ind w:left="50"/>
              <w:spacing w:after="0"/>
              <w:rPr>
                <w:sz w:val="20"/>
                <w:szCs w:val="20"/>
                <w:color w:val="auto"/>
              </w:rPr>
            </w:pPr>
            <w:r>
              <w:rPr>
                <w:rFonts w:ascii="Arial" w:cs="Arial" w:eastAsia="Arial" w:hAnsi="Arial"/>
                <w:sz w:val="18"/>
                <w:szCs w:val="18"/>
                <w:color w:val="auto"/>
                <w:w w:val="93"/>
              </w:rPr>
              <w:t>Title of securities</w:t>
            </w:r>
          </w:p>
        </w:tc>
        <w:tc>
          <w:tcPr>
            <w:tcW w:w="2120" w:type="dxa"/>
            <w:vAlign w:val="bottom"/>
          </w:tcPr>
          <w:p>
            <w:pPr>
              <w:jc w:val="center"/>
              <w:spacing w:after="0"/>
              <w:rPr>
                <w:sz w:val="20"/>
                <w:szCs w:val="20"/>
                <w:color w:val="auto"/>
              </w:rPr>
            </w:pPr>
            <w:r>
              <w:rPr>
                <w:rFonts w:ascii="Arial" w:cs="Arial" w:eastAsia="Arial" w:hAnsi="Arial"/>
                <w:sz w:val="18"/>
                <w:szCs w:val="18"/>
                <w:color w:val="auto"/>
                <w:w w:val="95"/>
              </w:rPr>
              <w:t>Amount to</w:t>
            </w:r>
          </w:p>
        </w:tc>
        <w:tc>
          <w:tcPr>
            <w:tcW w:w="2000" w:type="dxa"/>
            <w:vAlign w:val="bottom"/>
          </w:tcPr>
          <w:p>
            <w:pPr>
              <w:jc w:val="center"/>
              <w:spacing w:after="0"/>
              <w:rPr>
                <w:sz w:val="20"/>
                <w:szCs w:val="20"/>
                <w:color w:val="auto"/>
              </w:rPr>
            </w:pPr>
            <w:r>
              <w:rPr>
                <w:rFonts w:ascii="Arial" w:cs="Arial" w:eastAsia="Arial" w:hAnsi="Arial"/>
                <w:sz w:val="18"/>
                <w:szCs w:val="18"/>
                <w:color w:val="auto"/>
                <w:w w:val="93"/>
              </w:rPr>
              <w:t>offering</w:t>
            </w: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Proposed maximum aggregate</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Amount of</w:t>
            </w:r>
          </w:p>
        </w:tc>
      </w:tr>
      <w:tr>
        <w:trPr>
          <w:trHeight w:val="230"/>
        </w:trPr>
        <w:tc>
          <w:tcPr>
            <w:tcW w:w="28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7"/>
              </w:rPr>
              <w:t>to be registered</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be registered (1)</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price per share</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offering price</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registration fee</w:t>
            </w:r>
          </w:p>
        </w:tc>
      </w:tr>
      <w:tr>
        <w:trPr>
          <w:trHeight w:val="216"/>
        </w:trPr>
        <w:tc>
          <w:tcPr>
            <w:tcW w:w="28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Common Stock, $0.01 par value</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5,705,239 shares (2)</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$2.07 (3)</w:t>
            </w: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$11,809,844.73 (3)</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$1,288.46</w:t>
            </w:r>
          </w:p>
        </w:tc>
      </w:tr>
    </w:tbl>
    <w:p>
      <w:pPr>
        <w:spacing w:after="0" w:line="26" w:lineRule="exact"/>
        <w:rPr>
          <w:sz w:val="24"/>
          <w:szCs w:val="24"/>
          <w:color w:val="auto"/>
        </w:rPr>
      </w:pPr>
    </w:p>
    <w:p>
      <w:pPr>
        <w:ind w:left="420" w:right="40" w:hanging="412"/>
        <w:spacing w:after="0" w:line="254"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of the Securities Act of 1933, as amended (the “Securities Act”), this Registration Statement shall also cover an indeterminate number of additional shares of the Registrant’s common stock, par value $0.01 per share (the “Common Stock”), that becomes issuable under the XpresSpa Group, Inc. 2020 Equity Incentive Plan by reason of any stock splits, stock dividends, recapitalization or other similar transactions.</w:t>
      </w:r>
    </w:p>
    <w:p>
      <w:pPr>
        <w:spacing w:after="0" w:line="2" w:lineRule="exact"/>
        <w:rPr>
          <w:rFonts w:ascii="Arial" w:cs="Arial" w:eastAsia="Arial" w:hAnsi="Arial"/>
          <w:sz w:val="18"/>
          <w:szCs w:val="18"/>
          <w:color w:val="auto"/>
        </w:rPr>
      </w:pPr>
    </w:p>
    <w:p>
      <w:pPr>
        <w:ind w:left="420" w:hanging="412"/>
        <w:spacing w:after="0" w:line="281" w:lineRule="auto"/>
        <w:tabs>
          <w:tab w:leader="none" w:pos="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(i) 5,000,000 shares of Common Stock (the “2020 Share Reserve”) reserved for issuance under the XpresSpa Group, Inc. 2020 Equity Incentive Plan (the “2020 Plan”), plus (ii) shares that are subject to awards issued under the 2012 Employee, Director and Consultant Equity Incentive Plan on the effective date of the 2020 Plan (the “2012 Plan”), that on or after the effective date of the 2020 Plan cease to be subject to such awards due to the forfeiture, expiration or settlement in cash of such awards or the reacquisition of such awards by the registrant. The number of shares of Common Stock registered by this registration statement has been determined for purposes of calculating the amount of the registration fee and reflects the maximum number of shares underlying awards issued pursuant to the 2012 Plan that could be added to the 2020 Share Reserve and issued under the 2020 Plan, subject to adjustment as set forth in the 2020 Plan. However, the actual number of shares to be issued under the 2020 Plan may be significantly less than the reported amount depending on, among other variables, the actual number of recycled 2012 Plan shares.</w:t>
      </w:r>
    </w:p>
    <w:p>
      <w:pPr>
        <w:spacing w:after="0" w:line="4" w:lineRule="exact"/>
        <w:rPr>
          <w:rFonts w:ascii="Arial" w:cs="Arial" w:eastAsia="Arial" w:hAnsi="Arial"/>
          <w:sz w:val="16"/>
          <w:szCs w:val="16"/>
          <w:color w:val="auto"/>
        </w:rPr>
      </w:pPr>
    </w:p>
    <w:p>
      <w:pPr>
        <w:ind w:left="420" w:right="540" w:hanging="412"/>
        <w:spacing w:after="0" w:line="323" w:lineRule="auto"/>
        <w:tabs>
          <w:tab w:leader="none" w:pos="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457(c) and (h) under the Securities Act and based upon the average of the high and low prices of the Company’s Common Stock as reported by the Nasdaq Stock Market LLC on March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559"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At the 2020 Annual Meeting of Stockholders of XpresSpa Group, Inc. (the “Registrant”) held on October 28, 2020, the Registrant’s stockholders approved and adopted the XpresSpa Group, Inc. 2020 Equity Incentive Plan (the “2020 Plan”), which authorizes the issuance of 5,000,000 shares of the Registrant’s common stock, par value $0.01 per share (the “Common Stock”), plus shares of Common Stock subject to outstanding awards made under the 2012 Employee, Director and Consultant Equity Incentive Plan, as amended (the “2012 Plan”), that on or after the effective date of the 2020 Plan may be forfeited, settled in cash or cancelled or expire or are reacquired by the Registrant. By this Registration Statement, the Registrant hereby registers 705,239 shares of Common Stock, which reflects the maximum shares of Common Stock underlying awards issued pursuant to the 2012 Plan that could be issued under the 2020 Plan, subject to adjustment as set forth in the 2020 Plan. The actual number of shares to be issued under the 2020 Plan may be significantly less than the maximum amount depending on, among other variables, the actual number of recycled 2012 Plan shares.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As permitted by the rules of the Securities Exchange Commission (“SEC”), this Registration Statement omits the information specified in Part I of Form S-8. The documents containing the information specified in Part I of this Registration Statement will be sent or given to eligible employees as specified by Rule 428(b) promulgated under the Securities Act. Such documents are not being filed with the SEC either as part of this Registration Statement or as prospectuses or prospectus supplements pursuant to Rule 424 promulgated under the Securities Act.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following documents listed in (a) through (e) below, which are on file with the SEC, are incorporated herein by reference (except for the portions of the Company’s Current Reports on Form 8-K furnished pursuant to Item 2.02 or Item 7.01 thereof or otherwise not filed with the SEC which are deemed not to be incorporated by reference into this Registration Statement):</w:t>
      </w:r>
    </w:p>
    <w:p>
      <w:pPr>
        <w:spacing w:after="0" w:line="184" w:lineRule="exact"/>
        <w:rPr>
          <w:sz w:val="20"/>
          <w:szCs w:val="20"/>
          <w:color w:val="auto"/>
        </w:rPr>
      </w:pPr>
    </w:p>
    <w:p>
      <w:pPr>
        <w:ind w:left="1300" w:right="4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Form 10-K for the year ended December 31, 2019, filed with the SEC on </w:t>
      </w:r>
      <w:hyperlink r:id="rId13">
        <w:r>
          <w:rPr>
            <w:rFonts w:ascii="Arial" w:cs="Arial" w:eastAsia="Arial" w:hAnsi="Arial"/>
            <w:sz w:val="18"/>
            <w:szCs w:val="18"/>
            <w:u w:val="single" w:color="auto"/>
            <w:color w:val="0000EE"/>
          </w:rPr>
          <w:t>April 20, 2020</w:t>
        </w:r>
      </w:hyperlink>
      <w:r>
        <w:rPr>
          <w:rFonts w:ascii="Arial" w:cs="Arial" w:eastAsia="Arial" w:hAnsi="Arial"/>
          <w:sz w:val="18"/>
          <w:szCs w:val="18"/>
          <w:color w:val="auto"/>
        </w:rPr>
        <w:t xml:space="preserve">, as amended on </w:t>
      </w:r>
      <w:hyperlink r:id="rId14">
        <w:r>
          <w:rPr>
            <w:rFonts w:ascii="Arial" w:cs="Arial" w:eastAsia="Arial" w:hAnsi="Arial"/>
            <w:sz w:val="18"/>
            <w:szCs w:val="18"/>
            <w:u w:val="single" w:color="auto"/>
            <w:color w:val="0000EE"/>
          </w:rPr>
          <w:t>May 19,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5">
        <w:r>
          <w:rPr>
            <w:rFonts w:ascii="Arial" w:cs="Arial" w:eastAsia="Arial" w:hAnsi="Arial"/>
            <w:sz w:val="18"/>
            <w:szCs w:val="18"/>
            <w:u w:val="single" w:color="auto"/>
            <w:color w:val="0000EE"/>
          </w:rPr>
          <w:t>June 15,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001-34785);</w:t>
      </w:r>
    </w:p>
    <w:p>
      <w:pPr>
        <w:spacing w:after="0" w:line="170" w:lineRule="exact"/>
        <w:rPr>
          <w:rFonts w:ascii="Arial" w:cs="Arial" w:eastAsia="Arial" w:hAnsi="Arial"/>
          <w:sz w:val="18"/>
          <w:szCs w:val="18"/>
          <w:color w:val="auto"/>
        </w:rPr>
      </w:pPr>
    </w:p>
    <w:p>
      <w:pPr>
        <w:ind w:left="1300" w:right="60" w:hanging="644"/>
        <w:spacing w:after="0" w:line="342" w:lineRule="auto"/>
        <w:tabs>
          <w:tab w:leader="none" w:pos="1300" w:val="left"/>
        </w:tabs>
        <w:numPr>
          <w:ilvl w:val="0"/>
          <w:numId w:val="2"/>
        </w:numPr>
        <w:rPr>
          <w:rFonts w:ascii="Arial" w:cs="Arial" w:eastAsia="Arial" w:hAnsi="Arial"/>
          <w:sz w:val="16"/>
          <w:szCs w:val="16"/>
          <w:color w:val="0000EE"/>
        </w:rPr>
      </w:pPr>
      <w:hyperlink r:id="rId16">
        <w:r>
          <w:rPr>
            <w:rFonts w:ascii="Arial" w:cs="Arial" w:eastAsia="Arial" w:hAnsi="Arial"/>
            <w:sz w:val="16"/>
            <w:szCs w:val="16"/>
            <w:color w:val="auto"/>
          </w:rPr>
          <w:t xml:space="preserve">The Registrant’s Quarterly Reports on Form 10-Q for the quarters ended </w:t>
        </w:r>
        <w:r>
          <w:rPr>
            <w:rFonts w:ascii="Arial" w:cs="Arial" w:eastAsia="Arial" w:hAnsi="Arial"/>
            <w:sz w:val="16"/>
            <w:szCs w:val="16"/>
            <w:u w:val="single" w:color="auto"/>
            <w:color w:val="0000EE"/>
          </w:rPr>
          <w:t>March 31, 2020, filed with the SEC on July 6, 2020</w:t>
        </w:r>
        <w:r>
          <w:rPr>
            <w:rFonts w:ascii="Arial" w:cs="Arial" w:eastAsia="Arial" w:hAnsi="Arial"/>
            <w:sz w:val="16"/>
            <w:szCs w:val="16"/>
            <w:color w:val="auto"/>
          </w:rPr>
          <w:t xml:space="preserve">, </w:t>
        </w:r>
        <w:r>
          <w:rPr>
            <w:rFonts w:ascii="Arial" w:cs="Arial" w:eastAsia="Arial" w:hAnsi="Arial"/>
            <w:sz w:val="16"/>
            <w:szCs w:val="16"/>
            <w:u w:val="single" w:color="auto"/>
            <w:color w:val="0000EE"/>
          </w:rPr>
          <w:t>June 30,</w:t>
        </w:r>
      </w:hyperlink>
      <w:r>
        <w:rPr>
          <w:rFonts w:ascii="Arial" w:cs="Arial" w:eastAsia="Arial" w:hAnsi="Arial"/>
          <w:sz w:val="16"/>
          <w:szCs w:val="16"/>
          <w:color w:val="auto"/>
        </w:rPr>
        <w:t xml:space="preserve"> </w:t>
      </w:r>
      <w:hyperlink r:id="rId16">
        <w:r>
          <w:rPr>
            <w:rFonts w:ascii="Arial" w:cs="Arial" w:eastAsia="Arial" w:hAnsi="Arial"/>
            <w:sz w:val="16"/>
            <w:szCs w:val="16"/>
            <w:u w:val="single" w:color="auto"/>
            <w:color w:val="0000EE"/>
          </w:rPr>
          <w:t>2020, filed with the SEC on August 19, 2020</w:t>
        </w:r>
        <w:r>
          <w:rPr>
            <w:rFonts w:ascii="Arial" w:cs="Arial" w:eastAsia="Arial" w:hAnsi="Arial"/>
            <w:sz w:val="16"/>
            <w:szCs w:val="16"/>
            <w:color w:val="000000"/>
          </w:rPr>
          <w:t>, and</w:t>
        </w:r>
        <w:r>
          <w:rPr>
            <w:rFonts w:ascii="Arial" w:cs="Arial" w:eastAsia="Arial" w:hAnsi="Arial"/>
            <w:sz w:val="16"/>
            <w:szCs w:val="16"/>
            <w:color w:val="0000EE"/>
          </w:rPr>
          <w:t xml:space="preserve"> </w:t>
        </w:r>
      </w:hyperlink>
      <w:hyperlink r:id="rId17">
        <w:r>
          <w:rPr>
            <w:rFonts w:ascii="Arial" w:cs="Arial" w:eastAsia="Arial" w:hAnsi="Arial"/>
            <w:sz w:val="16"/>
            <w:szCs w:val="16"/>
            <w:u w:val="single" w:color="auto"/>
            <w:color w:val="0000EE"/>
          </w:rPr>
          <w:t xml:space="preserve">September 30, 2020, filed with the SEC on November 16, 2020 </w:t>
        </w:r>
      </w:hyperlink>
      <w:hyperlink r:id="rId16">
        <w:r>
          <w:rPr>
            <w:rFonts w:ascii="Arial" w:cs="Arial" w:eastAsia="Arial" w:hAnsi="Arial"/>
            <w:sz w:val="16"/>
            <w:szCs w:val="16"/>
            <w:color w:val="000000"/>
          </w:rPr>
          <w:t>(File No. 001-34785);</w:t>
        </w:r>
      </w:hyperlink>
    </w:p>
    <w:p>
      <w:pPr>
        <w:spacing w:after="0" w:line="340" w:lineRule="exact"/>
        <w:rPr>
          <w:rFonts w:ascii="Arial" w:cs="Arial" w:eastAsia="Arial" w:hAnsi="Arial"/>
          <w:sz w:val="16"/>
          <w:szCs w:val="16"/>
          <w:color w:val="0000EE"/>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rFonts w:ascii="Arial" w:cs="Arial" w:eastAsia="Arial" w:hAnsi="Arial"/>
          <w:sz w:val="16"/>
          <w:szCs w:val="16"/>
          <w:color w:val="0000EE"/>
        </w:rPr>
      </w:pPr>
      <w:r>
        <w:rPr>
          <w:rFonts w:ascii="Arial" w:cs="Arial" w:eastAsia="Arial" w:hAnsi="Arial"/>
          <w:sz w:val="16"/>
          <w:szCs w:val="16"/>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ind w:left="1300" w:hanging="644"/>
        <w:spacing w:after="0" w:line="255" w:lineRule="auto"/>
        <w:tabs>
          <w:tab w:leader="none" w:pos="1300" w:val="left"/>
        </w:tabs>
        <w:numPr>
          <w:ilvl w:val="0"/>
          <w:numId w:val="3"/>
        </w:numPr>
        <w:rPr>
          <w:rFonts w:ascii="Arial" w:cs="Arial" w:eastAsia="Arial" w:hAnsi="Arial"/>
          <w:sz w:val="18"/>
          <w:szCs w:val="18"/>
          <w:color w:val="0000EE"/>
        </w:rPr>
      </w:pPr>
      <w:hyperlink r:id="rId19">
        <w:r>
          <w:rPr>
            <w:rFonts w:ascii="Arial" w:cs="Arial" w:eastAsia="Arial" w:hAnsi="Arial"/>
            <w:sz w:val="18"/>
            <w:szCs w:val="18"/>
            <w:color w:val="auto"/>
          </w:rPr>
          <w:t xml:space="preserve">The Registrant’s Current Reports on Form 8-K filed with the SEC on </w:t>
        </w:r>
        <w:r>
          <w:rPr>
            <w:rFonts w:ascii="Arial" w:cs="Arial" w:eastAsia="Arial" w:hAnsi="Arial"/>
            <w:sz w:val="18"/>
            <w:szCs w:val="18"/>
            <w:u w:val="single" w:color="auto"/>
            <w:color w:val="0000EE"/>
          </w:rPr>
          <w:t>January 3,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14,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3,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6,</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EE"/>
          </w:rPr>
          <w:t>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March 19,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March 26,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March 30, 2020 </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two filings</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April 6,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April 7,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April 17,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April 24,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April</w:t>
        </w:r>
      </w:hyperlink>
      <w:r>
        <w:rPr>
          <w:rFonts w:ascii="Arial" w:cs="Arial" w:eastAsia="Arial" w:hAnsi="Arial"/>
          <w:sz w:val="18"/>
          <w:szCs w:val="18"/>
          <w:u w:val="single" w:color="auto"/>
          <w:color w:val="0000EE"/>
        </w:rPr>
        <w:t xml:space="preserve"> </w:t>
      </w:r>
      <w:hyperlink r:id="rId21">
        <w:r>
          <w:rPr>
            <w:rFonts w:ascii="Arial" w:cs="Arial" w:eastAsia="Arial" w:hAnsi="Arial"/>
            <w:sz w:val="18"/>
            <w:szCs w:val="18"/>
            <w:u w:val="single" w:color="auto"/>
            <w:color w:val="0000EE"/>
          </w:rPr>
          <w:t>28, 2020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May 6,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May 7,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May 11,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May 22,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May 29,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June 4,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June 10,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June 17,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August</w:t>
        </w:r>
      </w:hyperlink>
      <w:r>
        <w:rPr>
          <w:rFonts w:ascii="Arial" w:cs="Arial" w:eastAsia="Arial" w:hAnsi="Arial"/>
          <w:sz w:val="18"/>
          <w:szCs w:val="18"/>
          <w:u w:val="single" w:color="auto"/>
          <w:color w:val="0000EE"/>
        </w:rPr>
        <w:t xml:space="preserve"> </w:t>
      </w:r>
      <w:hyperlink r:id="rId21">
        <w:r>
          <w:rPr>
            <w:rFonts w:ascii="Arial" w:cs="Arial" w:eastAsia="Arial" w:hAnsi="Arial"/>
            <w:sz w:val="18"/>
            <w:szCs w:val="18"/>
            <w:u w:val="single" w:color="auto"/>
            <w:color w:val="0000EE"/>
          </w:rPr>
          <w:t>11, 2020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2">
        <w:r>
          <w:rPr>
            <w:rFonts w:ascii="Arial" w:cs="Arial" w:eastAsia="Arial" w:hAnsi="Arial"/>
            <w:sz w:val="18"/>
            <w:szCs w:val="18"/>
            <w:u w:val="single" w:color="auto"/>
            <w:color w:val="0000EE"/>
          </w:rPr>
          <w:t>August 13, 2020</w:t>
        </w:r>
      </w:hyperlink>
      <w:hyperlink r:id="rId21">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3">
        <w:r>
          <w:rPr>
            <w:rFonts w:ascii="Arial" w:cs="Arial" w:eastAsia="Arial" w:hAnsi="Arial"/>
            <w:sz w:val="18"/>
            <w:szCs w:val="18"/>
            <w:u w:val="single" w:color="auto"/>
            <w:color w:val="0000EE"/>
          </w:rPr>
          <w:t>August 26, 2020</w:t>
        </w:r>
      </w:hyperlink>
      <w:hyperlink r:id="rId21">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4">
        <w:r>
          <w:rPr>
            <w:rFonts w:ascii="Arial" w:cs="Arial" w:eastAsia="Arial" w:hAnsi="Arial"/>
            <w:sz w:val="18"/>
            <w:szCs w:val="18"/>
            <w:u w:val="single" w:color="auto"/>
            <w:color w:val="0000EE"/>
          </w:rPr>
          <w:t>August 28, 2020</w:t>
        </w:r>
      </w:hyperlink>
      <w:hyperlink r:id="rId21">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5">
        <w:r>
          <w:rPr>
            <w:rFonts w:ascii="Arial" w:cs="Arial" w:eastAsia="Arial" w:hAnsi="Arial"/>
            <w:sz w:val="18"/>
            <w:szCs w:val="18"/>
            <w:u w:val="single" w:color="auto"/>
            <w:color w:val="0000EE"/>
          </w:rPr>
          <w:t>September 28, 2020</w:t>
        </w:r>
      </w:hyperlink>
      <w:hyperlink r:id="rId21">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6">
        <w:r>
          <w:rPr>
            <w:rFonts w:ascii="Arial" w:cs="Arial" w:eastAsia="Arial" w:hAnsi="Arial"/>
            <w:sz w:val="18"/>
            <w:szCs w:val="18"/>
            <w:u w:val="single" w:color="auto"/>
            <w:color w:val="0000EE"/>
          </w:rPr>
          <w:t>October 6, 2020</w:t>
        </w:r>
      </w:hyperlink>
      <w:hyperlink r:id="rId21">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7">
        <w:r>
          <w:rPr>
            <w:rFonts w:ascii="Arial" w:cs="Arial" w:eastAsia="Arial" w:hAnsi="Arial"/>
            <w:sz w:val="18"/>
            <w:szCs w:val="18"/>
            <w:u w:val="single" w:color="auto"/>
            <w:color w:val="0000EE"/>
          </w:rPr>
          <w:t>October 9, 2020</w:t>
        </w:r>
      </w:hyperlink>
      <w:hyperlink r:id="rId21">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8">
        <w:r>
          <w:rPr>
            <w:rFonts w:ascii="Arial" w:cs="Arial" w:eastAsia="Arial" w:hAnsi="Arial"/>
            <w:sz w:val="18"/>
            <w:szCs w:val="18"/>
            <w:u w:val="single" w:color="auto"/>
            <w:color w:val="0000EE"/>
          </w:rPr>
          <w:t>October 26,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9">
        <w:r>
          <w:rPr>
            <w:rFonts w:ascii="Arial" w:cs="Arial" w:eastAsia="Arial" w:hAnsi="Arial"/>
            <w:sz w:val="18"/>
            <w:szCs w:val="18"/>
            <w:u w:val="single" w:color="auto"/>
            <w:color w:val="0000EE"/>
          </w:rPr>
          <w:t>October 28,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0">
        <w:r>
          <w:rPr>
            <w:rFonts w:ascii="Arial" w:cs="Arial" w:eastAsia="Arial" w:hAnsi="Arial"/>
            <w:sz w:val="18"/>
            <w:szCs w:val="18"/>
            <w:u w:val="single" w:color="auto"/>
            <w:color w:val="0000EE"/>
          </w:rPr>
          <w:t>October 30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1">
        <w:r>
          <w:rPr>
            <w:rFonts w:ascii="Arial" w:cs="Arial" w:eastAsia="Arial" w:hAnsi="Arial"/>
            <w:sz w:val="18"/>
            <w:szCs w:val="18"/>
            <w:u w:val="single" w:color="auto"/>
            <w:color w:val="0000EE"/>
          </w:rPr>
          <w:t>December 4,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2">
        <w:r>
          <w:rPr>
            <w:rFonts w:ascii="Arial" w:cs="Arial" w:eastAsia="Arial" w:hAnsi="Arial"/>
            <w:sz w:val="18"/>
            <w:szCs w:val="18"/>
            <w:u w:val="single" w:color="auto"/>
            <w:color w:val="0000EE"/>
          </w:rPr>
          <w:t xml:space="preserve">December 17, 2020 </w:t>
        </w:r>
      </w:hyperlink>
      <w:r>
        <w:rPr>
          <w:rFonts w:ascii="Arial" w:cs="Arial" w:eastAsia="Arial" w:hAnsi="Arial"/>
          <w:sz w:val="18"/>
          <w:szCs w:val="18"/>
          <w:color w:val="000000"/>
        </w:rPr>
        <w:t>(</w:t>
      </w:r>
      <w:hyperlink r:id="rId33">
        <w:r>
          <w:rPr>
            <w:rFonts w:ascii="Arial" w:cs="Arial" w:eastAsia="Arial" w:hAnsi="Arial"/>
            <w:sz w:val="18"/>
            <w:szCs w:val="18"/>
            <w:u w:val="single" w:color="auto"/>
            <w:color w:val="0000EE"/>
          </w:rPr>
          <w:t>two filings</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4">
        <w:r>
          <w:rPr>
            <w:rFonts w:ascii="Arial" w:cs="Arial" w:eastAsia="Arial" w:hAnsi="Arial"/>
            <w:sz w:val="18"/>
            <w:szCs w:val="18"/>
            <w:u w:val="single" w:color="auto"/>
            <w:color w:val="0000EE"/>
          </w:rPr>
          <w:t xml:space="preserve">December 21, 2020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35">
        <w:r>
          <w:rPr>
            <w:rFonts w:ascii="Arial" w:cs="Arial" w:eastAsia="Arial" w:hAnsi="Arial"/>
            <w:sz w:val="18"/>
            <w:szCs w:val="18"/>
            <w:u w:val="single" w:color="auto"/>
            <w:color w:val="0000EE"/>
          </w:rPr>
          <w:t xml:space="preserve">January 22, 2021 </w:t>
        </w:r>
      </w:hyperlink>
      <w:r>
        <w:rPr>
          <w:rFonts w:ascii="Arial" w:cs="Arial" w:eastAsia="Arial" w:hAnsi="Arial"/>
          <w:sz w:val="18"/>
          <w:szCs w:val="18"/>
          <w:color w:val="000000"/>
        </w:rPr>
        <w:t>(File</w:t>
      </w:r>
      <w:r>
        <w:rPr>
          <w:rFonts w:ascii="Arial" w:cs="Arial" w:eastAsia="Arial" w:hAnsi="Arial"/>
          <w:sz w:val="18"/>
          <w:szCs w:val="18"/>
          <w:color w:val="0000EE"/>
        </w:rPr>
        <w:t xml:space="preserve"> </w:t>
      </w:r>
      <w:r>
        <w:rPr>
          <w:rFonts w:ascii="Arial" w:cs="Arial" w:eastAsia="Arial" w:hAnsi="Arial"/>
          <w:sz w:val="18"/>
          <w:szCs w:val="18"/>
          <w:color w:val="000000"/>
        </w:rPr>
        <w:t>No.</w:t>
      </w:r>
      <w:r>
        <w:rPr>
          <w:rFonts w:ascii="Arial" w:cs="Arial" w:eastAsia="Arial" w:hAnsi="Arial"/>
          <w:sz w:val="18"/>
          <w:szCs w:val="18"/>
          <w:color w:val="0000EE"/>
        </w:rPr>
        <w:t xml:space="preserve"> </w:t>
      </w:r>
      <w:r>
        <w:rPr>
          <w:rFonts w:ascii="Arial" w:cs="Arial" w:eastAsia="Arial" w:hAnsi="Arial"/>
          <w:sz w:val="18"/>
          <w:szCs w:val="18"/>
          <w:color w:val="000000"/>
        </w:rPr>
        <w:t>001-34785); and</w:t>
      </w:r>
    </w:p>
    <w:p>
      <w:pPr>
        <w:spacing w:after="0" w:line="192" w:lineRule="exact"/>
        <w:rPr>
          <w:rFonts w:ascii="Arial" w:cs="Arial" w:eastAsia="Arial" w:hAnsi="Arial"/>
          <w:sz w:val="18"/>
          <w:szCs w:val="18"/>
          <w:color w:val="0000EE"/>
        </w:rPr>
      </w:pPr>
    </w:p>
    <w:p>
      <w:pPr>
        <w:jc w:val="both"/>
        <w:ind w:left="1300" w:right="260" w:hanging="644"/>
        <w:spacing w:after="0" w:line="263" w:lineRule="auto"/>
        <w:tabs>
          <w:tab w:leader="none" w:pos="1300" w:val="left"/>
        </w:tabs>
        <w:numPr>
          <w:ilvl w:val="0"/>
          <w:numId w:val="3"/>
        </w:numPr>
        <w:rPr>
          <w:rFonts w:ascii="Arial" w:cs="Arial" w:eastAsia="Arial" w:hAnsi="Arial"/>
          <w:sz w:val="18"/>
          <w:szCs w:val="18"/>
          <w:color w:val="0000EE"/>
        </w:rPr>
      </w:pPr>
      <w:r>
        <w:rPr>
          <w:rFonts w:ascii="Arial" w:cs="Arial" w:eastAsia="Arial" w:hAnsi="Arial"/>
          <w:sz w:val="18"/>
          <w:szCs w:val="18"/>
          <w:color w:val="auto"/>
        </w:rPr>
        <w:t xml:space="preserve">The description of our securities contained in our Registration Statement on Form 8-A filed on </w:t>
      </w:r>
      <w:hyperlink r:id="rId36">
        <w:r>
          <w:rPr>
            <w:rFonts w:ascii="Arial" w:cs="Arial" w:eastAsia="Arial" w:hAnsi="Arial"/>
            <w:sz w:val="18"/>
            <w:szCs w:val="18"/>
            <w:u w:val="single" w:color="auto"/>
            <w:color w:val="0000EE"/>
          </w:rPr>
          <w:t>March 21, 2016 (File No. 001-34785)</w:t>
        </w:r>
      </w:hyperlink>
      <w:r>
        <w:rPr>
          <w:rFonts w:ascii="Arial" w:cs="Arial" w:eastAsia="Arial" w:hAnsi="Arial"/>
          <w:sz w:val="18"/>
          <w:szCs w:val="18"/>
          <w:color w:val="auto"/>
        </w:rPr>
        <w:t xml:space="preserve">, </w:t>
      </w:r>
      <w:hyperlink r:id="rId37">
        <w:r>
          <w:rPr>
            <w:rFonts w:ascii="Arial" w:cs="Arial" w:eastAsia="Arial" w:hAnsi="Arial"/>
            <w:sz w:val="18"/>
            <w:szCs w:val="18"/>
            <w:u w:val="single" w:color="auto"/>
            <w:color w:val="0000EE"/>
          </w:rPr>
          <w:t>April 29, 2013 (File No. 001-34785)</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38">
        <w:r>
          <w:rPr>
            <w:rFonts w:ascii="Arial" w:cs="Arial" w:eastAsia="Arial" w:hAnsi="Arial"/>
            <w:sz w:val="18"/>
            <w:szCs w:val="18"/>
            <w:u w:val="single" w:color="auto"/>
            <w:color w:val="0000EE"/>
          </w:rPr>
          <w:t>June 16, 2010 (File No. 001-34785)</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pursuant to Section 12(b) of the Exchange Act, and any</w:t>
      </w:r>
      <w:r>
        <w:rPr>
          <w:rFonts w:ascii="Arial" w:cs="Arial" w:eastAsia="Arial" w:hAnsi="Arial"/>
          <w:sz w:val="18"/>
          <w:szCs w:val="18"/>
          <w:color w:val="0000EE"/>
        </w:rPr>
        <w:t xml:space="preserve"> </w:t>
      </w:r>
      <w:r>
        <w:rPr>
          <w:rFonts w:ascii="Arial" w:cs="Arial" w:eastAsia="Arial" w:hAnsi="Arial"/>
          <w:sz w:val="18"/>
          <w:szCs w:val="18"/>
          <w:color w:val="000000"/>
        </w:rPr>
        <w:t>amendment or report filed with the SEC for purposes of updating such description.</w:t>
      </w:r>
    </w:p>
    <w:p>
      <w:pPr>
        <w:spacing w:after="0" w:line="184" w:lineRule="exact"/>
        <w:rPr>
          <w:rFonts w:ascii="Arial" w:cs="Arial" w:eastAsia="Arial" w:hAnsi="Arial"/>
          <w:sz w:val="18"/>
          <w:szCs w:val="18"/>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all documents subsequently filed by the Registrant with the SEC pursuant to Sections 13(a), 13(c), 14 and 15(d) of the Exchange Act (other than those made pursuant to Item 2.02 or Item 7.01 of Form 8-K or other information “furnished” to the Commission)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of such documents. These documents include periodic reports, such as Proxy Statements, Annual Reports on Form 10-K, Quarterly Reports on Form 10-Q and Current Reports on Form 8-K (other than the portions of those documents not deemed to be filed, which is deemed not to be incorporated by reference in this Registration Statement). Any statement contained in a document incorporated or deemed to be incorporated herein by reference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w:t>
      </w:r>
    </w:p>
    <w:p>
      <w:pPr>
        <w:spacing w:after="0" w:line="17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7"/>
          <w:szCs w:val="17"/>
          <w:color w:val="auto"/>
        </w:rPr>
        <w:t>The securities to be offered are registered under Section 12 of the Exchange Act and, accordingly, no description is provided hereunder.</w:t>
      </w:r>
    </w:p>
    <w:p>
      <w:pPr>
        <w:spacing w:after="0" w:line="23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Subsection (a) of Section 145 of the General Corporation Law of Delaware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66"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Court of Chancery or such other court shall deem proper.</w:t>
      </w:r>
    </w:p>
    <w:p>
      <w:pPr>
        <w:spacing w:after="0" w:line="165"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Section 145 of the DGCL further provides that to the extent a director, officer, employee or agent of a corporation has been successful on the merits or otherwise in the defense of any action, suit or proceeding referred to in subsections (a) and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177" w:lineRule="exact"/>
        <w:rPr>
          <w:sz w:val="20"/>
          <w:szCs w:val="20"/>
          <w:color w:val="auto"/>
        </w:rPr>
      </w:pPr>
    </w:p>
    <w:p>
      <w:pPr>
        <w:ind w:right="60" w:firstLine="441"/>
        <w:spacing w:after="0" w:line="275" w:lineRule="auto"/>
        <w:rPr>
          <w:sz w:val="20"/>
          <w:szCs w:val="20"/>
          <w:color w:val="auto"/>
        </w:rPr>
      </w:pPr>
      <w:r>
        <w:rPr>
          <w:rFonts w:ascii="Arial" w:cs="Arial" w:eastAsia="Arial" w:hAnsi="Arial"/>
          <w:sz w:val="17"/>
          <w:szCs w:val="17"/>
          <w:color w:val="auto"/>
        </w:rPr>
        <w:t>Reference is also made to Section 102(b)(7) of the DGCL, which enables a corporation in its certificate of incorporation to eliminate or limit the personal liability of a director for monetary damages for violations of a director’s fiduciary duty, except for liability (i) for any breach of the director’s duty of loyalty to the corporation or its stockholders, (ii) for acts or omissions not in good faith or which involve intentional misconduct or a knowing violation of law, (iii) under Section 174 of the DGCL (providing for liability of directors for unlawful payment of dividends or unlawful stock purchases or redemptions) or (iv) for any transaction from which the director derived an improper personal benefit.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right="40" w:firstLine="441"/>
        <w:spacing w:after="0" w:line="255" w:lineRule="auto"/>
        <w:rPr>
          <w:sz w:val="20"/>
          <w:szCs w:val="20"/>
          <w:color w:val="auto"/>
        </w:rPr>
      </w:pPr>
      <w:r>
        <w:rPr>
          <w:rFonts w:ascii="Arial" w:cs="Arial" w:eastAsia="Arial" w:hAnsi="Arial"/>
          <w:sz w:val="18"/>
          <w:szCs w:val="18"/>
          <w:color w:val="auto"/>
        </w:rPr>
        <w:t>Our certificate of incorporation, as amended, provides that a director shall not be personally liable to the Company or its stockholders for monetary damages for breach of fiduciary duty as a director, except for liability (i) for any breach of his or her duty of loyalty to the Company or its stockholders, (ii) for acts or omissions not in good faith or which involve intentional misconduct or a knowing violation of the law, (under Section 174 of the DGCL or (iv) for any transaction from which the director derives an improper personal benefit. Article V of our amended and restated by-laws provides that we shall indemnify our directors and officers, or former directors and officers, against any and all expenses and liabilities, to the fullest extent permitted by the DGCL.</w:t>
      </w:r>
    </w:p>
    <w:p>
      <w:pPr>
        <w:spacing w:after="0" w:line="192"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We have entered into agreements to indemnify our directors and officers. These agreements, among other things, will indemnify and advance expenses to our directors and officers for all expenses, including, but not limited to, attorney’s fees, witness fees, damages, judgments, fines and settlement amounts incurred by any such person in any action or proceeding, including any action by us arising out of such person’s services as our director or officer, or any other company or enterprise to which the person provides services at our request.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herewith or incorporated by reference into this registration statement on Form S-8.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w:t>
            </w:r>
          </w:p>
        </w:tc>
        <w:tc>
          <w:tcPr>
            <w:tcW w:w="22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Number</w:t>
            </w:r>
          </w:p>
        </w:tc>
        <w:tc>
          <w:tcPr>
            <w:tcW w:w="9880" w:type="dxa"/>
            <w:vAlign w:val="bottom"/>
            <w:gridSpan w:val="3"/>
          </w:tcPr>
          <w:p>
            <w:pPr>
              <w:spacing w:after="0"/>
              <w:rPr>
                <w:sz w:val="20"/>
                <w:szCs w:val="20"/>
                <w:color w:val="auto"/>
              </w:rPr>
            </w:pPr>
            <w:r>
              <w:rPr>
                <w:rFonts w:ascii="Arial" w:cs="Arial" w:eastAsia="Arial" w:hAnsi="Arial"/>
                <w:sz w:val="18"/>
                <w:szCs w:val="18"/>
                <w:b w:val="1"/>
                <w:bCs w:val="1"/>
                <w:color w:val="auto"/>
              </w:rPr>
              <w:t>Exhibit Description</w:t>
            </w:r>
          </w:p>
        </w:tc>
      </w:tr>
      <w:tr>
        <w:trPr>
          <w:trHeight w:val="195"/>
        </w:trPr>
        <w:tc>
          <w:tcPr>
            <w:tcW w:w="1140" w:type="dxa"/>
            <w:vAlign w:val="bottom"/>
            <w:tcBorders>
              <w:top w:val="single" w:sz="8" w:color="auto"/>
            </w:tcBorders>
          </w:tcPr>
          <w:p>
            <w:pPr>
              <w:jc w:val="center"/>
              <w:spacing w:after="0" w:line="195" w:lineRule="exact"/>
              <w:rPr>
                <w:rFonts w:ascii="Arial" w:cs="Arial" w:eastAsia="Arial" w:hAnsi="Arial"/>
                <w:sz w:val="18"/>
                <w:szCs w:val="18"/>
                <w:u w:val="single" w:color="auto"/>
                <w:color w:val="0000EE"/>
                <w:w w:val="87"/>
              </w:rPr>
            </w:pPr>
            <w:hyperlink w:anchor="page8">
              <w:r>
                <w:rPr>
                  <w:rFonts w:ascii="Arial" w:cs="Arial" w:eastAsia="Arial" w:hAnsi="Arial"/>
                  <w:sz w:val="18"/>
                  <w:szCs w:val="18"/>
                  <w:u w:val="single" w:color="auto"/>
                  <w:color w:val="0000EE"/>
                  <w:w w:val="87"/>
                </w:rPr>
                <w:t>5.1</w:t>
              </w:r>
            </w:hyperlink>
          </w:p>
        </w:tc>
        <w:tc>
          <w:tcPr>
            <w:tcW w:w="220" w:type="dxa"/>
            <w:vAlign w:val="bottom"/>
          </w:tcPr>
          <w:p>
            <w:pPr>
              <w:spacing w:after="0"/>
              <w:rPr>
                <w:sz w:val="16"/>
                <w:szCs w:val="16"/>
                <w:color w:val="auto"/>
              </w:rPr>
            </w:pPr>
          </w:p>
        </w:tc>
        <w:tc>
          <w:tcPr>
            <w:tcW w:w="9880" w:type="dxa"/>
            <w:vAlign w:val="bottom"/>
            <w:tcBorders>
              <w:top w:val="single" w:sz="8" w:color="auto"/>
            </w:tcBorders>
            <w:gridSpan w:val="3"/>
          </w:tcPr>
          <w:p>
            <w:pPr>
              <w:spacing w:after="0" w:line="195" w:lineRule="exact"/>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Opinion of Bryan Cave Leighton Paisner LLP</w:t>
              </w:r>
            </w:hyperlink>
          </w:p>
        </w:tc>
      </w:tr>
      <w:tr>
        <w:trPr>
          <w:trHeight w:val="190"/>
        </w:trPr>
        <w:tc>
          <w:tcPr>
            <w:tcW w:w="1140" w:type="dxa"/>
            <w:vAlign w:val="bottom"/>
          </w:tcPr>
          <w:p>
            <w:pPr>
              <w:jc w:val="center"/>
              <w:spacing w:after="0" w:line="190" w:lineRule="exact"/>
              <w:rPr>
                <w:rFonts w:ascii="Arial" w:cs="Arial" w:eastAsia="Arial" w:hAnsi="Arial"/>
                <w:sz w:val="18"/>
                <w:szCs w:val="18"/>
                <w:u w:val="single" w:color="auto"/>
                <w:color w:val="0000EE"/>
                <w:w w:val="91"/>
              </w:rPr>
            </w:pPr>
            <w:hyperlink r:id="rId41">
              <w:r>
                <w:rPr>
                  <w:rFonts w:ascii="Arial" w:cs="Arial" w:eastAsia="Arial" w:hAnsi="Arial"/>
                  <w:sz w:val="18"/>
                  <w:szCs w:val="18"/>
                  <w:u w:val="single" w:color="auto"/>
                  <w:color w:val="0000EE"/>
                  <w:w w:val="91"/>
                </w:rPr>
                <w:t>10.1</w:t>
              </w:r>
            </w:hyperlink>
          </w:p>
        </w:tc>
        <w:tc>
          <w:tcPr>
            <w:tcW w:w="220" w:type="dxa"/>
            <w:vAlign w:val="bottom"/>
          </w:tcPr>
          <w:p>
            <w:pPr>
              <w:spacing w:after="0"/>
              <w:rPr>
                <w:sz w:val="16"/>
                <w:szCs w:val="16"/>
                <w:color w:val="auto"/>
              </w:rPr>
            </w:pPr>
          </w:p>
        </w:tc>
        <w:tc>
          <w:tcPr>
            <w:tcW w:w="9800" w:type="dxa"/>
            <w:vAlign w:val="bottom"/>
            <w:tcBorders>
              <w:bottom w:val="single" w:sz="8" w:color="0000EE"/>
            </w:tcBorders>
            <w:gridSpan w:val="2"/>
          </w:tcPr>
          <w:p>
            <w:pPr>
              <w:spacing w:after="0" w:line="190" w:lineRule="exact"/>
              <w:rPr>
                <w:rFonts w:ascii="Arial" w:cs="Arial" w:eastAsia="Arial" w:hAnsi="Arial"/>
                <w:sz w:val="18"/>
                <w:szCs w:val="18"/>
                <w:color w:val="0000EE"/>
                <w:w w:val="91"/>
              </w:rPr>
            </w:pPr>
            <w:hyperlink r:id="rId41">
              <w:r>
                <w:rPr>
                  <w:rFonts w:ascii="Arial" w:cs="Arial" w:eastAsia="Arial" w:hAnsi="Arial"/>
                  <w:sz w:val="18"/>
                  <w:szCs w:val="18"/>
                  <w:color w:val="0000EE"/>
                  <w:w w:val="91"/>
                </w:rPr>
                <w:t>XpresSpa Group, Inc. 2020 Equity Incentive Plan (incorporated by reference to Exhibit 10.1 to the Registrant’s Current Report on Form</w:t>
              </w:r>
            </w:hyperlink>
          </w:p>
        </w:tc>
        <w:tc>
          <w:tcPr>
            <w:tcW w:w="80" w:type="dxa"/>
            <w:vAlign w:val="bottom"/>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41">
              <w:r>
                <w:rPr>
                  <w:rFonts w:ascii="Arial" w:cs="Arial" w:eastAsia="Arial" w:hAnsi="Arial"/>
                  <w:sz w:val="18"/>
                  <w:szCs w:val="18"/>
                  <w:color w:val="0000EE"/>
                  <w:w w:val="92"/>
                </w:rPr>
                <w:t>8-K filed on October 30, 2020)</w:t>
              </w:r>
            </w:hyperlink>
          </w:p>
        </w:tc>
        <w:tc>
          <w:tcPr>
            <w:tcW w:w="7640" w:type="dxa"/>
            <w:vAlign w:val="bottom"/>
            <w:gridSpan w:val="2"/>
          </w:tcPr>
          <w:p>
            <w:pPr>
              <w:spacing w:after="0"/>
              <w:rPr>
                <w:sz w:val="17"/>
                <w:szCs w:val="17"/>
                <w:color w:val="auto"/>
              </w:rPr>
            </w:pPr>
          </w:p>
        </w:tc>
      </w:tr>
      <w:tr>
        <w:trPr>
          <w:trHeight w:val="222"/>
        </w:trPr>
        <w:tc>
          <w:tcPr>
            <w:tcW w:w="1140" w:type="dxa"/>
            <w:vAlign w:val="bottom"/>
          </w:tcPr>
          <w:p>
            <w:pPr>
              <w:jc w:val="center"/>
              <w:spacing w:after="0"/>
              <w:rPr>
                <w:rFonts w:ascii="Arial" w:cs="Arial" w:eastAsia="Arial" w:hAnsi="Arial"/>
                <w:sz w:val="18"/>
                <w:szCs w:val="18"/>
                <w:u w:val="single" w:color="auto"/>
                <w:color w:val="0000EE"/>
                <w:w w:val="91"/>
              </w:rPr>
            </w:pPr>
            <w:hyperlink w:anchor="page10">
              <w:r>
                <w:rPr>
                  <w:rFonts w:ascii="Arial" w:cs="Arial" w:eastAsia="Arial" w:hAnsi="Arial"/>
                  <w:sz w:val="18"/>
                  <w:szCs w:val="18"/>
                  <w:u w:val="single" w:color="auto"/>
                  <w:color w:val="0000EE"/>
                  <w:w w:val="91"/>
                </w:rPr>
                <w:t>23.1</w:t>
              </w:r>
            </w:hyperlink>
          </w:p>
        </w:tc>
        <w:tc>
          <w:tcPr>
            <w:tcW w:w="220" w:type="dxa"/>
            <w:vAlign w:val="bottom"/>
          </w:tcPr>
          <w:p>
            <w:pPr>
              <w:spacing w:after="0"/>
              <w:rPr>
                <w:sz w:val="19"/>
                <w:szCs w:val="19"/>
                <w:color w:val="auto"/>
              </w:rPr>
            </w:pPr>
          </w:p>
        </w:tc>
        <w:tc>
          <w:tcPr>
            <w:tcW w:w="9880" w:type="dxa"/>
            <w:vAlign w:val="bottom"/>
            <w:gridSpan w:val="3"/>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Consent of CohnReznick LLP, independent registered public accounting firm</w:t>
              </w:r>
            </w:hyperlink>
          </w:p>
        </w:tc>
      </w:tr>
      <w:tr>
        <w:trPr>
          <w:trHeight w:val="216"/>
        </w:trPr>
        <w:tc>
          <w:tcPr>
            <w:tcW w:w="1140" w:type="dxa"/>
            <w:vAlign w:val="bottom"/>
          </w:tcPr>
          <w:p>
            <w:pPr>
              <w:jc w:val="center"/>
              <w:spacing w:after="0"/>
              <w:rPr>
                <w:rFonts w:ascii="Arial" w:cs="Arial" w:eastAsia="Arial" w:hAnsi="Arial"/>
                <w:sz w:val="18"/>
                <w:szCs w:val="18"/>
                <w:u w:val="single" w:color="auto"/>
                <w:color w:val="0000EE"/>
                <w:w w:val="91"/>
              </w:rPr>
            </w:pPr>
            <w:hyperlink w:anchor="page8">
              <w:r>
                <w:rPr>
                  <w:rFonts w:ascii="Arial" w:cs="Arial" w:eastAsia="Arial" w:hAnsi="Arial"/>
                  <w:sz w:val="18"/>
                  <w:szCs w:val="18"/>
                  <w:u w:val="single" w:color="auto"/>
                  <w:color w:val="0000EE"/>
                  <w:w w:val="91"/>
                </w:rPr>
                <w:t>23.2</w:t>
              </w:r>
            </w:hyperlink>
          </w:p>
        </w:tc>
        <w:tc>
          <w:tcPr>
            <w:tcW w:w="220" w:type="dxa"/>
            <w:vAlign w:val="bottom"/>
          </w:tcPr>
          <w:p>
            <w:pPr>
              <w:spacing w:after="0"/>
              <w:rPr>
                <w:sz w:val="18"/>
                <w:szCs w:val="18"/>
                <w:color w:val="auto"/>
              </w:rPr>
            </w:pPr>
          </w:p>
        </w:tc>
        <w:tc>
          <w:tcPr>
            <w:tcW w:w="9880" w:type="dxa"/>
            <w:vAlign w:val="bottom"/>
            <w:gridSpan w:val="3"/>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Consent of Bryan Cave Leighton Paisner LLP (contained in Exhibit 5.1)</w:t>
              </w:r>
            </w:hyperlink>
          </w:p>
        </w:tc>
      </w:tr>
      <w:tr>
        <w:trPr>
          <w:trHeight w:val="230"/>
        </w:trPr>
        <w:tc>
          <w:tcPr>
            <w:tcW w:w="1140" w:type="dxa"/>
            <w:vAlign w:val="bottom"/>
          </w:tcPr>
          <w:p>
            <w:pPr>
              <w:jc w:val="center"/>
              <w:spacing w:after="0"/>
              <w:rPr>
                <w:rFonts w:ascii="Arial" w:cs="Arial" w:eastAsia="Arial" w:hAnsi="Arial"/>
                <w:sz w:val="18"/>
                <w:szCs w:val="18"/>
                <w:u w:val="single" w:color="auto"/>
                <w:color w:val="0000EE"/>
                <w:w w:val="91"/>
              </w:rPr>
            </w:pPr>
            <w:hyperlink w:anchor="page7">
              <w:r>
                <w:rPr>
                  <w:rFonts w:ascii="Arial" w:cs="Arial" w:eastAsia="Arial" w:hAnsi="Arial"/>
                  <w:sz w:val="18"/>
                  <w:szCs w:val="18"/>
                  <w:u w:val="single" w:color="auto"/>
                  <w:color w:val="0000EE"/>
                  <w:w w:val="91"/>
                </w:rPr>
                <w:t>24.1</w:t>
              </w:r>
            </w:hyperlink>
          </w:p>
        </w:tc>
        <w:tc>
          <w:tcPr>
            <w:tcW w:w="220" w:type="dxa"/>
            <w:vAlign w:val="bottom"/>
          </w:tcPr>
          <w:p>
            <w:pPr>
              <w:spacing w:after="0"/>
              <w:rPr>
                <w:sz w:val="20"/>
                <w:szCs w:val="20"/>
                <w:color w:val="auto"/>
              </w:rPr>
            </w:pPr>
          </w:p>
        </w:tc>
        <w:tc>
          <w:tcPr>
            <w:tcW w:w="988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Power of Attorney (included on signature page)</w:t>
              </w:r>
            </w:hyperlink>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300" w:right="60" w:firstLine="4"/>
        <w:spacing w:after="0" w:line="272" w:lineRule="auto"/>
        <w:tabs>
          <w:tab w:leader="none" w:pos="1565" w:val="left"/>
        </w:tabs>
        <w:numPr>
          <w:ilvl w:val="2"/>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left="1292" w:right="240" w:firstLine="4"/>
        <w:spacing w:after="0" w:line="277" w:lineRule="auto"/>
        <w:tabs>
          <w:tab w:leader="none" w:pos="1607"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652" w:right="6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registrant pursuant to Section 13 and Section 15(d) of the Exchange Act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ind w:left="652" w:right="40" w:hanging="4"/>
        <w:spacing w:after="0" w:line="263" w:lineRule="auto"/>
        <w:tabs>
          <w:tab w:leader="none" w:pos="907"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652" w:right="660" w:hanging="4"/>
        <w:spacing w:after="0" w:line="277" w:lineRule="auto"/>
        <w:tabs>
          <w:tab w:leader="none" w:pos="907"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8" w:right="20" w:firstLine="8"/>
        <w:spacing w:after="0" w:line="301" w:lineRule="auto"/>
        <w:tabs>
          <w:tab w:leader="none" w:pos="24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7" w:lineRule="exact"/>
        <w:rPr>
          <w:rFonts w:ascii="Arial" w:cs="Arial" w:eastAsia="Arial" w:hAnsi="Arial"/>
          <w:sz w:val="16"/>
          <w:szCs w:val="16"/>
          <w:color w:val="auto"/>
        </w:rPr>
      </w:pPr>
    </w:p>
    <w:p>
      <w:pPr>
        <w:ind w:left="-8" w:firstLine="8"/>
        <w:spacing w:after="0" w:line="291" w:lineRule="auto"/>
        <w:tabs>
          <w:tab w:leader="none" w:pos="237"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New York, on March 19, 2021.</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Douglas Saztman</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80" w:firstLine="441"/>
        <w:spacing w:after="0" w:line="284" w:lineRule="auto"/>
        <w:rPr>
          <w:sz w:val="20"/>
          <w:szCs w:val="20"/>
          <w:color w:val="auto"/>
        </w:rPr>
      </w:pPr>
      <w:r>
        <w:rPr>
          <w:rFonts w:ascii="Arial" w:cs="Arial" w:eastAsia="Arial" w:hAnsi="Arial"/>
          <w:sz w:val="16"/>
          <w:szCs w:val="16"/>
          <w:color w:val="auto"/>
        </w:rPr>
        <w:t>KNOW ALL MEN BY THESE PRESENTS, that each of the undersigned directors and officers of XpresSpa Group, Inc. constitutes and appoints Douglas Satzman his or her true and lawful attorney-in-fact and agent, with full powers of substitution and resubstitution, for him or her and in his or her name, place and stead, in any and all capacities, to sign any or all amendments (including post-effective amendments) to this registration statement and to file the same, with all exhibits thereto, and other documents in connection therewith, with the Securities and Exchange Commission, granting unto said attorneys-in-fact and agents, with full power to act alone, full power and authority to do and perform each and every act and thing requisite and necessary to be done in and about the premises, as fully to all intents and purposes as he or she might or could do in person, and hereby ratifying and confirming all that the said attorney-in-fact and agent, or his substitute or substitute, may lawfully do or cause to be done by virtue hereof.</w:t>
      </w:r>
    </w:p>
    <w:p>
      <w:pPr>
        <w:spacing w:after="0" w:line="2" w:lineRule="exact"/>
        <w:rPr>
          <w:sz w:val="20"/>
          <w:szCs w:val="20"/>
          <w:color w:val="auto"/>
        </w:rPr>
      </w:pPr>
    </w:p>
    <w:p>
      <w:pPr>
        <w:ind w:right="640" w:firstLine="441"/>
        <w:spacing w:after="0" w:line="260"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00" w:type="dxa"/>
            <w:vAlign w:val="bottom"/>
          </w:tcPr>
          <w:p>
            <w:pPr>
              <w:spacing w:after="0"/>
              <w:rPr>
                <w:sz w:val="20"/>
                <w:szCs w:val="20"/>
                <w:color w:val="auto"/>
              </w:rPr>
            </w:pPr>
          </w:p>
        </w:tc>
        <w:tc>
          <w:tcPr>
            <w:tcW w:w="4600" w:type="dxa"/>
            <w:vAlign w:val="bottom"/>
            <w:tcBorders>
              <w:bottom w:val="single" w:sz="8" w:color="auto"/>
            </w:tcBorders>
          </w:tcPr>
          <w:p>
            <w:pPr>
              <w:ind w:left="2020"/>
              <w:spacing w:after="0"/>
              <w:rPr>
                <w:sz w:val="20"/>
                <w:szCs w:val="20"/>
                <w:color w:val="auto"/>
              </w:rPr>
            </w:pPr>
            <w:r>
              <w:rPr>
                <w:rFonts w:ascii="Arial" w:cs="Arial" w:eastAsia="Arial" w:hAnsi="Arial"/>
                <w:sz w:val="18"/>
                <w:szCs w:val="18"/>
                <w:b w:val="1"/>
                <w:bCs w:val="1"/>
                <w:color w:val="auto"/>
              </w:rPr>
              <w:t>Title(s)</w:t>
            </w:r>
          </w:p>
        </w:tc>
        <w:tc>
          <w:tcPr>
            <w:tcW w:w="1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5"/>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Douglas Satzman</w:t>
            </w: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and Director )</w:t>
            </w: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March 19, 2021</w:t>
            </w: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88"/>
              </w:rPr>
              <w:t>Douglas Satzman</w:t>
            </w: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c>
          <w:tcPr>
            <w:tcW w:w="2800" w:type="dxa"/>
            <w:vAlign w:val="bottom"/>
          </w:tcPr>
          <w:p>
            <w:pPr>
              <w:spacing w:after="0"/>
              <w:rPr>
                <w:sz w:val="19"/>
                <w:szCs w:val="19"/>
                <w:color w:val="auto"/>
              </w:rPr>
            </w:pPr>
          </w:p>
        </w:tc>
      </w:tr>
      <w:tr>
        <w:trPr>
          <w:trHeight w:val="418"/>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James A. Berry</w:t>
            </w: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March 19, 2021</w:t>
            </w:r>
          </w:p>
        </w:tc>
      </w:tr>
      <w:tr>
        <w:trPr>
          <w:trHeight w:val="224"/>
        </w:trPr>
        <w:tc>
          <w:tcPr>
            <w:tcW w:w="3620" w:type="dxa"/>
            <w:vAlign w:val="bottom"/>
          </w:tcPr>
          <w:p>
            <w:pPr>
              <w:jc w:val="center"/>
              <w:ind w:right="10"/>
              <w:spacing w:after="0"/>
              <w:rPr>
                <w:sz w:val="20"/>
                <w:szCs w:val="20"/>
                <w:color w:val="auto"/>
              </w:rPr>
            </w:pPr>
            <w:r>
              <w:rPr>
                <w:rFonts w:ascii="Arial" w:cs="Arial" w:eastAsia="Arial" w:hAnsi="Arial"/>
                <w:sz w:val="18"/>
                <w:szCs w:val="18"/>
                <w:color w:val="auto"/>
                <w:w w:val="90"/>
              </w:rPr>
              <w:t>James A. Berry</w:t>
            </w: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w w:val="98"/>
              </w:rPr>
              <w:t>(Principal Financial Officer and Principal Accounting Officer)</w:t>
            </w:r>
          </w:p>
        </w:tc>
        <w:tc>
          <w:tcPr>
            <w:tcW w:w="2800" w:type="dxa"/>
            <w:vAlign w:val="bottom"/>
          </w:tcPr>
          <w:p>
            <w:pPr>
              <w:spacing w:after="0"/>
              <w:rPr>
                <w:sz w:val="19"/>
                <w:szCs w:val="19"/>
                <w:color w:val="auto"/>
              </w:rPr>
            </w:pPr>
          </w:p>
        </w:tc>
      </w:tr>
      <w:tr>
        <w:trPr>
          <w:trHeight w:val="445"/>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Bruce T. Bernstein</w:t>
            </w: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Director, Chairman of the Board of Directors</w:t>
            </w: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March 19, 2021</w:t>
            </w: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89"/>
              </w:rPr>
              <w:t>Bruce T. Bernstein</w:t>
            </w:r>
          </w:p>
        </w:tc>
        <w:tc>
          <w:tcPr>
            <w:tcW w:w="1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8"/>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Weinstein</w:t>
            </w: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March 19, 2021</w:t>
            </w: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91"/>
              </w:rPr>
              <w:t>Robert Weinstein</w:t>
            </w:r>
          </w:p>
        </w:tc>
        <w:tc>
          <w:tcPr>
            <w:tcW w:w="1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8"/>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Donald E. Stout</w:t>
            </w: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March 19, 2021</w:t>
            </w: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90"/>
              </w:rPr>
              <w:t>Donald E. Stout</w:t>
            </w:r>
          </w:p>
        </w:tc>
        <w:tc>
          <w:tcPr>
            <w:tcW w:w="1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8"/>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Lebowitz</w:t>
            </w:r>
          </w:p>
        </w:tc>
        <w:tc>
          <w:tcPr>
            <w:tcW w:w="48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March 19, 2021</w:t>
            </w: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94"/>
              </w:rPr>
              <w:t>Michael Lebowitz</w:t>
            </w:r>
          </w:p>
        </w:tc>
        <w:tc>
          <w:tcPr>
            <w:tcW w:w="1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661"/>
        </w:trPr>
        <w:tc>
          <w:tcPr>
            <w:tcW w:w="3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ind w:left="10360"/>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168910</wp:posOffset>
            </wp:positionV>
            <wp:extent cx="2348865" cy="1577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extLst>
                    </a:blip>
                    <a:srcRect/>
                    <a:stretch>
                      <a:fillRect/>
                    </a:stretch>
                  </pic:blipFill>
                  <pic:spPr bwMode="auto">
                    <a:xfrm>
                      <a:off x="0" y="0"/>
                      <a:ext cx="234886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March 19,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254 West 31st Street, 11th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10001</w:t>
      </w:r>
    </w:p>
    <w:p>
      <w:pPr>
        <w:sectPr>
          <w:pgSz w:w="11900" w:h="16838" w:orient="portrait"/>
          <w:cols w:equalWidth="0" w:num="1">
            <w:col w:w="11240"/>
          </w:cols>
          <w:pgMar w:left="320" w:top="337"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Statement on Form S-8</w:t>
      </w:r>
    </w:p>
    <w:p>
      <w:pPr>
        <w:spacing w:after="0" w:line="200" w:lineRule="exact"/>
        <w:rPr>
          <w:sz w:val="20"/>
          <w:szCs w:val="20"/>
          <w:color w:val="auto"/>
        </w:rPr>
      </w:pPr>
    </w:p>
    <w:p>
      <w:pPr>
        <w:sectPr>
          <w:pgSz w:w="11900" w:h="16838" w:orient="portrait"/>
          <w:cols w:equalWidth="0" w:num="2">
            <w:col w:w="280" w:space="380"/>
            <w:col w:w="10580"/>
          </w:cols>
          <w:pgMar w:left="320" w:top="337"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acted as special counsel to XpresSpa Group, Inc., a Delaware corporation (the “Company”), in connection with its registration under the Securities Act of 1933, as amended (the “Securities Act”), by means of a registration statement on Form S-8 (the “Registration Statement”), of an aggregate of 5,705,239 shares of the Company’s common stock, par value $0.01 per share (the “Shares”), which may be issued pursuant to the XpresSpa Group, Inc. 2020 Equity Incentive Plan (the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herewith, we have examined:</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Plan;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the Company, as amended;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Amended and Restated Bylaws of the Company.</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also examined originals or copies, certified or otherwise identified to our satisfaction, of such other corporate records, agreements and instruments of the Company, statements and certificates of public officials and officers of the Company, and such other documents, records and instruments, and we have made such legal and factual inquiries, as we have deemed necessary or appropriate as a basis for us to render the opinions hereinafter expressed. In our examination of the foregoing, we have assumed the genuineness of all signatures, the legal competence and capacity of natural persons, the authenticity of documents submitted to us as originals and the conformity with authentic original documents of all documents submitted to us as copies or by facsimile or other means of electronic transmission, or which we obtained from the Securities and Exchange Commission’s (“SEC”) Electronic Data Gathering, Analysis and Retrieval system (“Edgar”) or other sites maintained by a court or governmental authority or regulatory body and the authenticity of the originals of such latter documents. If any documents we examined in printed, word processed or similar form have been filed with the SEC on Edgar or such court or governmental authority or regulatory body, we have assumed that the document so filed is identical to the document we examined except for formatting changes. When relevant facts were not independently established, we have relied without independent investigation as to matters of fact upon statements of governmental officials and upon representations made in or pursuant to the certificates and statements of appropriate representatives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t>XpresSpa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19,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herewith, we have assumed that, other than with respect to the Company, all of the documents referred to in this opinion letter have been duly authorized by, have been duly executed and delivered by, and constitute the valid, binding and enforceable obligations of, all of the parties to such documents, all of the signatories to such documents have been duly authorized and all such parties are duly organized and validly existing and have the power and authority (corporate or other) to execute, deliver and perform such documents.</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Based upon the foregoing and in reliance thereon, and subject to the assumptions, comments, qualifications, limitations and exceptions set forth herein, we are of the opinion that the Shares have been duly authorized for issuance, and when issued, delivered and paid for in accordance with the Plan, the Shares will be validly issued, fully paid and non-assessable.</w:t>
      </w:r>
    </w:p>
    <w:p>
      <w:pPr>
        <w:spacing w:after="0" w:line="1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This opinion is not rendered with respect to any laws other than the General Corporation Law of the State of Delaware. The opinions set forth herein are made as of the date hereof and are subject to, and may be limited by, future changes in the factual matters set forth herein,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opinion is being delivered by us in connection with the filing of the Registration Statement with the SEC. We do not render any opinions except as set forth above. We hereby consent to the filing of this opinion as Exhibit 5.1 to the Registration Statement and to the use of our name under the caption “Legal Matters” in the prospectus which forms part of the Registration Statement. We also consent to your filing copies of this opinion as an exhibit to the Registration Statement with such agencies of such states as you deem necessary in the course of complying with the laws of such states regarding the offering and sale of the securities addressed herein. In giving such consent, we do not thereby concede that we are within the category of persons whose consent is required under Section 7 of the Securities Act or the rules and regulations of the SEC promulgated thereunder.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BRYAN CAVE LEIGHTON PAISNER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23.1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S-8 pertaining to the XpresSpa Group, Inc. 2020 Equity Incentive Plan, of our report dated April 20, 2020, on our audits of the financial statements of XpresSpa Group, Inc. as of December 31, 2019 and 2018, and for the years then ended, which report appears in the December 31, 2019 Form 10-K of XpresSpa Group, Inc, which includes an explanatory paragraph related to XpresSpa Group, Inc’s ability to continue as a going concern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3"/>
    </w:lvl>
  </w:abstractNum>
  <w:abstractNum w:abstractNumId="3">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2EB141F2"/>
    <w:multiLevelType w:val="hybridMultilevel"/>
    <w:lvl w:ilvl="0">
      <w:lvlJc w:val="left"/>
      <w:lvlText w:val="(%1)"/>
      <w:numFmt w:val="lowerRoman"/>
      <w:start w:val="3"/>
    </w:lvl>
  </w:abstractNum>
  <w:abstractNum w:abstractNumId="5">
    <w:nsid w:val="41B71EFB"/>
    <w:multiLevelType w:val="hybridMultilevel"/>
    <w:lvl w:ilvl="0">
      <w:lvlJc w:val="left"/>
      <w:lvlText w:val="%1"/>
      <w:numFmt w:val="lowerLetter"/>
      <w:start w:val="1"/>
    </w:lvl>
    <w:lvl w:ilvl="1">
      <w:lvlJc w:val="left"/>
      <w:lvlText w:val="(%2)"/>
      <w:numFmt w:val="decimal"/>
      <w:start w:val="2"/>
    </w:lvl>
  </w:abstractNum>
  <w:abstractNum w:abstractNumId="6">
    <w:nsid w:val="79E2A9E3"/>
    <w:multiLevelType w:val="hybridMultilevel"/>
    <w:lvl w:ilvl="0">
      <w:lvlJc w:val="left"/>
      <w:lvlText w:val="(%1)"/>
      <w:numFmt w:val="lowerLetter"/>
      <w:start w:val="2"/>
    </w:lvl>
    <w:lvl w:ilvl="1">
      <w:lvlJc w:val="left"/>
      <w:lvlText w:val="%2"/>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8" Type="http://schemas.openxmlformats.org/officeDocument/2006/relationships/image" Target="media/image6.png"/><Relationship Id="rId39" Type="http://schemas.openxmlformats.org/officeDocument/2006/relationships/image" Target="media/image7.png"/><Relationship Id="rId40" Type="http://schemas.openxmlformats.org/officeDocument/2006/relationships/image" Target="media/image8.png"/><Relationship Id="rId42" Type="http://schemas.openxmlformats.org/officeDocument/2006/relationships/image" Target="media/image9.png"/><Relationship Id="rId43" Type="http://schemas.openxmlformats.org/officeDocument/2006/relationships/image" Target="media/image10.png"/><Relationship Id="rId44" Type="http://schemas.openxmlformats.org/officeDocument/2006/relationships/image" Target="media/image11.png"/><Relationship Id="rId45" Type="http://schemas.openxmlformats.org/officeDocument/2006/relationships/image" Target="media/image12.jpeg"/><Relationship Id="rId46" Type="http://schemas.openxmlformats.org/officeDocument/2006/relationships/image" Target="media/image13.png"/><Relationship Id="rId47" Type="http://schemas.openxmlformats.org/officeDocument/2006/relationships/image" Target="media/image14.png"/><Relationship Id="rId48" Type="http://schemas.openxmlformats.org/officeDocument/2006/relationships/image" Target="media/image15.png"/><Relationship Id="rId13" Type="http://schemas.openxmlformats.org/officeDocument/2006/relationships/hyperlink" Target="https://www.sec.gov/Archives/edgar/data/1410428/000110465920048780/tm205324-1_10k.htm" TargetMode="External"/><Relationship Id="rId14" Type="http://schemas.openxmlformats.org/officeDocument/2006/relationships/hyperlink" Target="https://www.sec.gov/Archives/edgar/data/1410428/000110465920063789/tm2020063d1_10ka.htm" TargetMode="External"/><Relationship Id="rId15" Type="http://schemas.openxmlformats.org/officeDocument/2006/relationships/hyperlink" Target="https://www.sec.gov/Archives/edgar/data/1410428/000110465920073018/tm2022516d1_10ka.htm" TargetMode="External"/><Relationship Id="rId16" Type="http://schemas.openxmlformats.org/officeDocument/2006/relationships/hyperlink" Target="https://www.sec.gov/Archives/edgar/data/1410428/000155837020010752/xspa-20200630x10q.htm" TargetMode="External"/><Relationship Id="rId17" Type="http://schemas.openxmlformats.org/officeDocument/2006/relationships/hyperlink" Target="https://www.sec.gov/Archives/edgar/data/1410428/000155837020013896/xspa-20200930x10q.htm" TargetMode="External"/><Relationship Id="rId19" Type="http://schemas.openxmlformats.org/officeDocument/2006/relationships/hyperlink" Target="https://www.sec.gov/Archives/edgar/data/1410428/000110465920029962/tm2011914d1_8k.htm" TargetMode="External"/><Relationship Id="rId20" Type="http://schemas.openxmlformats.org/officeDocument/2006/relationships/hyperlink" Target="https://www.sec.gov/Archives/edgar/data/1410428/000110465920052381/tm2017854d1_8k.htm" TargetMode="External"/><Relationship Id="rId21" Type="http://schemas.openxmlformats.org/officeDocument/2006/relationships/hyperlink" Target="https://www.sec.gov/Archives/edgar/data/1410428/000110465920093068/tm2027176d1_8k.htm" TargetMode="External"/><Relationship Id="rId22" Type="http://schemas.openxmlformats.org/officeDocument/2006/relationships/hyperlink" Target="https://www.sec.gov/Archives/edgar/data/1410428/000110465920094382/tm2027507d1_8k.htm" TargetMode="External"/><Relationship Id="rId23" Type="http://schemas.openxmlformats.org/officeDocument/2006/relationships/hyperlink" Target="https://www.sec.gov/Archives/edgar/data/1410428/000155837020010840/tmb-20200825x8k.htm" TargetMode="External"/><Relationship Id="rId24" Type="http://schemas.openxmlformats.org/officeDocument/2006/relationships/hyperlink" Target="https://www.sec.gov/Archives/edgar/data/1410428/000110465920100178/tm2029683d2_8k.htm" TargetMode="External"/><Relationship Id="rId25" Type="http://schemas.openxmlformats.org/officeDocument/2006/relationships/hyperlink" Target="https://www.sec.gov/Archives/edgar/data/1410428/000110465920109366/tm2031943d1_8k.htm" TargetMode="External"/><Relationship Id="rId26" Type="http://schemas.openxmlformats.org/officeDocument/2006/relationships/hyperlink" Target="https://www.sec.gov/Archives/edgar/data/1410428/000110465920112746/tm2032623d1_8k.htm" TargetMode="External"/><Relationship Id="rId27" Type="http://schemas.openxmlformats.org/officeDocument/2006/relationships/hyperlink" Target="https://www.sec.gov/Archives/edgar/data/1410428/000110465920113686/tm2032856d1_8k.htm" TargetMode="External"/><Relationship Id="rId28" Type="http://schemas.openxmlformats.org/officeDocument/2006/relationships/hyperlink" Target="https://www.sec.gov/Archives/edgar/data/1410428/000110465920118011/tm2034259d1_8k.htm" TargetMode="External"/><Relationship Id="rId29" Type="http://schemas.openxmlformats.org/officeDocument/2006/relationships/hyperlink" Target="https://www.sec.gov/Archives/edgar/data/1410428/000110465920118760/tm2034445d1_8k.htm" TargetMode="External"/><Relationship Id="rId30" Type="http://schemas.openxmlformats.org/officeDocument/2006/relationships/hyperlink" Target="https://www.sec.gov/Archives/edgar/data/1410428/000110465920120037/tm2034656d1_8k.htm" TargetMode="External"/><Relationship Id="rId31" Type="http://schemas.openxmlformats.org/officeDocument/2006/relationships/hyperlink" Target="https://www.sec.gov/Archives/edgar/data/1410428/000110465920132240/tm2037701d1_8k.htm" TargetMode="External"/><Relationship Id="rId32" Type="http://schemas.openxmlformats.org/officeDocument/2006/relationships/hyperlink" Target="https://www.sec.gov/Archives/edgar/data/1410428/000110465920136599/tm2038770d1_8k.htm" TargetMode="External"/><Relationship Id="rId33" Type="http://schemas.openxmlformats.org/officeDocument/2006/relationships/hyperlink" Target="https://www.sec.gov/Archives/edgar/data/1410428/000110465920136835/tm2038821d1_8k.htm" TargetMode="External"/><Relationship Id="rId34" Type="http://schemas.openxmlformats.org/officeDocument/2006/relationships/hyperlink" Target="https://www.sec.gov/Archives/edgar/data/1410428/000110465920138085/tm2039005d1_8k.htm" TargetMode="External"/><Relationship Id="rId35" Type="http://schemas.openxmlformats.org/officeDocument/2006/relationships/hyperlink" Target="https://www.sec.gov/Archives/edgar/data/1410428/000110465921006726/tm213975d1_8k.htm" TargetMode="External"/><Relationship Id="rId36" Type="http://schemas.openxmlformats.org/officeDocument/2006/relationships/hyperlink" Target="https://www.sec.gov/Archives/edgar/data/1410428/000114420416089194/v434658_8a12b.htm" TargetMode="External"/><Relationship Id="rId37" Type="http://schemas.openxmlformats.org/officeDocument/2006/relationships/hyperlink" Target="https://www.sec.gov/Archives/edgar/data/1410428/000114420413024675/v342843_8a12b.htm" TargetMode="External"/><Relationship Id="rId38" Type="http://schemas.openxmlformats.org/officeDocument/2006/relationships/hyperlink" Target="https://www.sec.gov/Archives/edgar/data/1410428/000119312510140514/d8a12b.htm" TargetMode="External"/><Relationship Id="rId41" Type="http://schemas.openxmlformats.org/officeDocument/2006/relationships/hyperlink" Target="https://www.sec.gov/Archives/edgar/data/1410428/000110465920120037/tm203465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2021-03-19T15:31:40Z</dcterms:created>
  <dcterms:modified xsi:type="dcterms:W3CDTF">2021-03-19T15:31:40Z</dcterms:modified>
</cp:coreProperties>
</file>