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3740" w:right="1940" w:hanging="3732"/>
        <w:spacing w:after="0" w:line="473" w:lineRule="auto"/>
        <w:tabs>
          <w:tab w:leader="none" w:pos="3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3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Delaware</w:t>
            </w:r>
          </w:p>
        </w:tc>
        <w:tc>
          <w:tcPr>
            <w:tcW w:w="5460" w:type="dxa"/>
            <w:vAlign w:val="bottom"/>
          </w:tcPr>
          <w:p>
            <w:pPr>
              <w:jc w:val="right"/>
              <w:ind w:right="221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5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460" w:type="dxa"/>
            <w:vAlign w:val="bottom"/>
          </w:tcPr>
          <w:p>
            <w:pPr>
              <w:spacing w:after="0"/>
              <w:rPr>
                <w:sz w:val="16"/>
                <w:szCs w:val="16"/>
                <w:color w:val="auto"/>
              </w:rPr>
            </w:pPr>
          </w:p>
        </w:tc>
        <w:tc>
          <w:tcPr>
            <w:tcW w:w="54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incorporation or organization)</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5460" w:type="dxa"/>
            <w:vAlign w:val="bottom"/>
          </w:tcPr>
          <w:p>
            <w:pPr>
              <w:jc w:val="right"/>
              <w:ind w:right="2410"/>
              <w:spacing w:after="0"/>
              <w:rPr>
                <w:sz w:val="20"/>
                <w:szCs w:val="20"/>
                <w:color w:val="auto"/>
              </w:rPr>
            </w:pPr>
            <w:r>
              <w:rPr>
                <w:rFonts w:ascii="Arial" w:cs="Arial" w:eastAsia="Arial" w:hAnsi="Arial"/>
                <w:sz w:val="18"/>
                <w:szCs w:val="18"/>
                <w:b w:val="1"/>
                <w:bCs w:val="1"/>
                <w:color w:val="auto"/>
              </w:rPr>
              <w:t>10017</w:t>
            </w:r>
          </w:p>
        </w:tc>
      </w:tr>
      <w:tr>
        <w:trPr>
          <w:trHeight w:val="228"/>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6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(212) 309-7549</w:t>
      </w:r>
    </w:p>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75" w:right="239" w:bottom="1440"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x</w:t>
      </w: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820" w:space="720"/>
            <w:col w:w="3880"/>
          </w:cols>
          <w:pgMar w:left="240" w:top="675" w:right="239" w:bottom="1440" w:gutter="0" w:footer="0" w:header="0"/>
          <w:type w:val="continuous"/>
        </w:sectPr>
      </w:pPr>
    </w:p>
    <w:p>
      <w:pPr>
        <w:spacing w:after="0" w:line="3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9, 2017, 26,545,690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2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95"/>
              </w:rPr>
              <w:t>FORM Holdings Corp.</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2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89"/>
              </w:rPr>
              <w:t>Table of Contents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60" w:type="dxa"/>
            <w:vAlign w:val="bottom"/>
            <w:gridSpan w:val="4"/>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300" w:type="dxa"/>
            <w:vAlign w:val="bottom"/>
            <w:gridSpan w:val="2"/>
            <w:shd w:val="clear" w:color="auto" w:fill="CCEEFF"/>
          </w:tcPr>
          <w:p>
            <w:pPr>
              <w:spacing w:after="0"/>
              <w:rPr>
                <w:sz w:val="15"/>
                <w:szCs w:val="15"/>
                <w:color w:val="auto"/>
              </w:rPr>
            </w:pPr>
          </w:p>
        </w:tc>
        <w:tc>
          <w:tcPr>
            <w:tcW w:w="946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Item 2.</w:t>
              </w:r>
            </w:hyperlink>
          </w:p>
        </w:tc>
        <w:tc>
          <w:tcPr>
            <w:tcW w:w="300" w:type="dxa"/>
            <w:vAlign w:val="bottom"/>
            <w:gridSpan w:val="2"/>
          </w:tcPr>
          <w:p>
            <w:pPr>
              <w:spacing w:after="0"/>
              <w:rPr>
                <w:sz w:val="15"/>
                <w:szCs w:val="15"/>
                <w:color w:val="auto"/>
              </w:rPr>
            </w:pPr>
          </w:p>
        </w:tc>
        <w:tc>
          <w:tcPr>
            <w:tcW w:w="9460" w:type="dxa"/>
            <w:vAlign w:val="bottom"/>
            <w:gridSpan w:val="12"/>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3.</w:t>
              </w:r>
            </w:hyperlink>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5100" w:type="dxa"/>
            <w:vAlign w:val="bottom"/>
            <w:tcBorders>
              <w:bottom w:val="single" w:sz="8" w:color="CCEEFF"/>
            </w:tcBorders>
            <w:gridSpan w:val="2"/>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460" w:type="dxa"/>
            <w:vAlign w:val="bottom"/>
            <w:gridSpan w:val="1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15"/>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PART II. OTHER INFORMATION</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9460" w:type="dxa"/>
            <w:vAlign w:val="bottom"/>
            <w:gridSpan w:val="1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460" w:type="dxa"/>
            <w:vAlign w:val="bottom"/>
            <w:gridSpan w:val="1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180" w:type="dxa"/>
            <w:vAlign w:val="bottom"/>
          </w:tcPr>
          <w:p>
            <w:pPr>
              <w:spacing w:after="0"/>
              <w:rPr>
                <w:sz w:val="15"/>
                <w:szCs w:val="15"/>
                <w:color w:val="auto"/>
              </w:rPr>
            </w:pPr>
          </w:p>
        </w:tc>
        <w:tc>
          <w:tcPr>
            <w:tcW w:w="9460" w:type="dxa"/>
            <w:vAlign w:val="bottom"/>
            <w:gridSpan w:val="1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3.</w:t>
              </w:r>
            </w:hyperlink>
          </w:p>
        </w:tc>
        <w:tc>
          <w:tcPr>
            <w:tcW w:w="300" w:type="dxa"/>
            <w:vAlign w:val="bottom"/>
            <w:gridSpan w:val="2"/>
            <w:shd w:val="clear" w:color="auto" w:fill="CCEEFF"/>
          </w:tcPr>
          <w:p>
            <w:pPr>
              <w:spacing w:after="0"/>
              <w:rPr>
                <w:sz w:val="17"/>
                <w:szCs w:val="17"/>
                <w:color w:val="auto"/>
              </w:rPr>
            </w:pPr>
          </w:p>
        </w:tc>
        <w:tc>
          <w:tcPr>
            <w:tcW w:w="9460" w:type="dxa"/>
            <w:vAlign w:val="bottom"/>
            <w:gridSpan w:val="1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4.</w:t>
              </w:r>
            </w:hyperlink>
          </w:p>
        </w:tc>
        <w:tc>
          <w:tcPr>
            <w:tcW w:w="30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7140" w:type="dxa"/>
            <w:vAlign w:val="bottom"/>
            <w:tcBorders>
              <w:top w:val="single" w:sz="8" w:color="CCEEFF"/>
            </w:tcBorders>
            <w:gridSpan w:val="5"/>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5.</w:t>
              </w:r>
            </w:hyperlink>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Other Information</w:t>
              </w:r>
            </w:hyperlink>
          </w:p>
        </w:tc>
        <w:tc>
          <w:tcPr>
            <w:tcW w:w="8140" w:type="dxa"/>
            <w:vAlign w:val="bottom"/>
            <w:tcBorders>
              <w:bottom w:val="single" w:sz="8" w:color="CCEEFF"/>
            </w:tcBorders>
            <w:gridSpan w:val="9"/>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9460" w:type="dxa"/>
            <w:vAlign w:val="bottom"/>
            <w:gridSpan w:val="12"/>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40" w:type="dxa"/>
            <w:vAlign w:val="bottom"/>
          </w:tcPr>
          <w:p>
            <w:pPr>
              <w:jc w:val="center"/>
              <w:ind w:left="2850"/>
              <w:spacing w:after="0"/>
              <w:rPr>
                <w:sz w:val="20"/>
                <w:szCs w:val="20"/>
                <w:color w:val="auto"/>
              </w:rPr>
            </w:pPr>
            <w:r>
              <w:rPr>
                <w:rFonts w:ascii="Arial" w:cs="Arial" w:eastAsia="Arial" w:hAnsi="Arial"/>
                <w:sz w:val="18"/>
                <w:szCs w:val="18"/>
                <w:b w:val="1"/>
                <w:bCs w:val="1"/>
                <w:color w:val="auto"/>
                <w:w w:val="92"/>
              </w:rPr>
              <w:t>FORM Holdings Corp. and Subsidiaries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10,072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Assets held for disposal</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25,836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73,839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w w:val="96"/>
              </w:rPr>
              <w:t>Series A Convertible Preferred stock, $0.01 par value per share; 500,000 shares authorized; 6,968 issued and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none outstanding</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B Convertible Preferred stock, $0.01 par value per share; 5,000,000 shares authorized; 1,666,667 issued</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and none outstanding</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rPr>
              <w:t>Series C Junior Preferred stock, $0.01 par value per share; 300,000 shares authorized; none issued and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D Convertible Preferred Stock, $0.01 par value per share; 500,000 shares authorized; 475,208 issued and</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420,541 outstanding with a liquidation value of $20,186 as of September 30, 2017; 491,427 issued and</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outstanding with a liquidation value of $23,588 as of December 31, 2016</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26,540,690 and 18,304,881 issued and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outstanding as of September 30, 2017 and December 31, 2016, respectively</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(239,000)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Total equity attributable to the Company</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55,836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Wellness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12,652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36,563</w:t>
            </w:r>
          </w:p>
        </w:tc>
        <w:tc>
          <w:tcPr>
            <w:tcW w:w="6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32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Wellness</w:t>
            </w:r>
          </w:p>
        </w:tc>
        <w:tc>
          <w:tcPr>
            <w:tcW w:w="3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10,347</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29,583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32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Depreciation, amortization and impairment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1,894</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6,849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21,742</w:t>
            </w:r>
          </w:p>
        </w:tc>
        <w:tc>
          <w:tcPr>
            <w:tcW w:w="3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Non-operating income (expense), net</w:t>
            </w:r>
          </w:p>
        </w:tc>
        <w:tc>
          <w:tcPr>
            <w:tcW w:w="3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4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Extinguishment of debt</w:t>
            </w:r>
          </w:p>
        </w:tc>
        <w:tc>
          <w:tcPr>
            <w:tcW w:w="32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Loss from continuing operations before income taxes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40" w:type="dxa"/>
            <w:vAlign w:val="bottom"/>
          </w:tcPr>
          <w:p>
            <w:pPr>
              <w:spacing w:after="0" w:line="178" w:lineRule="exact"/>
              <w:rPr>
                <w:sz w:val="20"/>
                <w:szCs w:val="20"/>
                <w:color w:val="auto"/>
              </w:rPr>
            </w:pPr>
            <w:r>
              <w:rPr>
                <w:rFonts w:ascii="Arial" w:cs="Arial" w:eastAsia="Arial" w:hAnsi="Arial"/>
                <w:sz w:val="18"/>
                <w:szCs w:val="18"/>
                <w:b w:val="1"/>
                <w:bCs w:val="1"/>
                <w:color w:val="auto"/>
              </w:rPr>
              <w:t>Loss from discontinued operations before income</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taxes</w:t>
            </w:r>
          </w:p>
        </w:tc>
        <w:tc>
          <w:tcPr>
            <w:tcW w:w="3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48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(2,321)</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4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(4,846)</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(15,482)</w:t>
            </w:r>
          </w:p>
        </w:tc>
        <w:tc>
          <w:tcPr>
            <w:tcW w:w="6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 from continuing</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operations: foreign currency translations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(15,602</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w w:val="96"/>
              </w:rPr>
              <w:t>Consolidated net loss from discontinued operations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Other comprehensive loss from discontinued operations: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translations</w:t>
            </w: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Comprehensive loss from discontinued operations</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Basic and diluted net loss per share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per share from continuing operations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(0.76)</w:t>
            </w:r>
          </w:p>
        </w:tc>
        <w:tc>
          <w:tcPr>
            <w:tcW w:w="6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Loss per share from discontinued operations</w:t>
            </w:r>
          </w:p>
        </w:tc>
        <w:tc>
          <w:tcPr>
            <w:tcW w:w="3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4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basic and diluted net loss per share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spacing w:after="0" w:line="195" w:lineRule="exact"/>
              <w:rPr>
                <w:sz w:val="20"/>
                <w:szCs w:val="20"/>
                <w:color w:val="auto"/>
              </w:rPr>
            </w:pPr>
            <w:r>
              <w:rPr>
                <w:rFonts w:ascii="Arial" w:cs="Arial" w:eastAsia="Arial" w:hAnsi="Arial"/>
                <w:sz w:val="18"/>
                <w:szCs w:val="18"/>
                <w:color w:val="auto"/>
                <w:w w:val="97"/>
              </w:rPr>
              <w:t>Weighted-average number of shares outstanding during</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the period:</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24,144,002</w:t>
            </w: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15,473,895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20,852,034</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14,880,925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24,144,002</w:t>
            </w:r>
          </w:p>
        </w:tc>
        <w:tc>
          <w:tcPr>
            <w:tcW w:w="34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15,473,895</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20,852,034</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14,880,925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40" w:type="dxa"/>
            <w:vAlign w:val="bottom"/>
          </w:tcPr>
          <w:p>
            <w:pPr>
              <w:spacing w:after="0" w:line="198" w:lineRule="exact"/>
              <w:rPr>
                <w:sz w:val="20"/>
                <w:szCs w:val="20"/>
                <w:color w:val="auto"/>
              </w:rPr>
            </w:pPr>
            <w:r>
              <w:rPr>
                <w:rFonts w:ascii="Arial" w:cs="Arial" w:eastAsia="Arial" w:hAnsi="Arial"/>
                <w:sz w:val="18"/>
                <w:szCs w:val="18"/>
                <w:b w:val="1"/>
                <w:bCs w:val="1"/>
                <w:color w:val="auto"/>
              </w:rPr>
              <w:t>*Includes stock-based compensation expense, as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follows: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706</w:t>
            </w:r>
          </w:p>
        </w:tc>
        <w:tc>
          <w:tcPr>
            <w:tcW w:w="4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2,179</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other</w:t>
            </w:r>
          </w:p>
        </w:tc>
        <w:tc>
          <w:tcPr>
            <w:tcW w:w="120" w:type="dxa"/>
            <w:vAlign w:val="bottom"/>
          </w:tcPr>
          <w:p>
            <w:pPr>
              <w:spacing w:after="0"/>
              <w:rPr>
                <w:sz w:val="18"/>
                <w:szCs w:val="1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Preferred</w:t>
            </w: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comprehensive</w:t>
            </w: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rPr>
              <w:t>FORM</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34"/>
        </w:trPr>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7"/>
              </w:rPr>
              <w:t>loss</w:t>
            </w:r>
          </w:p>
        </w:tc>
        <w:tc>
          <w:tcPr>
            <w:tcW w:w="120" w:type="dxa"/>
            <w:vAlign w:val="bottom"/>
          </w:tcPr>
          <w:p>
            <w:pPr>
              <w:spacing w:after="0"/>
              <w:rPr>
                <w:sz w:val="20"/>
                <w:szCs w:val="20"/>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equity</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w:t>
            </w: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280,221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(220,868)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Issuance of common stock for</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 issued for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the acquisition of Excalibur</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1,809</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w:t>
            </w: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w w:val="94"/>
              </w:rPr>
              <w:t>Net proceeds from sale and issuance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w w:val="98"/>
              </w:rPr>
              <w:t>of shares of common stock in public</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offering</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6,584</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6,584</w:t>
            </w: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Decrease in shares of preferred stock</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issued to XpresSpa sellers</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Conversion of preferred stock to</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(18,132)</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(18,132)</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(17,803)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Net distributions to</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8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23"/>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2017</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other</w:t>
            </w:r>
          </w:p>
        </w:tc>
        <w:tc>
          <w:tcPr>
            <w:tcW w:w="120" w:type="dxa"/>
            <w:vAlign w:val="bottom"/>
          </w:tcPr>
          <w:p>
            <w:pPr>
              <w:spacing w:after="0"/>
              <w:rPr>
                <w:sz w:val="18"/>
                <w:szCs w:val="18"/>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Preferred</w:t>
            </w: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comprehensive</w:t>
            </w: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rPr>
              <w:t>FORM</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34"/>
        </w:trPr>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7"/>
              </w:rPr>
              <w:t>loss</w:t>
            </w:r>
          </w:p>
        </w:tc>
        <w:tc>
          <w:tcPr>
            <w:tcW w:w="120" w:type="dxa"/>
            <w:vAlign w:val="bottom"/>
          </w:tcPr>
          <w:p>
            <w:pPr>
              <w:spacing w:after="0"/>
              <w:rPr>
                <w:sz w:val="20"/>
                <w:szCs w:val="20"/>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equity</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w:t>
            </w: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237,246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(196,862)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Vesting of restricted stock units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(“RSUs”)</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for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repayment of convertible debt and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related interest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3,049</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w:t>
            </w: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w w:val="94"/>
              </w:rPr>
              <w:t>Sale of shares of common stock from</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subscription agreement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1,734</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(20,023)</w:t>
            </w: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(20,023)</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(20,023)</w:t>
            </w:r>
          </w:p>
        </w:tc>
      </w:tr>
      <w:tr>
        <w:trPr>
          <w:trHeight w:val="223"/>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2016</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(216,885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Consolidated 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(17,803)</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loss to net cash used in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 and debt issuance costs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Amendment to warrants as part of debt modification</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Extinguishment of debt</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 for services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Gain on disposal of asset</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 and conversion feature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Conversion of shares of preferred stock to shares of common stock</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Exchange rate gain, net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Changes in current assets and liabilities net of effects of acquisition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receivable, net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Increase in inventory</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Decrease in other current assets and other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Increase (decrease) in accounts payable, accrued expenses and other current liabilities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revenue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Decrease in other liabilities</w:t>
            </w: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 – continuing operations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 – discontinued operations</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acquired as part of acquisition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software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Proceeds from sale of asset</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Decrease in deposits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Increase in investments</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commitments to issue common stock under subscription agreement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proceeds from sale and issuance of shares of common stock in public offering</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 and line of credit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distributions to noncontrolling interests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(7,838)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10,072</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during the period for</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repay debt and interest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 (“FORM” or the “Company”) has three operating segments: wellness, technology and intellectual property.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wellness operating segment consists of XpresSpa, which is a leading airport retailer of spa services. XpresSpa is a well-recognized airport spa brand with 51 locations, consisting of 47 domestic and 4 international, as of September 30, 2017. XpresSpa offers travelers premium spa services, including massage, nail and hair as well as spa and travel products. The Company acquired XpresSpa in the fourth quarter of 2016.</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technology operating segment consists of Group Mobile as well as an 11% equity interest in InfoMedia Services Limited (“InfoMedia”). Group Mobile offers rugged hardware and software solutions, including laptops, tablets, and mobile printers, as well as installation and deployment services. The Company acquired Group Mobile in the fourth quarter of 2015 and Excalibur Integrated Systems Inc. (“Excalibur”), which was merged with Group Mobile, in the first quarter of 2017. The Company’s equity interest in InfoMedia increased from 8.25% to 11% in the first quarter of 2017 due to a realignment of ownership interests.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currently evaluating strategic alternatives with respect to Group Mobile in an attempt to enhance stockholder value. These strategic alternatives may include a possible sale, merger, spin-off or other separation of Group Mobile or other forms of business combinations or strategic transactions. The Company is seeking to enter into one or more strategic transactions involving Group Mobile in the first quarter of 2018.</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intellectual property operating segment is engaged in the monetization of patents related to content and ad delivery, remote monitoring and mobile technologies.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further detailed in Note 10 “Discontinued Operations and Assets and Liabilities Held for Disposal,” in June 2017, the Company concluded that the requirement to report the results of FLI Charge as discontinued operations was triggered. FLI Charge was subsequently sold in October 2017.</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26, 2017, the Company entered into an underwriting agreement (the “Underwriting Agreement”) with Roth Capital Partners, LLC, acting as the representative of the several underwriters named therein (collectively, the “Underwriters”), relating to the issuance and sale (the “Offering”) of 6,900,000 shares of the Company’s common stock, par value $0.01 per share (“FORM Common Stock”) including 900,000 shares subject to the Underwriters’ over-allotment option, which was exercised on August 2, 2017 and closed on August 4, 2017. The price to the public in the Offering was $1.10 per share and the Underwriters agreed to purchase the shares of FORM Common Stock from the Company pursuant to the Underwriting Agreement at a purchase price of $1.023 per share. The net proceeds to the Company from the Offering were $6,584 after deducting underwriting discounts and commissions and other estimated offering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generally accepted accounting principles in the United States of America (“U.S. GAAP”) for interim financial information and the instructions to Rule 10-01 of Regulation S-X, and should be read in conjunction with the Company's Annual Report on Form 10-K for the year ended December 31, 2016. All adjustments that, in the opinion of management, are necessary for a fair presentation for the periods presented have been reflected by the Company. Such adjustments are of a normal, recurring nature. The results of operations for the three and nine-month periods ended September 30, 2017 are not necessarily indicative of the results that may be expected for the entire fiscal year or for any other interim period. All significant intercompany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accompanying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intangible assets, the useful lives of the Company’s intangible assets, the valuation of the Company’s derivative warrants, the valuation of stock-based compensation,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recognizes revenue for the wellness operating segment from the sale of XpresSpa products and services at the point of sale, net of discounts and applicable sales taxes. Revenues from the XpresSpa wholesale and e-commerce businesses are recorded at the time goods are shipped. The Company excludes all sales taxes assessed to its customers. Sales taxes assessed on revenues are included in accounts payable, accrued expenses and other current liabilities in the condensed consolidated balance sheets until remitted to the state agencies.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revenue from product sales in the technology operating segment when title and risk of loss are passed to the customer, there is persuasive evidence of an arrangement for sale, delivery has occurred, the sales price is fixed or determinable, and collectability is reasonably assured. The Company’s shipping terms typically specify F.O.B. destination, at which time title and risk of loss have passed to the customer. At the time of sale of hardware products, the Company records an estimate for sales returns and allowances based on historical experience. Hardware products sold by the Company are warranted by the vendor.</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The Company has drop-shipment arrangements with many of its hardware vendors and suppliers to deliver products directly to customers. Revenue for drop-shipment arrangements is recorded on a gross basis upon delivery to the customer with contract terms that typically specify F.O.B. destination. Revenue is recognized on a gross basis, as the Company is the principal in the transaction, as the primary obligor in the arrangement, assumes the inventory risk if the product is returned by the customer, sets the price of the product to the customer, assumes credit risk for the amounts invoiced, and works closely with the customers to determine their hardware specifications.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Freight billed to customers is recognized as net product revenue and the related freight costs as a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certain occasions, the Company’s technology operating segment will enter into a bill and hold arrangement with a customer. When this occurs,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makes a determination as to when it will be the proper time to recognize revenue. In doing so, the Company takes the following into consideration:</w:t>
      </w:r>
    </w:p>
    <w:p>
      <w:pPr>
        <w:spacing w:after="0" w:line="2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risks of ownership have passed to the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must have made a fixed commitment to purchase the goods;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must request and have a substantial business purpose for ordering on a bill and hold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must be a fixed schedule for delivery that is reasonable and consistent with the customer’s business purpose;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cannot retain any specific performance obligations that would make the earnings process incomplete;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goods must be segregated from remaining inventory (i.e., they cannot be used to fill orders for others);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goods must be complete and ready for shipment.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multiple-element arrangements in the Company’s technology operating segment that include hardware products, services and maintenance, the Company allocates revenue to all deliverables based on their relative selling prices. In such circumstances, the Company uses a hierarchy to determine the selling price to be used for allocating revenue to deliverables: (i) vendor-specific objective evidence of fair value (“VSOE”), (ii) third-party evidence of selling price (“TPE”) and (iii) best estimate of selling price (“ESP”). VSOE generally exists only when the Company sells the deliverable separately and is the price actually charged by the Company for that deliverable. ESPs reflect the Company’s best estimates of what the selling prices of elements would be if they were sold regularly on a stand-alone basis. The Company allocates revenue to all deliverables based on the VSOE of each element, and if VSOE does not exist revenue is recognized when elements lacking VSOE are delivered.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from patent licensing is recognized if collectability is reasonably assured, persuasive evidence of an arrangement exists, the sales price is fixed or determinable and delivery of the service has been rendered. Currently, revenue arrangements related to intellectual property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 Cost of sales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sales for the Company’s wellness operating segment consists of store-level costs. Store-level costs include all costs that are directly attributable to the store operations and include:</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sales for the Company’s technology operating segment includes costs to acquire or manufacture goods for inventory.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for the Company’s intellectual property operating segment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2017-01, Business Combinations (Topic 805): Clarifying the Definition of a Business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January 2017, the FASB issued Accounting Standards Update No. 2017-01 (“ASU 2017-01”) “Business Combinations (Topic 805): Clarifying the Definition of a Business.” ASU 2017-01 provides guidance to evaluate whether transactions should be accounted for as acquisitions (or disposals) of assets or businesses. If substantially all of the fair value of the gross assets acquired (or disposed of) is concentrated in a single asset or a group of similar assets, the assets acquired (or disposed of) are not considered a business. The Company adopted ASU 2017-01 as of January 1, 2017 on a prospective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Recently issued accounting pronouncements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 (Topic 606)</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As such, the Company is currently assessing the impact of the adoption on its condensed consolidated financial statements. The Company will adopt the new standard and related updates effective January 1, 2018, and intends to use the modified retrospective method of adoption.</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its preliminary assessment undertaken through September 30, 2017, the Company expects that the new standard will have an impact on revenue recognition for Group Mobile contracts in its technology operating segment, and expects to conclude on this assessment by December 31, 2017. The Company does not expect for there to be an impact on revenue recognition for its wellness operating segment, as the revenue is recognized when the service is performed and payment is collected from the customer.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continues to monitor additional changes, modifications, clarifications or interpretations being undertaken by the FASB, which may, in conjunction with the completion of the Company’s overall assessment of the new guidance, impact the Company’s current conclusions.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2017-04, Intangibles - Goodwill and Other (Topic 350): Simplifying the Test for Goodwill Impairment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2017, the FASB issued Accounting Standards Update No. 2017-04 (“ASU 2017-04”) “Intangibles - Goodwill and Other (Topic 350): Simplifying the Test for Goodwill Impairment.”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early adoption is permitted. The Company currently anticipates that the adoption of ASU 2017-04 will not have a material impact on its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2017-09, Stock Compensation (Topic 718): Scope of Modification Accounting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2017, the FASB issued Accounting Standards Update No. 2017-09 (“ASU 2017-09”) “Stock Compensation (Topic 718): Scope of Modification Accounting.” ASU 2017-09 provides guidance about which changes to the terms or conditions of a share-based payment award require an entity to apply modification accounting in Topic 718. The current disclosure requirements in Topic 718 apply regardless of whether an entity is required to apply modification accounting under the amendments in this update. ASU 2017-09 is effective for annual periods, and interim periods within those annual periods, beginning after December 15, 2017; early adoption is permitted. The Company is currently in the process of evaluating the potential impact of the adoption on its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Reclassification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balances have been reclassified to conform to presentation requirements, including presentation of discontinued operations and assets and liabilities held for disposal with respect to the Company’s FLI Charge business (refer to Note 10), as well as consistent presentation of cost of sales and general and administrative expenses to align presentation for operating segments.</w:t>
      </w:r>
    </w:p>
    <w:p>
      <w:pPr>
        <w:sectPr>
          <w:pgSz w:w="11900" w:h="16838" w:orient="portrait"/>
          <w:cols w:equalWidth="0" w:num="1">
            <w:col w:w="11420"/>
          </w:cols>
          <w:pgMar w:left="240" w:top="908"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Net Loss per Share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a net loss in all periods presented, potentially dilutive securities, including certain warrants and stock options, were not reflected in diluted net loss per share because the impact of such instruments was anti-dilutive.</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table below presents the computation of basic and diluted net loss per share of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Net loss from continuing operations attributable to shares of common stock</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(4,489)</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(4,846)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(15,811)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 from discontinued operations attributable to shares of common</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shares of common stock</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denominator:</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shares of common stock outstanding</w:t>
            </w:r>
          </w:p>
        </w:tc>
        <w:tc>
          <w:tcPr>
            <w:tcW w:w="26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24,144,002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15,473,895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20,852,034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14,880,925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 of common stock from continuing operations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loss per share of common stock from discontinued operations</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loss per share of common stock</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numerator: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Net loss from continuing operations attributable to shares of common stock</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(4,489)</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(4,846)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(15,811)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 from discontinued operations attributable to shares of common</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shares of common stock</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denominator:</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shares of common stock outstanding</w:t>
            </w:r>
          </w:p>
        </w:tc>
        <w:tc>
          <w:tcPr>
            <w:tcW w:w="26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24,144,002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15,473,895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20,852,034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14,880,925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loss per share of common stock from continuing operations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loss per share of common stock from discontinued operations</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loss per share of common stock</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Net loss per share data presented excludes from the calculation of</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diluted net loss the following potentially dilutive securities, as they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had an anti-dilutive impact: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1"/>
              </w:rPr>
              <w:t>Both vested and unvested options to purchase an equal number of shares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common stock of the Company</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4,876,899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1,492,434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4,876,899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1,492,434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Unvested RSUs to issue an equal number of shares of common stock of the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365,565</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5"/>
              </w:rPr>
              <w:t>Warrants to purchase an equal number of shares of common stock of the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Company</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3,087,500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1,006,679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3,087,500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on an as converted basis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3,439,587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3,620,626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Conversion feature of senior secured notes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105,920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number of potentially dilutive instruments, excluded from the</w:t>
            </w: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calculation of net loss per share</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11,769,551</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2,499,113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11,950,590</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2,605,033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2017, the Company learned new information about legal and other professional costs which existed as of the acquisition date of XpresSpa. As a result, the Company and the sellers of XpresSpa (the “XpresSpa Sellers”) agreed to reduce the total amount of Series D Convertible Preferred Stock (“FORM Preferred Stock”), which was previously issued to the XpresSpa Sellers in conjunction with the acquisition of XpresSpa. The Company reduced the number of the FORM Preferred Stock by 16,219 shares and estimated that the fair value of the reduction of the consideration was $908, which was recorded as a reduction of preferred equity and goodwill.</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during the second and third quarters of 2017, certain XpresSpa Sellers converted an aggregate of 54,667 shares of their FORM Preferred Stock into 437,235 shares of the Company’s common stock, par value $0.01 per share.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these events, the total number of shares of FORM Preferred Stock was reduced from 491,427 as of December 31, 2016 to 420,541 shares as of September 30, 2017 and the face value (and liquidation preference) was reduced from $23,588 to $20,186.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Group Mobile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 2017, the Company acquired Excalibur, which is an end-to-end solutions provider of mobile hardware devices, wireless network security, data networking, telephony and mobile application development and software solutions. Following the acquisition, Excalibur was merged with Group Mobile within the Company’s technology operating segment.</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709"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In consideration for the acquisition, the Company issued 888,573 unregistered shares of the Company’s common stock, par value $0.01 per share,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former stockholders of Excalibur (the “Excalibur Sellers”). In addition, the Excalibur Sellers will, in the three years following the closing of this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receive $500 for each $2,000 of gross profit generated by a specified list of Excalibur accounts annually, until such cumulative gross profit reaches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$6,000, and an additional $500 when such cumulative profit reaches $10,000, such amounts are payable in either cash or the Company’s common stock, 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election of the Company.</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fair value of the total purchase price is $2,125 and includes a fair value of contingent consideration of $316 and fair value of unregistered shares of common stock issued of $1,809.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acquired and liabilities assumed were recorded at their fair values as of the acquisition date. The purchase price for the acquisition was allocated to the net tangible and intangible assets based on their fair values as of the acquisition date. The excess of the purchase price over the net tangible assets and intangible assets was recorded as goodwill. The table below presents preliminary allocation of the purchase price:</w:t>
      </w:r>
    </w:p>
    <w:p>
      <w:pPr>
        <w:sectPr>
          <w:pgSz w:w="11900" w:h="16838" w:orient="portrait"/>
          <w:cols w:equalWidth="0" w:num="1">
            <w:col w:w="11420"/>
          </w:cols>
          <w:pgMar w:left="240" w:top="908" w:right="239" w:bottom="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Current assets (including cash of $26)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Accounts payable and accrued expenses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Fair Value</w:t>
      </w:r>
    </w:p>
    <w:p>
      <w:pPr>
        <w:spacing w:after="0" w:line="243" w:lineRule="exact"/>
        <w:rPr>
          <w:sz w:val="20"/>
          <w:szCs w:val="20"/>
          <w:color w:val="auto"/>
        </w:rPr>
      </w:pPr>
    </w:p>
    <w:p>
      <w:pPr>
        <w:ind w:left="980" w:hanging="971"/>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613</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29</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21</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556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2,335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1,214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 w:lineRule="exact"/>
        <w:rPr>
          <w:sz w:val="20"/>
          <w:szCs w:val="20"/>
          <w:color w:val="auto"/>
        </w:rPr>
      </w:pPr>
    </w:p>
    <w:p>
      <w:pPr>
        <w:ind w:left="840" w:hanging="831"/>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2,125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7886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360"/>
          </w:cols>
          <w:pgMar w:left="240" w:top="908" w:right="239" w:bottom="0" w:gutter="0" w:footer="0" w:header="0"/>
          <w:type w:val="continuous"/>
        </w:sectPr>
      </w:pP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allocation of the purchase price was based upon a preliminary valuation performed using the Company's estimates and assumptions, which are subject to change within the measurement period (up to one year from the acquisition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operating segments are defined as components of an enterprise about which separate financial information is available that is regularly evaluated by the enterprise’s chief operating decision maker (“CODM”) in deciding how to allocate resources and in assessing performance. The Company concluded that it conducts its business through three operating segments, which are also its reportable segments:</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wellness (XpresSpa);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 (Group Mobile);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Segment operating results reflect losses before corporate and unallocated shared expenses, interest expense and income taxes. Corporate and unallocated shared expenses principally consist of costs for corporate functions, rent for office space, stock-based compensation, executive management and certain unallocated administrative support functions.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Wellness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12,652</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36,563</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Wellness</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10,347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29,583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 (loss)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Wellness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(1,639)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(6,562)</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 segment operating loss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non-operating expense, net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(17,830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8" w:right="239" w:bottom="0" w:gutter="0" w:footer="0" w:header="0"/>
          <w:type w:val="continuous"/>
        </w:sectPr>
      </w:pPr>
    </w:p>
    <w:bookmarkStart w:id="12" w:name="page13"/>
    <w:bookmarkEnd w:id="12"/>
    <w:p>
      <w:pPr>
        <w:jc w:val="center"/>
        <w:ind w:right="3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29845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12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Wellness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51,151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57,527</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7,014</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15,819</w:t>
            </w: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Assets held for disposal</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r>
      <w:tr>
        <w:trPr>
          <w:trHeight w:val="223"/>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costs are allocated among the operating segments and non-operating corporate segment. The non-operating corporate segment does not have any revenue, but does incur expenses such as compensation expenses, rent and infrastructure costs. The non-operating corporate segment’s assets are mainly comprised of cash.</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operates in two geographical regions: United States and all other countries. The following table represents the geographical revenue, regional operating loss, and total asset information as of and for the three and nine months ended September 30, 2017 and 2016. There were no concentrations of geographical revenue, regional operating loss or total assets related to any single foreign country that were material to the Company’s condensed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5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w w:val="94"/>
              </w:rPr>
              <w:t>September 30,</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60" w:type="dxa"/>
            <w:vAlign w:val="bottom"/>
          </w:tcPr>
          <w:p>
            <w:pPr>
              <w:jc w:val="right"/>
              <w:ind w:right="69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16,228</w:t>
            </w: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3,101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44,802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8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1,503</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3,881</w:t>
            </w:r>
          </w:p>
        </w:tc>
        <w:tc>
          <w:tcPr>
            <w:tcW w:w="4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17,731</w:t>
            </w:r>
          </w:p>
        </w:tc>
        <w:tc>
          <w:tcPr>
            <w:tcW w:w="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48,683</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13,539</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2,718</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37,108</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All other countries</w:t>
            </w:r>
          </w:p>
        </w:tc>
        <w:tc>
          <w:tcPr>
            <w:tcW w:w="8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c>
          <w:tcPr>
            <w:tcW w:w="8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2,338</w:t>
            </w:r>
          </w:p>
        </w:tc>
        <w:tc>
          <w:tcPr>
            <w:tcW w:w="4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14,375</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39,446</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loss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(4,540)</w:t>
            </w:r>
          </w:p>
        </w:tc>
        <w:tc>
          <w:tcPr>
            <w:tcW w:w="8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(3,360)</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(15,849)</w:t>
            </w:r>
          </w:p>
        </w:tc>
        <w:tc>
          <w:tcPr>
            <w:tcW w:w="4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(15,901)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8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1,225</w:t>
            </w:r>
          </w:p>
        </w:tc>
        <w:tc>
          <w:tcPr>
            <w:tcW w:w="4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Total segment operating loss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(4,011)</w:t>
            </w: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(3,363)</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(14,624)</w:t>
            </w: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non-operating expense, net</w:t>
            </w:r>
          </w:p>
        </w:tc>
        <w:tc>
          <w:tcPr>
            <w:tcW w:w="8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(1,483)</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w:t>
            </w:r>
          </w:p>
        </w:tc>
        <w:tc>
          <w:tcPr>
            <w:tcW w:w="4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860" w:type="dxa"/>
            <w:vAlign w:val="bottom"/>
            <w:tcBorders>
              <w:top w:val="single" w:sz="8" w:color="auto"/>
            </w:tcBorders>
          </w:tcPr>
          <w:p>
            <w:pPr>
              <w:jc w:val="right"/>
              <w:ind w:right="69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(4,279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tcBorders>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(4,846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(17,830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70,141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78,546</w:t>
            </w:r>
          </w:p>
        </w:tc>
      </w:tr>
      <w:tr>
        <w:trPr>
          <w:trHeight w:val="216"/>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 countries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w:t>
            </w: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Assets held for disposal</w:t>
            </w:r>
          </w:p>
        </w:tc>
        <w:tc>
          <w:tcPr>
            <w:tcW w:w="1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r>
      <w:tr>
        <w:trPr>
          <w:trHeight w:val="223"/>
        </w:trPr>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Warrant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placement in the fair value hierarchy of derivative warrant liabilities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December 31, 2016:</w:t>
      </w:r>
    </w:p>
    <w:p>
      <w:pPr>
        <w:sectPr>
          <w:pgSz w:w="11900" w:h="16838" w:orient="portrait"/>
          <w:cols w:equalWidth="0" w:num="1">
            <w:col w:w="11420"/>
          </w:cols>
          <w:pgMar w:left="240" w:top="904" w:right="239" w:bottom="7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2017:</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May 2015 Warrants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May 2015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8"/>
                <w:szCs w:val="18"/>
                <w:b w:val="1"/>
                <w:bCs w:val="1"/>
                <w:color w:val="auto"/>
                <w:w w:val="90"/>
              </w:rPr>
              <w:t>Fair value measurement at reporting date using</w:t>
            </w:r>
          </w:p>
        </w:tc>
      </w:tr>
      <w:tr>
        <w:trPr>
          <w:trHeight w:val="191"/>
        </w:trPr>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Significant</w:t>
            </w:r>
          </w:p>
        </w:tc>
      </w:tr>
      <w:tr>
        <w:trPr>
          <w:trHeight w:val="230"/>
        </w:trPr>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Balance</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assets (Level 1)</w:t>
            </w: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inputs (Level 2)</w:t>
            </w:r>
          </w:p>
        </w:tc>
        <w:tc>
          <w:tcPr>
            <w:tcW w:w="20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inputs (Level 3)</w:t>
            </w:r>
          </w:p>
        </w:tc>
      </w:tr>
      <w:tr>
        <w:trPr>
          <w:trHeight w:val="453"/>
        </w:trPr>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-779780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-471170</wp:posOffset>
            </wp:positionV>
            <wp:extent cx="72466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904" w:right="239" w:bottom="709" w:gutter="0" w:footer="0" w:header="0"/>
          <w:type w:val="continuous"/>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its derivative warrant liabilities at fair value. The May 2015 Warrants were classified within Level 3 because they were valued using the Black-Scholes-Merton model, which utilizes significant inputs that are unobservable. These derivative warrant liabilities were initially measured at fair value and are marked to market at each balance sheet 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September 30, 2017 and December 31, 2016 consisted of cash and cash equivalents, receivables, accounts payable and Debt.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derivative warrant liabilities measured at fair value using significant unobservable inputs (Level 3) during the three- and nine-month periods ended September 30,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May 2015</w:t>
            </w:r>
          </w:p>
        </w:tc>
      </w:tr>
      <w:tr>
        <w:trPr>
          <w:trHeight w:val="234"/>
        </w:trPr>
        <w:tc>
          <w:tcPr>
            <w:tcW w:w="6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Warrants</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Decrease in fair value of the derivative warrant liabilities</w:t>
            </w:r>
          </w:p>
        </w:tc>
        <w:tc>
          <w:tcPr>
            <w:tcW w:w="2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2017</w:t>
            </w: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Decrease in fair value of the derivative warrant liabilities</w:t>
            </w:r>
          </w:p>
        </w:tc>
        <w:tc>
          <w:tcPr>
            <w:tcW w:w="2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42.49%</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16"/>
        </w:trPr>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r>
      <w:tr>
        <w:trPr>
          <w:trHeight w:val="230"/>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524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16"/>
        </w:trPr>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r>
      <w:tr>
        <w:trPr>
          <w:trHeight w:val="230"/>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inputs to estimate the fair value of the Company’s derivative warrant liabilities were the current market price of the Company’s common stock, the exercise price of the derivative warrant liabilities,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709" w:gutter="0" w:footer="0" w:header="0"/>
          <w:type w:val="continuous"/>
        </w:sectPr>
      </w:pPr>
    </w:p>
    <w:bookmarkStart w:id="15" w:name="page16"/>
    <w:bookmarkEnd w:id="15"/>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derivative warrant liabilities would each result in a directionally similar change in the estimated fair value of the Company’s derivative warrant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the contingent consideration assumed by the Company following the acquisition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Excalibur, which is measured at fair value on a recurring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5620" w:type="dxa"/>
            <w:vAlign w:val="bottom"/>
            <w:vMerge w:val="restart"/>
          </w:tcPr>
          <w:p>
            <w:pPr>
              <w:spacing w:after="0"/>
              <w:rPr>
                <w:sz w:val="20"/>
                <w:szCs w:val="20"/>
                <w:color w:val="auto"/>
              </w:rPr>
            </w:pPr>
            <w:r>
              <w:rPr>
                <w:rFonts w:ascii="Arial" w:cs="Arial" w:eastAsia="Arial" w:hAnsi="Arial"/>
                <w:sz w:val="18"/>
                <w:szCs w:val="18"/>
                <w:color w:val="auto"/>
              </w:rPr>
              <w:t>September 30, 2017:</w:t>
            </w:r>
          </w:p>
        </w:tc>
        <w:tc>
          <w:tcPr>
            <w:tcW w:w="20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Balance</w:t>
            </w: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value of the contingent consideration assumed by the Company following the acquisition of Excalibur was determined using the Monte-Carlo simulation and, as such, was classified as Level 3 of the fair value hierarchy. The fair value measurements are evaluated by management to ensure that changes are consistent with expectations of management based upon the sensitivity and nature of the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2017, 1,552,480 shares of the Company’s common stock were available for future grants under the Company’s 2012 Employee, Director and Consultant Equity Incentive Plan. Total stock-based compensation expense for the nine-month periods ended September 30, 2017 and 2016 was $2,179 and $1,447, respectively. Total stock-based compensation expense for the three-month periods ended September 30, 2017 and 2016 was $706 and $485,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options granted during the nine-month period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6"/>
              </w:rPr>
              <w:t>Assumptions used in</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No. of</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Exercise</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Fair value at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7"/>
              </w:rPr>
              <w:t>Black-Scholes</w:t>
            </w:r>
          </w:p>
        </w:tc>
      </w:tr>
      <w:tr>
        <w:trPr>
          <w:trHeight w:val="234"/>
        </w:trPr>
        <w:tc>
          <w:tcPr>
            <w:tcW w:w="1280" w:type="dxa"/>
            <w:vAlign w:val="bottom"/>
            <w:gridSpan w:val="2"/>
          </w:tcPr>
          <w:p>
            <w:pPr>
              <w:ind w:left="400"/>
              <w:spacing w:after="0"/>
              <w:rPr>
                <w:sz w:val="20"/>
                <w:szCs w:val="20"/>
                <w:color w:val="auto"/>
              </w:rPr>
            </w:pPr>
            <w:r>
              <w:rPr>
                <w:rFonts w:ascii="Arial" w:cs="Arial" w:eastAsia="Arial" w:hAnsi="Arial"/>
                <w:sz w:val="18"/>
                <w:szCs w:val="18"/>
                <w:b w:val="1"/>
                <w:bCs w:val="1"/>
                <w:color w:val="auto"/>
              </w:rPr>
              <w:t>Title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Grant date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options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grant date</w:t>
            </w:r>
          </w:p>
        </w:tc>
        <w:tc>
          <w:tcPr>
            <w:tcW w:w="1460" w:type="dxa"/>
            <w:vAlign w:val="bottom"/>
          </w:tcPr>
          <w:p>
            <w:pPr>
              <w:ind w:left="200"/>
              <w:spacing w:after="0"/>
              <w:rPr>
                <w:sz w:val="20"/>
                <w:szCs w:val="20"/>
                <w:color w:val="auto"/>
              </w:rPr>
            </w:pPr>
            <w:r>
              <w:rPr>
                <w:rFonts w:ascii="Arial" w:cs="Arial" w:eastAsia="Arial" w:hAnsi="Arial"/>
                <w:sz w:val="18"/>
                <w:szCs w:val="18"/>
                <w:b w:val="1"/>
                <w:bCs w:val="1"/>
                <w:color w:val="auto"/>
              </w:rPr>
              <w:t>Vesting terms</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option pricing model</w:t>
            </w:r>
          </w:p>
        </w:tc>
      </w:tr>
      <w:tr>
        <w:trPr>
          <w:trHeight w:val="195"/>
        </w:trPr>
        <w:tc>
          <w:tcPr>
            <w:tcW w:w="1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Directors,</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January 2017</w:t>
            </w: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1,545,000</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$2.12 – $2.15</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$0.89 – $0.96</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Over 1 year for</w:t>
            </w:r>
          </w:p>
        </w:tc>
        <w:tc>
          <w:tcPr>
            <w:tcW w:w="120" w:type="dxa"/>
            <w:vAlign w:val="bottom"/>
            <w:tcBorders>
              <w:top w:val="single" w:sz="8" w:color="CCEEFF"/>
            </w:tcBorders>
            <w:shd w:val="clear" w:color="auto" w:fill="CCEEFF"/>
          </w:tcPr>
          <w:p>
            <w:pPr>
              <w:spacing w:after="0"/>
              <w:rPr>
                <w:sz w:val="16"/>
                <w:szCs w:val="16"/>
                <w:color w:val="auto"/>
              </w:rPr>
            </w:pPr>
          </w:p>
        </w:tc>
        <w:tc>
          <w:tcPr>
            <w:tcW w:w="3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Volatility: 44.27% – 44.90%</w:t>
            </w:r>
          </w:p>
        </w:tc>
      </w:tr>
      <w:tr>
        <w:trPr>
          <w:trHeight w:val="216"/>
        </w:trPr>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directors; Over 3</w:t>
            </w:r>
          </w:p>
        </w:tc>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Risk free interest rate: 1.95% – 2.16%</w:t>
            </w:r>
          </w:p>
        </w:tc>
      </w:tr>
      <w:tr>
        <w:trPr>
          <w:trHeight w:val="216"/>
        </w:trPr>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employees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years for</w:t>
            </w:r>
          </w:p>
        </w:tc>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Expected term, in years: 5.29 – 5.79</w:t>
            </w: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management and</w:t>
            </w:r>
          </w:p>
        </w:tc>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Dividend yield: 0.00%</w:t>
            </w:r>
          </w:p>
        </w:tc>
      </w:tr>
      <w:tr>
        <w:trPr>
          <w:trHeight w:val="230"/>
        </w:trPr>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12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illustrates the RSUs granted during the nine-month period September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ind w:left="940"/>
              <w:spacing w:after="0"/>
              <w:rPr>
                <w:sz w:val="20"/>
                <w:szCs w:val="20"/>
                <w:color w:val="auto"/>
              </w:rPr>
            </w:pPr>
            <w:r>
              <w:rPr>
                <w:rFonts w:ascii="Arial" w:cs="Arial" w:eastAsia="Arial" w:hAnsi="Arial"/>
                <w:sz w:val="18"/>
                <w:szCs w:val="18"/>
                <w:b w:val="1"/>
                <w:bCs w:val="1"/>
                <w:color w:val="auto"/>
              </w:rPr>
              <w:t>Title</w:t>
            </w:r>
          </w:p>
        </w:tc>
        <w:tc>
          <w:tcPr>
            <w:tcW w:w="11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Grant date</w:t>
            </w: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No. of RSUs</w:t>
            </w:r>
          </w:p>
        </w:tc>
        <w:tc>
          <w:tcPr>
            <w:tcW w:w="208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 at grant date</w:t>
            </w:r>
          </w:p>
        </w:tc>
        <w:tc>
          <w:tcPr>
            <w:tcW w:w="4880" w:type="dxa"/>
            <w:vAlign w:val="bottom"/>
          </w:tcPr>
          <w:p>
            <w:pPr>
              <w:ind w:left="1940"/>
              <w:spacing w:after="0"/>
              <w:rPr>
                <w:sz w:val="20"/>
                <w:szCs w:val="20"/>
                <w:color w:val="auto"/>
              </w:rPr>
            </w:pPr>
            <w:r>
              <w:rPr>
                <w:rFonts w:ascii="Arial" w:cs="Arial" w:eastAsia="Arial" w:hAnsi="Arial"/>
                <w:sz w:val="18"/>
                <w:szCs w:val="18"/>
                <w:b w:val="1"/>
                <w:bCs w:val="1"/>
                <w:color w:val="auto"/>
              </w:rPr>
              <w:t>Vesting term</w:t>
            </w:r>
          </w:p>
        </w:tc>
      </w:t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Management and employees</w:t>
            </w: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2017</w:t>
            </w: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400,942</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Over 1 year period, vesting on 1 year anniversary of grant date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activity related to stock options and RSUs during the nine-month period ended September 30, 2017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RSUs</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average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30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grant date</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No.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exercise</w:t>
            </w:r>
          </w:p>
        </w:tc>
        <w:tc>
          <w:tcPr>
            <w:tcW w:w="2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grant date</w:t>
            </w:r>
          </w:p>
        </w:tc>
      </w:tr>
      <w:tr>
        <w:trPr>
          <w:trHeight w:val="234"/>
        </w:trPr>
        <w:tc>
          <w:tcPr>
            <w:tcW w:w="300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fair value</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20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price range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3,679,101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 – 55.00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400,942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1,545,000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2.12 – 2.15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Vested/Exercised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(35,377)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(330,834)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15.57</w:t>
            </w:r>
          </w:p>
        </w:tc>
        <w:tc>
          <w:tcPr>
            <w:tcW w:w="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1.55 – 41.00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43.66</w:t>
            </w:r>
          </w:p>
        </w:tc>
        <w:tc>
          <w:tcPr>
            <w:tcW w:w="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 – 55.00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r>
      <w:tr>
        <w:trPr>
          <w:trHeight w:val="263"/>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Outstanding as of September 30, 2017</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365,565</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4,876,899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 – 41.00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22"/>
                <w:szCs w:val="22"/>
                <w:color w:val="auto"/>
              </w:rPr>
            </w:pPr>
          </w:p>
        </w:tc>
      </w:tr>
      <w:tr>
        <w:trPr>
          <w:trHeight w:val="197"/>
        </w:trPr>
        <w:tc>
          <w:tcPr>
            <w:tcW w:w="30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7"/>
              </w:rPr>
              <w:t>Exercisable as of September 30, 2017</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2,780,024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 – 41.00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On January 20, 2017, the Company entered into amended employment agreements with its named executive officers. Under the terms of certain of these agreements, certain of these officers are entitled to a percentage of the amount equal to the total amount of cash and the fair market value of all noncash consideration paid or payable to the Company or its stockholders in connection with an initial public offering or a change of control of certain subsidiaries of the Company. The amended employment agreements also allow for the granting of equity awards to certain officers in connection with an initial public offering of certain subsidiaries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provisions for the nine months ended September 30, 2017 reflect an estimated global annual effective tax rate of approximately -3.0% from continuing operations. Discontinued operations for the nine months ended September 30, 2017 reflect an annual effective tax rate of 0.0%.</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2017,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for the nine months ended September 30, 2017 of approximately $284 was attributable primarily to tax deductions related to goodwill, for which there is no corresponding financial statement amortization expense, partially offset by the reduction in the valuation allowance needed following the acquisition of Excalibur's deferred tax liability. The final annual tax rate cannot be determined until the end of the fiscal year; therefore, the actual tax rate could differ from current estimates. Although the Company has an immaterial amount of uncertain tax positions, the Company does not expect to record any additional material provisions for unrecognized tax benefits with the next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Parties Transactions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22, 2015, XpresSpa entered into a credit agreement and secured promissory note (the “Debt”) with Rockmore Investment Master Fund Ltd. (“Rockmore”) that was amended on August 8, 2016. Rockmore is an investment entity controlled by the Company’s board member, Bruce T. Bernstein. The Debt had an outstanding balance of $6,500 as of both September 30, 2017 and December 31, 2016, which is included in long-term liabilities in the condensed consolidated balance sheets. During the three- and nine-month period ended September 30, 2017, XpresSpa paid $150 and $580 of interest and recorded $183 and $548 of interest expense, respectively. During May 2017, per the original agreement and with Rockmore’s consent, the Company elected to extend the maturity date of the Debt from May 1, 2018 to May 1, 2019. No other material terms of the Debt were modified.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paid $212 to Mr. Bernstein in March 2017 for the legal costs incurred in conjunction with the acquisition of XpresSpa and certain legal proceedings related to litigation with Amiral Holdings SAS (“Amiral”) prior to the completion of such acquisition, as Mr. Bernstein was indemnified by XpresSpa and was a defendant in the Amiral legal proceedings. These costs are included in accounts payable, accrued expenses and other current liabilities in the condensed consolidated balance sheet as of December 31, 2016.</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Discontinued Operations and Assets and Liabilities Held for Disposal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June 2017, the Company concluded that the requirement to report the results of FLI Charge, a wholly-owned subsidiary included in its technology operating segment, as discontinued operations was triggered. As a result, a non-cash impairment loss of $1,092 relating to FLI Charge’s technology assets and goodwill was recorded as of June 30,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20, 2017 (the “Closing Date”), the Company sold FLI Charge to a group of private investors and FLI Charge management, who will own and operate FLI Charge. The Company will not be providing any continued management or financing support to FLI Charge.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consideration for the sale of FLI Charge is $1,250, payable in installments. The consideration is secured by a note and security agreement. Additionally, the Company is entitled to a 5% royalty, in perpetuity, on the gross revenue of FLI Charge and of any affiliate of FLI Charge with regard to conductive wireless charging, power, or accessories. The Company also received a warrant exercisable in FLI Charge or an affiliate of FLI Charge upon an initial public offering or certain defined events in connection with a change of control. The warrant has a five-year life and is based on a valuation of the lesser of $30,000 or the financing valuation of FLI Charge preceding the initial public offering or certain defined events. The Company is currently evaluating the gain on the sale of FLI Charge.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the components of operating results from discontinued operations, as presented in the condensed consolidated statements of operations and comprehensive loss: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80" w:type="dxa"/>
            <w:vAlign w:val="bottom"/>
            <w:gridSpan w:val="4"/>
          </w:tcPr>
          <w:p>
            <w:pPr>
              <w:jc w:val="center"/>
              <w:ind w:left="317"/>
              <w:spacing w:after="0"/>
              <w:rPr>
                <w:sz w:val="20"/>
                <w:szCs w:val="20"/>
                <w:color w:val="auto"/>
              </w:rPr>
            </w:pPr>
            <w:r>
              <w:rPr>
                <w:rFonts w:ascii="Arial" w:cs="Arial" w:eastAsia="Arial" w:hAnsi="Arial"/>
                <w:sz w:val="18"/>
                <w:szCs w:val="18"/>
                <w:b w:val="1"/>
                <w:bCs w:val="1"/>
                <w:color w:val="auto"/>
                <w:w w:val="89"/>
              </w:rPr>
              <w:t>Three months 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6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tcBorders>
              <w:top w:val="single" w:sz="8" w:color="auto"/>
            </w:tcBorders>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Cost of sales</w:t>
            </w:r>
          </w:p>
        </w:tc>
        <w:tc>
          <w:tcPr>
            <w:tcW w:w="8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8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8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(1,112)</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(2,154)</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(208)</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Income tax expense</w:t>
            </w:r>
          </w:p>
        </w:tc>
        <w:tc>
          <w:tcPr>
            <w:tcW w:w="820" w:type="dxa"/>
            <w:vAlign w:val="bottom"/>
          </w:tcPr>
          <w:p>
            <w:pPr>
              <w:spacing w:after="0"/>
              <w:rPr>
                <w:sz w:val="19"/>
                <w:szCs w:val="19"/>
                <w:color w:val="auto"/>
              </w:rPr>
            </w:pPr>
          </w:p>
        </w:tc>
        <w:tc>
          <w:tcPr>
            <w:tcW w:w="1560" w:type="dxa"/>
            <w:vAlign w:val="bottom"/>
            <w:gridSpan w:val="3"/>
          </w:tcPr>
          <w:p>
            <w:pPr>
              <w:jc w:val="right"/>
              <w:ind w:right="103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82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following table presents the carrying amounts of the major classes of assets and liabilities held for sale as of September 30, 2017 and December 31, 2016, as presented in the condensed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Borders>
              <w:bottom w:val="single" w:sz="8" w:color="CCEEFF"/>
            </w:tcBorders>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Inventory</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Deferred revenue</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legal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judgment is required to determine both the likelihood of there being any potential liability and the estimated amount of a loss related to the Company’s legal matters. Based on the Company’s current knowledge, the Company’s management believes that the amount or range of a potential loss from its outstanding legal matters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matters described below, and assessed the probability and likelihood of the occurrence of liability. Based on management’s estimates, the Company recorded $745, which is included in accounts payable, accrued expenses, and other current liabilities in the condensed consolidated balance sheet as of September 30,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related to XpresSpa’s former partnership with Cordial as XpresSpa’s ACDBE partner in several store locations at Hartsfield-Jackson Atlanta International Airport (the “Cordial Litigation”). On March 3, 2017, XpresSpa filed a first amended complaint against Cordial. On April 5, 2017, Cordial filed a motion to dismiss the Cordial Litigation. On September 12, 2017, the Court held a hearing on the motion to dismiss.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4, 2017, XpresSpa filed a lawsuit in the United States District Court for the Southern District of New York against its former attorney, Kevin Ross, and his law firm, alleging malpractice, unjust enrichment, breach of fiduciary duty, fraudulent inducement, fraudulent concealment, tortious interference, and promissory estoppel related to XpresSpa’s former partnership with Cordial, as well as XpresSpa’s engagement of Kevin Ross as its attorney (the “Ross Litigation”). On March 17, 2017, XpresSpa filed a First Amended Complaint against the defendants. On June 2, 2017, the Ross Defendants filed their answer.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Both the Cordial Litigation and Ross Litigation are pending before the respective courts.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16, 2015, four former employees of XpresSpa who worked at locations in John F. Kennedy International Airport and LaGuardia Airport filed a putative class and collective action wage-hour litigation in the United States District Court for the Eastern District of New York, claiming that they and other spa technicians were misclassified, and that overtime was unpaid. On September 23, 2016, the Court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this motion is pending. In October 2017, XpresSpa paid the agreed-upon settlement amount to the settlement claims administrator, to be held in escrow pending a fairness hearing and final approval by the Court.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XpresSpa is involved in various other claims and legal actions that arise in the ordinary course of business. The Company does not believe that the ultimate resolution of these actions will have a material adverse effect on XpresSpa’s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intellectual property operating segment is engaged in litigation, for which no liability is recorded, as the Company does not expect a material negative outcome.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6, 2017, Moreton Binn and Marisol F, LLC, former shareholders of XpresSpa, filed a lawsuit against the Company and its directors alleging that the defendants engaged in securities violations, misrepresentation, and various other allegations regarding the Company’s acquisition of XpresSpa. The Company is currently in the process of evaluating the claims.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2016 filed on March 30, 2017 (the “2016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FORM Holdings Corp. (prior to May 5, 2016, known as “Vringo, Inc.”), a Delaware corporation,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 (“FORM” or the “Company”) has three operating segments: wellness, technology and intellectual property.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wellness operating segment consists of XpresSpa, which is a leading airport retailer of spa services. XpresSpa is a well-recognized airport spa brand with 51 locations, consisting of 47 domestic and 4 international, as of September 30, 2017. XpresSpa offers travelers premium spa services, including massage, nail and hair as well as spa and travel products. We acquired XpresSpa in the fourth quarter of 2016.</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technology operating segment consists of Group Mobile as well as an 11% equity interest in InfoMedia Services Limited (“InfoMedia”). Group Mobile offers rugged hardware and software solutions, including laptops, tablets, and mobile printers, as well as installation and deployment services. In the first quarter 2017, we completed the acquisition of Excalibur Integrated Systems, Inc. (“Excalibur”) which is an end-to-end solutions provider of mobile hardware devices, wireless network security, data networking, telephony and mobile application development and software solutions. Following the acquisition, Excalibur was merged with Group Mobile within our technology operating segment. Our equity interest in InfoMedia, which is accounted for under the cost method of investment, increased from 8.25% to 11% in the first quarter of 2017 due to a realignment of ownership interests.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evaluating strategic alternatives with respect to Group Mobile in an attempt to enhance stockholder value. These strategic alternatives may include a possible sale, merger, spin-off or other separation of Group Mobile or other forms of business combinations or strategic transactions. We are seeking to enter into one or more strategic transactions involving Group Mobile in the first quarter of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2017, our FLI Charge business is reflected as discontinued operations in our condensed consolidated statements of operations and comprehensive loss and assets held for disposal and liabilities held for disposal in our condensed consolidated balance sheets. FLI Charge was subsequently sold during October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operating segment is engaged in the monetization of patents related to content and ad delivery, remote monitoring and mobile technologies.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26, 2017, we entered into the Underwriting Agreement with Roth Capital Partners, LLC, acting as the representative of the Underwriters, relating to the Offering of 6,900,000 shares of FORM Common Stock including 900,000 shares subject to the Underwriters’ over-allotment option, which was exercised on August 2, 2017 and closed on August 4, 2017. The price to the public in the Offering was $1.10 per share and the Underwriters agreed to purchase the shares of FORM Common Stock from us pursuant to the Underwriting Agreement at a purchase price of $1.023 per share. The net proceeds to us from the Offering were $6,584,000 after deducting underwriting discounts and commissions and other estimated offering expenses.</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Third Quarter 2017 Highlights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8"/>
                <w:szCs w:val="18"/>
                <w:b w:val="1"/>
                <w:bCs w:val="1"/>
                <w:color w:val="auto"/>
                <w:w w:val="96"/>
              </w:rPr>
              <w:t>Three Months Ended September 30, 2017</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3"/>
              </w:rPr>
              <w:t>Intellectual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2"/>
              </w:rPr>
              <w:t>Wellness</w:t>
            </w:r>
          </w:p>
        </w:tc>
        <w:tc>
          <w:tcPr>
            <w:tcW w:w="12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5"/>
              </w:rPr>
              <w:t>Technology</w:t>
            </w:r>
          </w:p>
        </w:tc>
        <w:tc>
          <w:tcPr>
            <w:tcW w:w="1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Property</w:t>
            </w:r>
          </w:p>
        </w:tc>
        <w:tc>
          <w:tcPr>
            <w:tcW w:w="1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12,652,000</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17,731,000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1,005,000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3,902,000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4,907,000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6,458,000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1,950,000</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costs</w:t>
            </w:r>
          </w:p>
        </w:tc>
        <w:tc>
          <w:tcPr>
            <w:tcW w:w="16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934,000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sales</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10,347,000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3,902,000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126,000</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14,375,000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74,000</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3,356,000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 as a % of total revenue</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1,110,000</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597,000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1,707,000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174,000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2,237,000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1,293,000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(149,000)</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1,386,000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4,767,000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2,237,000</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(1,639,000)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(2,099,000)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GAAP and non-GAAP measurements to assess the trends in our business. With respect to XpresSpa, we review its Adjusted EBITDA, a non-GAAP measure, which we define as earnings before interest, tax, depreciation and amortization expense, excluding m</w:t>
      </w:r>
      <w:r>
        <w:rPr>
          <w:rFonts w:ascii="Arial" w:cs="Arial" w:eastAsia="Arial" w:hAnsi="Arial"/>
          <w:sz w:val="18"/>
          <w:szCs w:val="18"/>
          <w:color w:val="422B22"/>
        </w:rPr>
        <w:t>erger and acquisition, integration and one-time</w:t>
      </w:r>
      <w:r>
        <w:rPr>
          <w:rFonts w:ascii="Arial" w:cs="Arial" w:eastAsia="Arial" w:hAnsi="Arial"/>
          <w:sz w:val="18"/>
          <w:szCs w:val="18"/>
          <w:color w:val="auto"/>
        </w:rPr>
        <w:t xml:space="preserve"> </w:t>
      </w:r>
      <w:r>
        <w:rPr>
          <w:rFonts w:ascii="Arial" w:cs="Arial" w:eastAsia="Arial" w:hAnsi="Arial"/>
          <w:sz w:val="18"/>
          <w:szCs w:val="18"/>
          <w:color w:val="422B22"/>
        </w:rPr>
        <w:t xml:space="preserve">costs </w:t>
      </w:r>
      <w:r>
        <w:rPr>
          <w:rFonts w:ascii="Arial" w:cs="Arial" w:eastAsia="Arial" w:hAnsi="Arial"/>
          <w:sz w:val="18"/>
          <w:szCs w:val="18"/>
          <w:color w:val="000000"/>
        </w:rPr>
        <w:t>and stock-based compensation.</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EBITDA has been presented in this Quarterly Report on Form 10-Q and is a supplemental measure of financial performance that is not required by, or presented in accordance with, GAAP. 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operating loss from continuing operations for our three operating segments and corporate to Adjusted EBITDA income (loss) for the three months ended September 30, 2017:</w:t>
      </w:r>
    </w:p>
    <w:p>
      <w:pPr>
        <w:sectPr>
          <w:pgSz w:w="11900" w:h="16838" w:orient="portrait"/>
          <w:cols w:equalWidth="0" w:num="1">
            <w:col w:w="11420"/>
          </w:cols>
          <w:pgMar w:left="240" w:top="904" w:right="239" w:bottom="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422B22"/>
        </w:rPr>
        <w:t>Operating income (loss) from continuing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422B22"/>
        </w:rPr>
        <w:t>Plus: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422B22"/>
        </w:rPr>
        <w:t>Depreciation and amortization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422B22"/>
        </w:rPr>
        <w:t>Stock-based compensation</w:t>
      </w:r>
    </w:p>
    <w:p>
      <w:pPr>
        <w:spacing w:after="0" w:line="9" w:lineRule="exact"/>
        <w:rPr>
          <w:sz w:val="20"/>
          <w:szCs w:val="20"/>
          <w:color w:val="auto"/>
        </w:rPr>
      </w:pPr>
    </w:p>
    <w:p>
      <w:pPr>
        <w:ind w:firstLine="162"/>
        <w:spacing w:after="0" w:line="276" w:lineRule="auto"/>
        <w:rPr>
          <w:sz w:val="20"/>
          <w:szCs w:val="20"/>
          <w:color w:val="auto"/>
        </w:rPr>
      </w:pPr>
      <w:r>
        <w:rPr>
          <w:rFonts w:ascii="Arial" w:cs="Arial" w:eastAsia="Arial" w:hAnsi="Arial"/>
          <w:sz w:val="18"/>
          <w:szCs w:val="18"/>
          <w:color w:val="422B22"/>
        </w:rPr>
        <w:t>Merger and acquisition, integration and one-time costs Adjusted EBITDA income (loss)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422B22"/>
        </w:rPr>
        <w:t>Three Months Ended September 30,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422B22"/>
                <w:w w:val="93"/>
              </w:rPr>
              <w:t>Intellectual</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422B22"/>
                <w:w w:val="92"/>
              </w:rPr>
              <w:t>Wellness</w:t>
            </w:r>
          </w:p>
        </w:tc>
        <w:tc>
          <w:tcPr>
            <w:tcW w:w="10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422B22"/>
                <w:w w:val="87"/>
              </w:rPr>
              <w:t>Technology</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422B22"/>
                <w:w w:val="91"/>
              </w:rPr>
              <w:t>Property</w:t>
            </w:r>
          </w:p>
        </w:tc>
        <w:tc>
          <w:tcPr>
            <w:tcW w:w="14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Corporate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422B22"/>
              </w:rPr>
              <w:t>Total</w:t>
            </w:r>
          </w:p>
        </w:tc>
      </w:tr>
      <w:tr>
        <w:trPr>
          <w:trHeight w:val="224"/>
        </w:trPr>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(1,639,000)</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(490,000)</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217,000</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(4,011,000)</w:t>
            </w:r>
          </w:p>
        </w:tc>
        <w:tc>
          <w:tcPr>
            <w:tcW w:w="60" w:type="dxa"/>
            <w:vAlign w:val="bottom"/>
            <w:gridSpan w:val="2"/>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422B22"/>
              </w:rPr>
              <w:t>1,707,000</w:t>
            </w: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422B22"/>
              </w:rPr>
              <w:t>174,000</w:t>
            </w: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422B22"/>
              </w:rPr>
              <w:t>6,000</w:t>
            </w:r>
          </w:p>
        </w:tc>
        <w:tc>
          <w:tcPr>
            <w:tcW w:w="14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422B22"/>
              </w:rPr>
              <w:t>7,000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422B22"/>
              </w:rPr>
              <w:t>1,894,000</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422B22"/>
              </w:rPr>
              <w:t>—</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422B22"/>
              </w:rPr>
              <w:t>—</w:t>
            </w: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422B22"/>
              </w:rPr>
              <w:t>—</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422B22"/>
              </w:rPr>
              <w:t>706,000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422B22"/>
              </w:rPr>
              <w:t>706,000</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422B22"/>
              </w:rPr>
              <w:t>529,000</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422B22"/>
              </w:rPr>
              <w:t>290,000</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422B22"/>
              </w:rPr>
              <w:t>—</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422B22"/>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422B22"/>
              </w:rPr>
              <w:t>819,000</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422B22"/>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22B22"/>
              </w:rPr>
              <w:t>597,000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422B22"/>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22B22"/>
              </w:rPr>
              <w:t>(26,000</w:t>
            </w:r>
          </w:p>
        </w:tc>
        <w:tc>
          <w:tcPr>
            <w:tcW w:w="220" w:type="dxa"/>
            <w:vAlign w:val="bottom"/>
          </w:tcPr>
          <w:p>
            <w:pPr>
              <w:jc w:val="right"/>
              <w:ind w:right="80"/>
              <w:spacing w:after="0"/>
              <w:rPr>
                <w:sz w:val="20"/>
                <w:szCs w:val="20"/>
                <w:color w:val="auto"/>
              </w:rPr>
            </w:pPr>
            <w:r>
              <w:rPr>
                <w:rFonts w:ascii="Arial" w:cs="Arial" w:eastAsia="Arial" w:hAnsi="Arial"/>
                <w:sz w:val="16"/>
                <w:szCs w:val="16"/>
                <w:color w:val="422B22"/>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422B22"/>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22B22"/>
              </w:rPr>
              <w:t>223,000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22B22"/>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22B22"/>
              </w:rPr>
              <w:t>(1,386,000</w:t>
            </w:r>
          </w:p>
        </w:tc>
        <w:tc>
          <w:tcPr>
            <w:tcW w:w="220" w:type="dxa"/>
            <w:vAlign w:val="bottom"/>
          </w:tcPr>
          <w:p>
            <w:pPr>
              <w:jc w:val="right"/>
              <w:ind w:right="80"/>
              <w:spacing w:after="0"/>
              <w:rPr>
                <w:sz w:val="20"/>
                <w:szCs w:val="20"/>
                <w:color w:val="auto"/>
              </w:rPr>
            </w:pPr>
            <w:r>
              <w:rPr>
                <w:rFonts w:ascii="Arial" w:cs="Arial" w:eastAsia="Arial" w:hAnsi="Arial"/>
                <w:sz w:val="16"/>
                <w:szCs w:val="16"/>
                <w:color w:val="422B22"/>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422B22"/>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422B22"/>
              </w:rPr>
              <w:t>(592,000</w:t>
            </w:r>
          </w:p>
        </w:tc>
        <w:tc>
          <w:tcPr>
            <w:tcW w:w="40" w:type="dxa"/>
            <w:vAlign w:val="bottom"/>
          </w:tcPr>
          <w:p>
            <w:pPr>
              <w:jc w:val="right"/>
              <w:spacing w:after="0"/>
              <w:rPr>
                <w:sz w:val="20"/>
                <w:szCs w:val="20"/>
                <w:color w:val="auto"/>
              </w:rPr>
            </w:pPr>
            <w:r>
              <w:rPr>
                <w:rFonts w:ascii="Arial" w:cs="Arial" w:eastAsia="Arial" w:hAnsi="Arial"/>
                <w:sz w:val="8"/>
                <w:szCs w:val="8"/>
                <w:color w:val="422B22"/>
                <w:w w:val="73"/>
              </w:rPr>
              <w:t>)</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-882650</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-599440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-325120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600"/>
            <w:col w:w="6720"/>
          </w:cols>
          <w:pgMar w:left="240" w:top="904" w:right="239" w:bottom="19"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Merger and acquisition, integration and one-time costs relate to the following:</w:t>
      </w:r>
    </w:p>
    <w:p>
      <w:pPr>
        <w:spacing w:after="0" w:line="225" w:lineRule="exact"/>
        <w:rPr>
          <w:sz w:val="20"/>
          <w:szCs w:val="20"/>
          <w:color w:val="auto"/>
        </w:rPr>
      </w:pPr>
    </w:p>
    <w:p>
      <w:pPr>
        <w:jc w:val="both"/>
        <w:ind w:left="66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our wellness operating segment, one-time costs related to the interruption of business due to hurricanes that affected our locations in Houston, Texas, Miami and Orlando, Florida, and Atlanta, Georgia. These one-time costs of $200,000 directly impacted our cost of sales. Without these one-time costs, our wellness operating segment’s gross profit would have been $2,505,000, or 19.7% of the wellness operating segment’s total revenue.</w:t>
      </w:r>
    </w:p>
    <w:p>
      <w:pPr>
        <w:spacing w:after="0" w:line="17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our wellness operating segment, integration costs related to the acquisition amounted to $329,000, which were recorded in general and administrative expense.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our technology operating segment, $290,000 of one-time reorganization and personnel re-alignment related costs.</w:t>
      </w:r>
    </w:p>
    <w:p>
      <w:pPr>
        <w:sectPr>
          <w:pgSz w:w="11900" w:h="16838" w:orient="portrait"/>
          <w:cols w:equalWidth="0" w:num="1">
            <w:col w:w="11420"/>
          </w:cols>
          <w:pgMar w:left="240" w:top="904" w:right="239" w:bottom="19" w:gutter="0" w:footer="0" w:header="0"/>
          <w:type w:val="continuous"/>
        </w:sectPr>
      </w:pPr>
    </w:p>
    <w:bookmarkStart w:id="22" w:name="page23"/>
    <w:bookmarkEnd w:id="22"/>
    <w:p>
      <w:pPr>
        <w:jc w:val="both"/>
        <w:spacing w:after="0" w:line="286" w:lineRule="auto"/>
        <w:rPr>
          <w:sz w:val="20"/>
          <w:szCs w:val="20"/>
          <w:color w:val="auto"/>
        </w:rPr>
      </w:pPr>
      <w:r>
        <w:rPr>
          <w:rFonts w:ascii="Arial" w:cs="Arial" w:eastAsia="Arial" w:hAnsi="Arial"/>
          <w:sz w:val="17"/>
          <w:szCs w:val="17"/>
          <w:color w:val="auto"/>
        </w:rPr>
        <w:t>Our operating segments are defined as components of an enterprise about which separate financial information is available that is regularly evaluated by the enterprise’s chief operating decision maker (“CODM”) in deciding how to allocate resources and in assessing performance. We concluded that we conduct our business through three operating segments, which are also our reportable segments: wellness, technology and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Segment operating results reflect income (loss) before corporate and unallocated shared expenses, interest expense, income taxes and noncontrolling interests.</w:t>
      </w: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Wellness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wellness operating segment recognized revenue of $12,652,000 during the third quarter of 2017, which was generated by XpresSpa for services provided and health and beauty products sold. We acquired XpresSpa on December 23, 2016 and are actively integrating its corporate functions and optimizing the operating segment’s performance. During the nine-month period ended September 30, 2017, we opened three new flagship locations, consisting of one location at John F. Kennedy International Airport’s Terminal 4 and two locations at Phoenix Sky Harbor International Airport. We also closed three small temporary kiosks to better align our resources. We also completed a major renovation to another location in John F. Kennedy International Airport’s Terminal 4, which opened in September 2017. A number of our stores will be undergoing maintenance or renovations during the fourth quarter of 2017. Wherever possible, we seek to receive lease extensions or other concessions when we undergo these processes. As of September 30, 2017, we operated a total of 51 XpresSpa locations.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422B22"/>
        </w:rPr>
        <w:t>Store-level costs include all costs that are directly attributable to the store operations and include:</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payroll and related benefits for our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rent, percentage rent and other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merchandise as well as its 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supplies;</w:t>
      </w:r>
    </w:p>
    <w:p>
      <w:pPr>
        <w:spacing w:after="0" w:line="225"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the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our sourcing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costs include insurance, infrastructure, payroll and benefits, inventory planning, marketing and other costs. Also included in general and administrative costs are expenses related to one-time costs related to the interruption of business due to hurricanes that affected our locations in Houston, Texas, Miami and Orlando, Florida, and Atlanta, Georgia and the integration costs related to the acquisition, which together amounted to $529,000 during the third quarter of 2017.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costs include the depreciation of leasehold improvements and equipment and the amortization of the brand and customer relationship intangible assets, which were recorded at fair value as of the acquisition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technology operating segment predominantly includes revenues and cost of sales generated by Group Mobile and Excalibur. During the third quarter of 2017, Group Mobile’s revenue increased 178.6% from $1,751,000 for the three-month period ended September 30, 2016 to $4,879,000 for the three-month period ended September 30, 2017. This was mainly due to the increased sales pipeline throughout 2016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intellectual property operating segment includes revenues from one-time patent licenses as well as expenses incurred in connection with our patent licensing and related internal payroll expenses. In July 2017, the intellectual property operating segment recognized a $148,000 gain on the sale of an asset.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unallocated shared expenses principally consist of costs for corporate functions, rent for office space, stock-based compensation, executive management and certain unallocated administrative support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June 2017, we concluded that the requirement to report the results of FLI Charge, a wholly-owned subsidiary included in our technology operating segment, as discontinued operations was triggered. As a result, a non-cash impairment loss of $1,092,000 relating to FLI Charge’s technology assets and goodwill was recorded during the second quarter of 2017.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20, 2017, we sold FLI Charge to a group of private investors and FLI Charge management, who will own and operate FLI Charge. We will not be providing any continued management or financing support to FLI Charge.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consideration for the sale of FLI Charge is $1,250,000, payable in installments. The consideration is secured by a note and security agreement. Additionally, we are entitled to a 5% royalty, in perpetuity, on the gross revenue of FLI Charge and of any affiliate of FLI Charge with regard to conductive wireless charging, power, or accessories. We also received a warrant exercisable in FLI Charge or an affiliate of FLI Charge upon an initial public offering or certain defined events in connection with a change of control. The warrant has a five-year life and is based on a valuation of the lesser of $30,000,000 or the financing valuation of FLI Charge preceding the initial public offering or certain defined events. We are currently evaluating the gain on the sale of FLI Charge.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for FLI Charge are presented on the condensed consolidated statements of operations and comprehensive loss as consolidated net loss from discontinued operations, which totaled $208,000 and $2,321,000 for the three- and nine-month periods ended September 30, 2017, respectively. In addition, the carrying amounts of assets and liabilities belonging to FLI Charge are presented on the condensed consolidated balance sheets as assets held for disposal and liabilities held for disposal,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ectPr>
          <w:pgSz w:w="11900" w:h="16838" w:orient="portrait"/>
          <w:cols w:equalWidth="0" w:num="1">
            <w:col w:w="11420"/>
          </w:cols>
          <w:pgMar w:left="240" w:top="908" w:right="23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8480" w:type="dxa"/>
            <w:vAlign w:val="bottom"/>
            <w:gridSpan w:val="4"/>
          </w:tcPr>
          <w:p>
            <w:pPr>
              <w:spacing w:after="0"/>
              <w:rPr>
                <w:sz w:val="20"/>
                <w:szCs w:val="20"/>
                <w:color w:val="auto"/>
              </w:rPr>
            </w:pPr>
            <w:r>
              <w:rPr>
                <w:rFonts w:ascii="Arial" w:cs="Arial" w:eastAsia="Arial" w:hAnsi="Arial"/>
                <w:sz w:val="18"/>
                <w:szCs w:val="18"/>
                <w:i w:val="1"/>
                <w:iCs w:val="1"/>
                <w:color w:val="auto"/>
                <w:w w:val="94"/>
              </w:rPr>
              <w:t>Three-month period ended September 30, 2017 compared to the three-month period ended September 30, 2016</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gridSpan w:val="8"/>
          </w:tcPr>
          <w:p>
            <w:pPr>
              <w:ind w:left="58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17,731,000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3,101,000</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During the three-month period ended September 30, 2017, we recorded total revenue of $17,731,000, which represents an increase of $14,630,000 (or 471.8%) compared to the three-month period ended September 30, 2016. Of the increase, XpresSpa generated $12,652,000 of revenue in the third quarter of 2017. We did not recognize any revenue generated by XpresSpa prior to its acquisition on December 23, 2016. Our technology operating segment demonstrated 178.6% growth in quarterly revenues from $1,751,000 for the three-month period ended September 30, 2016 to $4,879,000 for the three-month period ended September 30, 2017.</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intellectual property segment recognized a one-time lump sum payment of $200,000 in connection with an executed confidential license agreement for the three-month period ended September 30, 2017, a decrease compared to the three-month period ended September 30, 2016, for which our intellectual property operating segment recognized a one-time lump sum payment of $1,350,000 in connection with an executed confidential license agreement.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gridSpan w:val="8"/>
          </w:tcPr>
          <w:p>
            <w:pPr>
              <w:ind w:left="58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14,375,000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2,718,000</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11,657,000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three-month period ended September 30, 2017, we recorded total cost of sales of $14,375,000, which represents an increase of $11,657,000 (or 428.9%) compared to the three-month period ended September 30, 2016. XpresSpa recorded total cost of sales of $10,347,000, which represent direct costs incurred for store operations. As a result, our wellness operating segment’s gross profit for the quarter was 18.2%. Our technology operating segment recorded cost of sales of $3,902,000, which resulted in our technology operating segment generating 20.0% gross margin during the quarter.</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three-month period ended September 30, 2016, we recorded total cost of sales of $2,718,000. Group Mobile recorded total cost of sales of $1,554,000, which represent direct costs from its product sales. Our intellectual property operating segment’s costs were $1,164,000, which included legal and consulting costs related to the confidential license agreement reached during the quarter and royalty expenses to a previous owner of some of our patents. These intellectual property costs decreased to $126,000 for the three-month period ended September 30, 2017.</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our cost of sales will grow over time as our revenues increase. We expect that total cost of sales as a percentage of sales will decline gradually over time as a result of the improvement of store-level performance by our wellness operating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gridSpan w:val="8"/>
          </w:tcPr>
          <w:p>
            <w:pPr>
              <w:ind w:left="58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182,000</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September 30, 2017, depreciation and amortization expense totaled $1,894,000, which represents an increase of $1,712,000 (or 940.7%) compared to the amortization expense recorded during the three-month period ended September 30, 2016. There was no impairment expense for the three-month period ended September 30, 2017 and no depreciation or impairment expense recorded for the three-month period ended September 30, 2016.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overall increase in depreciation, amortization and impairment expense was mainly due to an increase in depreciation expense resulting from leasehold improvements and equipment of $1,110,000 and the amortization of the brand and customer relationship intangible assets of $597,000, which were acquired as part of our acquisition of XpresSpa within our wellness operating segment in December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depreciation and amortization expense will increase gradually over time for our wellness operating segment as we open more stores and will remain somewhat constant in our technology operating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gridSpan w:val="8"/>
          </w:tcPr>
          <w:p>
            <w:pPr>
              <w:ind w:left="58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3,564,000</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three-month period ended September 30, 2017, general and administrative expenses increased by $1,909,000 (or 53.6%) compared to the three-month period ended September 30, 2016. The results of the three-month period ended September 30, 2017 include incremental general and administrative expenses associated with our acquisitions of XpresSpa and Excalibur. The increase for the three-month period ended September 30, 2017 compared to the three-month period ended September 30, 2016 is primarily attributed to $2,237,000 of general and administrative expenses associated with XpresSpa. We did not recognize any general and administrative expenses generated by Excalibur prior to its acquisition on February 2, 2017 or XpresSpa prior to its acquisition on December 23, 2016. Additionally, there was an increase in stock-based compensation expense of $221,000, which was a result of equity awards granted to our directors, management and employees in January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gridSpan w:val="8"/>
          </w:tcPr>
          <w:p>
            <w:pPr>
              <w:jc w:val="right"/>
              <w:ind w:right="880"/>
              <w:spacing w:after="0"/>
              <w:rPr>
                <w:sz w:val="20"/>
                <w:szCs w:val="20"/>
                <w:color w:val="auto"/>
              </w:rPr>
            </w:pPr>
            <w:r>
              <w:rPr>
                <w:rFonts w:ascii="Arial" w:cs="Arial" w:eastAsia="Arial" w:hAnsi="Arial"/>
                <w:sz w:val="18"/>
                <w:szCs w:val="18"/>
                <w:b w:val="1"/>
                <w:bCs w:val="1"/>
                <w:color w:val="auto"/>
              </w:rPr>
              <w:t>Three months ended September 30,</w:t>
            </w: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1,483,000</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Net non-operating expenses include interest expense, revaluation of derivative warrant liabilities, extinguishment of debt and other non-operating income and expenses.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three-month period ended September 30, 2017, we recorded total net non-operating expense in the amount of $268,000 compared to total net non-operating expense in the amount of $1,483,000 recorded during the three-month period ended September 30, 2016.</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three-month period ended September 30, 2017, we recorded interest expense of $183,000 mainly related to XpresSpa’s Debt as well as other net non-operating expense of $133,000. These expenses were offset by a gain of $48,000 on the revaluation of the derivative warrant liabilities.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three-month period ended September 30, 2016, we recorded interest expense of $949,000 for the amortization of the debt discount and debt issuance costs associated with debt that was repaid during July 2016. We also recorded $262,000 of extinguishment of debt when the debt was repaid. These were in addition to other non-operating expenses of $369,000 offset by a gain of $97,000 on the revaluation of the derivative warrant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Nine-month period ended September 30, 2017 compared to the nine-month period ended September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gridSpan w:val="8"/>
          </w:tcPr>
          <w:p>
            <w:pPr>
              <w:ind w:left="64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48,683,000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16,478,000</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nine-month period ended September 30, 2017, we recorded total revenue of $48,683,000, which represents an increase of $32,205,000 (or 195.4%) as compared to $16,478,000 recorded in the nine-month period ended September 30, 2016. The results of the nine-month period ended September 30, 2017 include incremental revenues associated with our acquisitions of XpresSpa and Excalibur. We did not recognize any revenue generated by Excalibur prior to its acquisition on February 2, 2017 or XpresSpa prior to its acquisition on December 23, 2016. Our technology operating segment demonstrated 115.8% growth in revenue from $5,478,000 for the nine-month period ended September 30, 2016 to $11,820,000 for the nine-month period ended September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gridSpan w:val="8"/>
          </w:tcPr>
          <w:p>
            <w:pPr>
              <w:ind w:left="64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39,446,000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10,985,000</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28,461,000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nine-month period ended September 30, 2017, we recorded total cost of sales of $39,446,000, which represents an increase of $28,461,000 (or 259.1%) compared to the nine-month period ended September 30, 2016. The results of the nine-month period ended September 30, 2017 include incremental cost of sales associated with our acquisitions of XpresSpa and Excalibur. We did not recognize any cost of sales generated by Excalibur prior to its acquisition on February 2, 2017 or XpresSpa prior to its acquisition on December 23, 2016. We expect the cost of sales to increase over time as we incur the full results of operations of XpresSpa and Excalibur.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13,341,000</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nine-month period ended September 30, 2017, depreciation and amortization expense totaled $6,849,000, which represents a decrease of $6,492,000 (or 48.7%) compared to the amortization and impairment expense recorded during the nine-month period ended September 30, 2016. There was no impairment expense for the nine-month period ended September 30, 2017 and no depreciation expense recorded for the nine-month period ended September 30, 2016.</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Amortization and impairment expense for the nine months ended September 30, 2016 was significantly higher and was primarily attributed to an $11,937,000 impairment charge to our patents asset group. During the second quarter of 2016, we determined that there were impairment indicators related to certain of our patents. A significant factor considered when making this determination occurred on May 6, 2016, when we changed the name of our company from “Vringo, Inc.” to “FORM Holdings Corp.” and concurrently announced our repositioning as a holding company of small- and middle-market growth companies. We concluded that this factor was deemed a “triggering” event, which required the related patent assets to be tested for impairment. In performing this impairment test, we determined that the patent portfolios, which together represent an asset group, were subject to impairment testing. In the first step of the impairment test, we utilized our projections of future undiscounted cash flows based on our existing plans for the patents. As a result, it was determined that our projections of future undiscounted cash flows were less than the carrying value of the asset group. Accordingly, we performed the second step of the impairment test to measure the potential impairment by calculating the asset group’s fair value as of May 6, 2016. As a result, following amortization for the month of April 2016, we recorded an impairment charge of $11,937,000, or 88.7% of the carrying value of the patents prior to impairment, which resulted in a new carrying value of $1,526,000 on May 6, 2016. Following the impairment, we reevaluated the remaining useful life and concluded that there were no changes in the estimated useful life. There were no impairment indicators related to any of our other amortizable intangible assets during the nine-month period ended September 30, 2017.</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533" w:gutter="0" w:footer="0" w:header="0"/>
        </w:sectPr>
      </w:pPr>
    </w:p>
    <w:bookmarkStart w:id="27" w:name="page28"/>
    <w:bookmarkEnd w:id="27"/>
    <w:p>
      <w:pPr>
        <w:jc w:val="both"/>
        <w:spacing w:after="0" w:line="273" w:lineRule="auto"/>
        <w:rPr>
          <w:sz w:val="20"/>
          <w:szCs w:val="20"/>
          <w:color w:val="auto"/>
        </w:rPr>
      </w:pPr>
      <w:r>
        <w:rPr>
          <w:rFonts w:ascii="Arial" w:cs="Arial" w:eastAsia="Arial" w:hAnsi="Arial"/>
          <w:sz w:val="17"/>
          <w:szCs w:val="17"/>
          <w:color w:val="auto"/>
        </w:rPr>
        <w:t>The overall decrease in depreciation, amortization and impairment expense, when comparing the nine-month period ended September 30, 2017 to the nine-month period ended September 30, 2016, was partially offset by an increase in depreciation expense resulting from leasehold improvements and equipment of $4,567,000 and the amortization of the brand and customer relationship intangible assets of $1,775,000, which were acquired as part of our acquisition of XpresSpa within our wellness operating segment in December 2016. The depreciation expense of $4,567,000 is higher than the typical depreciation expense for the nine-month period due to a formal decision made in April 2017 to perform a complete renovation of our flagship JFK location which resulted in a revision to the useful lives. This resulted in an additional $1,100,000 of depreciation expense related to the JFK location.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depreciation and amortization expense will increase gradually over time as we open more stores in our wellness operating segment and new locations and will remain somewhat constant in our technology operating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gridSpan w:val="8"/>
          </w:tcPr>
          <w:p>
            <w:pPr>
              <w:ind w:left="64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17,012,000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8,059,000</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nine-month period ended September 30, 2017, general and administrative expenses increased by $8,953,000 (or 111.1%) compared to the nine-month period ended September 30, 2016. The results of the nine-month period ended September 30, 2017 include incremental general and administrative expenses associated with our acquisitions of XpresSpa and Excalibur. The increase for the nine-month period ended September 30, 2017 compared to the same period ended September 30, 2016 is primarily attributed to $6,537,000 of general and administrative expenses associated with XpresSpa, of which $1,013,000 related to merger and acquisition, integration, and one-time costs. We did not recognize any general and administrative expenses generated by Excalibur prior to its acquisition on February 2, 2017 or XpresSpa prior to its acquisition on December 23, 2016. Additionally, there was an increase in stock-based compensation expense of $732,000, which was a result of equity awards granted to our directors, management and employees in January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1,923,000</w:t>
            </w:r>
          </w:p>
        </w:tc>
        <w:tc>
          <w:tcPr>
            <w:tcW w:w="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non-operating expenses include interest expense, revaluation of derivative warrant liabilities, extinguishment of debt and other non-operating income and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nine-month period ended September 30, 2017, we recorded total net non-operating expense in the amount of $574,000 compared to total net non-operating expense in the amount of $1,923,000 recorded during the nine-month period ended September 30, 2016.</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nine-month period ended September 30, 2017, we recorded interest expense of $550,000 mainly related to XpresSpa’s Debt as well as other net non-operating expense of $231,000. These expenses were reduced by a gain of $207,000 on the revaluation of the derivative warrant liabilities.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nine-month period ended September 30, 2016, we recorded interest expense of $1,697,000 for the interest recorded related to the monthly interest payments and the amortization of the debt discount and debt issuance costs as well as accrued interest calculated using the effective interest method associated with debt that was repaid during July 2016. There was also $472,000 of extinguishment of debt recorded when the debt was repaid. These non-operating expenses were offset by a gain of $97,000 on the revaluation of the derivative warrant liabilities and other net non-operating income of $149,000.</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primary liquidity and capital requirements are for new XpresSpa locations for our wellness operating segment, as well as working capital for our technology operating segment. As of September 30, 2017, we had cash and cash equivalents of $10,072,000 that we expect to utilize, along with cash flows from operations, to provide capital to support the growth of our business, primarily through opening new XpresSpa locations, maintaining our existing XpresSpa locations, purchasing inventory for Group Mobile to support the growth in sales and maintaining corporate functions. In addition, we have approximately $7,342,000 of trade receivables, inventory and other current assets to support our working capital needs.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26, 2017, we entered into the Underwriting Agreement with Roth Capital Partners, LLC, acting as the representative of the Underwriters, relating to the Offering of 6,900,000 shares of FORM Common Stock including 900,000 shares subject to the Underwriters’ over-allotment option, which was exercised on August 2, 2017 and closed on August 4, 2017. The price to the public in the Offering was $1.10 per share and the Underwriters agreed to purchase the shares of FORM Common Stock from us pursuant to the Underwriting Agreement at a purchase price of $1.023 per share. Our net proceeds from the Offering were $6,584,000 after deducting underwriting discounts and commissions and other estimated offering expenses.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cash decreased from $17,910,000 as of December 31, 2016 to $10,072,000 as of September 30, 2017. Approximately $11,057,000 of the cash outflow during the nine-month period ended September 30, 2017 was related either to non-recurring payments, capital expenditures or payments for inventory, the latter of which is reflected as a current asset in the condensed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Key payments and items from December 31, 2016 to September 30, 2017:</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Cash spent on inventory on-hand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Overdue payables acquired as part of XpresSpa</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for stores and technology</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Merger and acquisition and integration-related professional fees</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1,595,000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Leases and tax-related matters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Interest paid on Debt</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line of credit upon Excalibur acquisition</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XpresSpa severance</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Cash outflow related to discontinued operations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1,132,000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11,057,000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on our current operating plans, we expect to have sufficient funds for at least the next 12 months of operations following the date of these financial statements. In addition, we may choose to raise additional funds in connection with new store openings and potential acquisitions of operating assets, which will be complementary to our wellness operating segment. There can be no assurance, however, that any such opportunities will materialize.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included in our Annual Report on Form 10-K filed with the SEC on March 30, 2017,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disclosure controls and procedures (as defined in Rule 13a-15(e) promulgated under the Securities Exchange Act of 1934, as amended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2017, we carried out an evaluation, under the supervision and with the participation of our management, including our Chief Executive Officer and Chief Financial Officer, of the effectiveness of the design and operation of our disclosure controls and procedures. Based on the foregoing, our Chief Executive Officer and Chief Financial Officer concluded that our disclosure controls and procedures were effective as of the end of the period covered by this report.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scope of management's assessment of the effectiveness of internal control over financial reporting includes all of our subsidiaries except Excalibur, which was acquired on February 2, 2017. Our consolidated revenue for the nine-month period ended September 30, 2017 was $48,683,000, of which Excalibur represented $4,195,000, and our total assets as of September 30, 2017 were $73,839,000, of which Excalibur represented $4,772,000.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 2017, we acquired Excalibur, which is an end-to-end solutions provider of mobile hardware devices, wireless network security, data networking, telephony and mobile application development and software solutions. Following the acquisition, Excalibur was merged with Group Mobile within our technology operating segment. We are currently in the process of evaluating and integrating Excalibur's historical internal controls over financial reporting into ours.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this change, there were no changes in our internal control over financial reporting during the quarter ended September 30, 2017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legal proceedings, see Note 11 “Commitments and Contingencies” in our notes to the condensed consolidated financial statements included in “Item 1.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Our business, financial condition, results of operations and the trading price of our common stock could be materially adversely affected by any of the following risks as well as the other risks highlighted in our Form 10-K for the year ended December 31, 2016 filed with the SEC on March 30, 2017. Additional risks and uncertainties not presently known to us or that we currently deem immaterial also may materially affect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XpresSpa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is highly dependent on our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growth strategy primarily contemplates expansion through procuring new XpresSpa locations and opening new XpresSpa stores and kiosks. Implementing this strategy depends on our ability to successfully identify new store locations. We will also need to assess and mitigate the risk of any new store locations, to open the stores on favorable terms and to successfully integrate their operations with ours. We may not be able to successfully identify opportunities that meet these criteria, or, if we do, we may not be able to successfully negotiate and open new stores on a timely basis. If we are unable to identify and open new XpresSpa locations in accordance with our operating plan, our revenue growth rate and financial performance may fall short of our expectations.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we provide preliminary financial results or forward 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and in our Form 10-K for the year ended December 31, 2016. If we fail to meet our projections and/or other financial guidance for any reason, our stock price could decline.</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6"/>
              </w:rPr>
              <w:t>No.</w:t>
            </w:r>
          </w:p>
        </w:tc>
        <w:tc>
          <w:tcPr>
            <w:tcW w:w="10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gridSpan w:val="4"/>
          </w:tcPr>
          <w:p>
            <w:pPr>
              <w:ind w:left="11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420" w:type="dxa"/>
            <w:vAlign w:val="bottom"/>
            <w:gridSpan w:val="2"/>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Principal Executive Officer pursuant to Exchange Act, Rules 13a - 14(a) and 15d - 14(a), as adopted pursuant to Section 302</w:t>
              </w:r>
            </w:hyperlink>
          </w:p>
        </w:tc>
      </w:tr>
      <w:tr>
        <w:trPr>
          <w:trHeight w:val="196"/>
        </w:trPr>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of the Sarbanes-Oxley Act of 2002.</w:t>
              </w:r>
            </w:hyperlink>
          </w:p>
        </w:tc>
        <w:tc>
          <w:tcPr>
            <w:tcW w:w="40" w:type="dxa"/>
            <w:vAlign w:val="bottom"/>
            <w:gridSpan w:val="2"/>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Certification of Principal Financial Officer pursuant to Exchange Act Rules 13a - 14(a) and 15d - 14(a), as adopted pursuant to Section 302</w:t>
              </w:r>
            </w:hyperlink>
          </w:p>
        </w:tc>
        <w:tc>
          <w:tcPr>
            <w:tcW w:w="120" w:type="dxa"/>
            <w:vAlign w:val="bottom"/>
            <w:gridSpan w:val="3"/>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of the Sarbanes-Oxley Act of 2002.</w:t>
              </w:r>
            </w:hyperlink>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32**</w:t>
              </w:r>
            </w:hyperlink>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Certifications of Principal Executive Officer and Principal Financial Officer Pursuant to 18 U.S.C. Section 1350, as adopted pursuant to</w:t>
              </w:r>
            </w:hyperlink>
          </w:p>
        </w:tc>
      </w:tr>
      <w:tr>
        <w:trPr>
          <w:trHeight w:val="196"/>
        </w:trPr>
        <w:tc>
          <w:tcPr>
            <w:tcW w:w="3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Section 906 of the Sarbanes-Oxley Act of 2002.</w:t>
              </w:r>
            </w:hyperlink>
          </w:p>
        </w:tc>
        <w:tc>
          <w:tcPr>
            <w:tcW w:w="66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300" w:hanging="129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300" w:hanging="129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9th day of November 2017.</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ANASTASIA NYRKOVSKAYA</w:t>
            </w:r>
          </w:p>
        </w:tc>
      </w:tr>
      <w:tr>
        <w:trPr>
          <w:trHeight w:val="191"/>
        </w:trPr>
        <w:tc>
          <w:tcPr>
            <w:tcW w:w="56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5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r>
    </w:tbl>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2017</w:t>
      </w:r>
    </w:p>
    <w:p>
      <w:pPr>
        <w:spacing w:after="0" w:line="225" w:lineRule="exact"/>
        <w:rPr>
          <w:sz w:val="20"/>
          <w:szCs w:val="20"/>
          <w:color w:val="auto"/>
        </w:rPr>
      </w:pPr>
    </w:p>
    <w:p>
      <w:pPr>
        <w:ind w:left="4600"/>
        <w:spacing w:after="0"/>
        <w:tabs>
          <w:tab w:leader="none" w:pos="49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2017</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FORM Holdings Corp., a Delaware corporation (the “Company”), does hereby certify, to such officer’s knowledge, that: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Quarterly Report for the quarter ended September 30, 2017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5"/>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2019-12-29T03:06:29Z</dcterms:created>
  <dcterms:modified xsi:type="dcterms:W3CDTF">2019-12-29T03:06:29Z</dcterms:modified>
</cp:coreProperties>
</file>