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March 31, 2022</w:t>
      </w:r>
    </w:p>
    <w:p>
      <w:pPr>
        <w:spacing w:after="0" w:line="31"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XpresSpa Group, Inc.</w:t>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40"/>
          </w:cols>
          <w:pgMar w:left="320" w:top="671" w:right="439" w:bottom="416" w:gutter="0" w:footer="0" w:header="0"/>
        </w:sectPr>
      </w:pP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20-4988129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161" w:lineRule="exact"/>
        <w:rPr>
          <w:sz w:val="24"/>
          <w:szCs w:val="24"/>
          <w:color w:val="auto"/>
        </w:rPr>
      </w:pPr>
    </w:p>
    <w:p>
      <w:pPr>
        <w:sectPr>
          <w:pgSz w:w="11900" w:h="16838" w:orient="portrait"/>
          <w:cols w:equalWidth="0" w:num="2">
            <w:col w:w="6360" w:space="720"/>
            <w:col w:w="4060"/>
          </w:cols>
          <w:pgMar w:left="320" w:top="671" w:right="439" w:bottom="416"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Scott R. Milford</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jc w:val="center"/>
        <w:ind w:right="-99"/>
        <w:spacing w:after="0" w:line="192" w:lineRule="auto"/>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Robert J. Endicott, Esq.</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Kenneth L. Henderson, Esq.</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Bryan Cave Leighton Paisner LLP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One Metropolitan Square</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211 North Broadway, Suite 3600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 Louis, MO 63102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(314) 259-2000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this Registration Statement becomes effective.</w:t>
      </w:r>
    </w:p>
    <w:p>
      <w:pPr>
        <w:spacing w:after="0" w:line="19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65" w:lineRule="exact"/>
        <w:rPr>
          <w:sz w:val="24"/>
          <w:szCs w:val="24"/>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3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671" w:right="439" w:bottom="416" w:gutter="0" w:footer="0" w:header="0"/>
          <w:type w:val="continuous"/>
        </w:sectPr>
      </w:pPr>
    </w:p>
    <w:p>
      <w:pPr>
        <w:spacing w:after="0" w:line="147"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9" w:lineRule="exact"/>
        <w:rPr>
          <w:sz w:val="24"/>
          <w:szCs w:val="24"/>
          <w:color w:val="auto"/>
        </w:rPr>
      </w:pPr>
    </w:p>
    <w:p>
      <w:pPr>
        <w:sectPr>
          <w:pgSz w:w="11900" w:h="16838" w:orient="portrait"/>
          <w:cols w:equalWidth="0" w:num="2">
            <w:col w:w="6600" w:space="720"/>
            <w:col w:w="3820"/>
          </w:cols>
          <w:pgMar w:left="320" w:top="671" w:right="439" w:bottom="416" w:gutter="0" w:footer="0" w:header="0"/>
          <w:type w:val="continuous"/>
        </w:sectPr>
      </w:pPr>
    </w:p>
    <w:p>
      <w:pPr>
        <w:ind w:right="6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71" w:right="439" w:bottom="416" w:gutter="0" w:footer="0" w:header="0"/>
          <w:type w:val="continuous"/>
        </w:sectPr>
      </w:pPr>
    </w:p>
    <w:bookmarkStart w:id="1" w:name="page2"/>
    <w:bookmarkEnd w:id="1"/>
    <w:p>
      <w:pPr>
        <w:ind w:right="140"/>
        <w:spacing w:after="0" w:line="256" w:lineRule="auto"/>
        <w:rPr>
          <w:sz w:val="20"/>
          <w:szCs w:val="20"/>
          <w:color w:val="auto"/>
        </w:rPr>
      </w:pPr>
      <w:r>
        <w:rPr>
          <w:rFonts w:ascii="Times New Roman" w:cs="Times New Roman" w:eastAsia="Times New Roman" w:hAnsi="Times New Roman"/>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 dated March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XPRESSPA GROUP,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4,696,134 SHARES</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4,696,134 shares of our common stock, par value $0.01 per share (“Common Stock”), by the selling stockholders named herein. On January 9, 2022, we entered into a Membership Interests Purchase Agreement (the “Purchase Agreement”) with Peter Newman, John H. Martinson and Ezra Ernst (the “Selling Stockholders”). Pursuant to the Purchase Agreement, we acquired all of the issued and outstanding membership interests of GCG Connect LLC d/b/a HyperPointe, a New Jersey limited liability company, from the Selling Stockholders in exchange for a cash payment and the issuance of 552,487 shares of our Common Stock at closing (the “Closing Shares”). In addition, the Selling Stockholders may be entitled to earn-out payments of up to $7,500,000 based on the achievement of certain milestones during the three years following the date of the Purchase Agreement. Earn-out payments, if any, may be made, at the election of the Selling Stockholders, in cash, in Common Stock, valued at $1.81 per share, or a combination thereof, such that up to a maximum of 4,143,647 additional shares of Common Stock could be issued to the Selling Stockholders if all earn-out milestones are achieved (the “Earn-out Shares”).</w:t>
      </w:r>
    </w:p>
    <w:p>
      <w:pPr>
        <w:spacing w:after="0" w:line="18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terms of the Purchase Agreement, we are required to register the resale of (a) the shares of Common Stock issued at the closing of the transactions contemplated by the Purchase Agreement and (b) 100% of the Earn-out Shares.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shares by any Selling Stockholder. The Selling Stockholders may sell their respective shares of Common Stock described in this prospectus in a number of different ways and at varying prices. We provide more information about how the Selling Stockholders may resell their respective shares of our Common Stock in the section titled “Plan of Distribution” beginning on page 8. We will pay the expenses incurred in registering the shares, including legal and accounting fees.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Common Stock is quoted on The Nasdaq Capital Market, or Nasdaq, under the symbol “XSPA.” On March 30, 2022, the last reported sale price of our Common Stock was $1.20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Before deciding whether to invest in our securities, you should consider carefully the risks that we have described on page 2 of this prospectus under the caption “Risk Factors.”</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79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67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22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ABOUT THIS PROSPECTUS</w:t>
              </w:r>
            </w:hyperlink>
          </w:p>
        </w:tc>
        <w:tc>
          <w:tcPr>
            <w:tcW w:w="820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0000EE"/>
            </w:tcBorders>
            <w:gridSpan w:val="2"/>
          </w:tcPr>
          <w:p>
            <w:pPr>
              <w:jc w:val="right"/>
              <w:spacing w:after="0"/>
              <w:rPr>
                <w:rFonts w:ascii="Times New Roman" w:cs="Times New Roman" w:eastAsia="Times New Roman" w:hAnsi="Times New Roman"/>
                <w:sz w:val="18"/>
                <w:szCs w:val="18"/>
                <w:color w:val="0000EE"/>
                <w:w w:val="79"/>
              </w:rPr>
            </w:pPr>
            <w:hyperlink w:anchor="page4">
              <w:r>
                <w:rPr>
                  <w:rFonts w:ascii="Times New Roman" w:cs="Times New Roman" w:eastAsia="Times New Roman" w:hAnsi="Times New Roman"/>
                  <w:sz w:val="18"/>
                  <w:szCs w:val="18"/>
                  <w:color w:val="0000EE"/>
                  <w:w w:val="79"/>
                </w:rPr>
                <w:t>ii</w:t>
              </w:r>
            </w:hyperlink>
          </w:p>
        </w:tc>
      </w:tr>
      <w:tr>
        <w:trPr>
          <w:trHeight w:val="277"/>
        </w:trPr>
        <w:tc>
          <w:tcPr>
            <w:tcW w:w="2060" w:type="dxa"/>
            <w:vAlign w:val="bottom"/>
            <w:gridSpan w:val="5"/>
          </w:tcPr>
          <w:p>
            <w:pPr>
              <w:spacing w:after="0"/>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PROSPECTUS SUMMARY</w:t>
              </w:r>
            </w:hyperlink>
          </w:p>
        </w:tc>
        <w:tc>
          <w:tcPr>
            <w:tcW w:w="8380" w:type="dxa"/>
            <w:vAlign w:val="bottom"/>
            <w:gridSpan w:val="8"/>
          </w:tcPr>
          <w:p>
            <w:pPr>
              <w:spacing w:after="0"/>
              <w:rPr>
                <w:sz w:val="24"/>
                <w:szCs w:val="24"/>
                <w:color w:val="auto"/>
              </w:rPr>
            </w:pPr>
          </w:p>
        </w:tc>
        <w:tc>
          <w:tcPr>
            <w:tcW w:w="800" w:type="dxa"/>
            <w:vAlign w:val="bottom"/>
            <w:gridSpan w:val="5"/>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1</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260" w:type="dxa"/>
            <w:vAlign w:val="bottom"/>
            <w:gridSpan w:val="2"/>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RISK FACTORS</w:t>
              </w:r>
            </w:hyperlink>
          </w:p>
        </w:tc>
        <w:tc>
          <w:tcPr>
            <w:tcW w:w="800" w:type="dxa"/>
            <w:vAlign w:val="bottom"/>
            <w:gridSpan w:val="3"/>
          </w:tcPr>
          <w:p>
            <w:pPr>
              <w:spacing w:after="0"/>
              <w:rPr>
                <w:sz w:val="24"/>
                <w:szCs w:val="24"/>
                <w:color w:val="auto"/>
              </w:rPr>
            </w:pPr>
          </w:p>
        </w:tc>
        <w:tc>
          <w:tcPr>
            <w:tcW w:w="8380" w:type="dxa"/>
            <w:vAlign w:val="bottom"/>
            <w:gridSpan w:val="8"/>
          </w:tcPr>
          <w:p>
            <w:pPr>
              <w:spacing w:after="0"/>
              <w:rPr>
                <w:sz w:val="24"/>
                <w:szCs w:val="24"/>
                <w:color w:val="auto"/>
              </w:rPr>
            </w:pPr>
          </w:p>
        </w:tc>
        <w:tc>
          <w:tcPr>
            <w:tcW w:w="800" w:type="dxa"/>
            <w:vAlign w:val="bottom"/>
            <w:gridSpan w:val="5"/>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0440" w:type="dxa"/>
            <w:vAlign w:val="bottom"/>
            <w:gridSpan w:val="13"/>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SPECIAL NOTE REGARDING FORWARD-LOOKING STATEMENTS</w:t>
              </w:r>
            </w:hyperlink>
          </w:p>
        </w:tc>
        <w:tc>
          <w:tcPr>
            <w:tcW w:w="800" w:type="dxa"/>
            <w:vAlign w:val="bottom"/>
            <w:gridSpan w:val="5"/>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w:t>
              </w:r>
            </w:hyperlink>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5340" w:type="dxa"/>
            <w:vAlign w:val="bottom"/>
            <w:gridSpan w:val="11"/>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USE OF PROCEEDS</w:t>
              </w:r>
            </w:hyperlink>
          </w:p>
        </w:tc>
        <w:tc>
          <w:tcPr>
            <w:tcW w:w="5100" w:type="dxa"/>
            <w:vAlign w:val="bottom"/>
            <w:gridSpan w:val="2"/>
          </w:tcPr>
          <w:p>
            <w:pPr>
              <w:spacing w:after="0"/>
              <w:rPr>
                <w:sz w:val="24"/>
                <w:szCs w:val="24"/>
                <w:color w:val="auto"/>
              </w:rPr>
            </w:pPr>
          </w:p>
        </w:tc>
        <w:tc>
          <w:tcPr>
            <w:tcW w:w="800" w:type="dxa"/>
            <w:vAlign w:val="bottom"/>
            <w:gridSpan w:val="5"/>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4</w:t>
              </w:r>
            </w:hyperlink>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220" w:type="dxa"/>
            <w:vAlign w:val="bottom"/>
            <w:gridSpan w:val="6"/>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SELLING STOCKHOLDERS</w:t>
              </w:r>
            </w:hyperlink>
          </w:p>
        </w:tc>
        <w:tc>
          <w:tcPr>
            <w:tcW w:w="8220" w:type="dxa"/>
            <w:vAlign w:val="bottom"/>
            <w:gridSpan w:val="7"/>
          </w:tcPr>
          <w:p>
            <w:pPr>
              <w:spacing w:after="0"/>
              <w:rPr>
                <w:sz w:val="24"/>
                <w:szCs w:val="24"/>
                <w:color w:val="auto"/>
              </w:rPr>
            </w:pPr>
          </w:p>
        </w:tc>
        <w:tc>
          <w:tcPr>
            <w:tcW w:w="800" w:type="dxa"/>
            <w:vAlign w:val="bottom"/>
            <w:gridSpan w:val="5"/>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5</w:t>
              </w:r>
            </w:hyperlink>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60" w:type="dxa"/>
            <w:vAlign w:val="bottom"/>
            <w:gridSpan w:val="5"/>
          </w:tcPr>
          <w:p>
            <w:pPr>
              <w:spacing w:after="0"/>
              <w:rPr>
                <w:rFonts w:ascii="Times New Roman" w:cs="Times New Roman" w:eastAsia="Times New Roman" w:hAnsi="Times New Roman"/>
                <w:sz w:val="18"/>
                <w:szCs w:val="18"/>
                <w:color w:val="0000EE"/>
                <w:w w:val="98"/>
              </w:rPr>
            </w:pPr>
            <w:hyperlink w:anchor="page12">
              <w:r>
                <w:rPr>
                  <w:rFonts w:ascii="Times New Roman" w:cs="Times New Roman" w:eastAsia="Times New Roman" w:hAnsi="Times New Roman"/>
                  <w:sz w:val="18"/>
                  <w:szCs w:val="18"/>
                  <w:color w:val="0000EE"/>
                  <w:w w:val="98"/>
                </w:rPr>
                <w:t>PLAN OF DISTRIBUTION</w:t>
              </w:r>
            </w:hyperlink>
          </w:p>
        </w:tc>
        <w:tc>
          <w:tcPr>
            <w:tcW w:w="160" w:type="dxa"/>
            <w:vAlign w:val="bottom"/>
          </w:tcPr>
          <w:p>
            <w:pPr>
              <w:spacing w:after="0"/>
              <w:rPr>
                <w:sz w:val="24"/>
                <w:szCs w:val="24"/>
                <w:color w:val="auto"/>
              </w:rPr>
            </w:pPr>
          </w:p>
        </w:tc>
        <w:tc>
          <w:tcPr>
            <w:tcW w:w="8220" w:type="dxa"/>
            <w:vAlign w:val="bottom"/>
            <w:gridSpan w:val="7"/>
          </w:tcPr>
          <w:p>
            <w:pPr>
              <w:spacing w:after="0"/>
              <w:rPr>
                <w:sz w:val="24"/>
                <w:szCs w:val="24"/>
                <w:color w:val="auto"/>
              </w:rPr>
            </w:pPr>
          </w:p>
        </w:tc>
        <w:tc>
          <w:tcPr>
            <w:tcW w:w="800" w:type="dxa"/>
            <w:vAlign w:val="bottom"/>
            <w:gridSpan w:val="5"/>
          </w:tcPr>
          <w:p>
            <w:pPr>
              <w:jc w:val="right"/>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8</w:t>
              </w:r>
            </w:hyperlink>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9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DESCRIPTION OF COMMON STOCK</w:t>
              </w:r>
            </w:hyperlink>
          </w:p>
        </w:tc>
        <w:tc>
          <w:tcPr>
            <w:tcW w:w="7480" w:type="dxa"/>
            <w:vAlign w:val="bottom"/>
            <w:gridSpan w:val="5"/>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11</w:t>
              </w:r>
            </w:hyperlink>
          </w:p>
        </w:tc>
      </w:tr>
      <w:tr>
        <w:trPr>
          <w:trHeight w:val="277"/>
        </w:trPr>
        <w:tc>
          <w:tcPr>
            <w:tcW w:w="10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16">
              <w:r>
                <w:rPr>
                  <w:rFonts w:ascii="Times New Roman" w:cs="Times New Roman" w:eastAsia="Times New Roman" w:hAnsi="Times New Roman"/>
                  <w:sz w:val="18"/>
                  <w:szCs w:val="18"/>
                  <w:color w:val="0000EE"/>
                  <w:w w:val="98"/>
                </w:rPr>
                <w:t>CERTAIN PROVISIONS OF DELAWARE LAW AND OF THE COMPANY’S CERTIFICATE OF INCORPORATION AND BYLAWS</w:t>
              </w:r>
            </w:hyperlink>
          </w:p>
        </w:tc>
        <w:tc>
          <w:tcPr>
            <w:tcW w:w="4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12</w:t>
              </w:r>
            </w:hyperlink>
          </w:p>
        </w:tc>
      </w:tr>
      <w:tr>
        <w:trPr>
          <w:trHeight w:val="277"/>
        </w:trPr>
        <w:tc>
          <w:tcPr>
            <w:tcW w:w="10440" w:type="dxa"/>
            <w:vAlign w:val="bottom"/>
            <w:gridSpan w:val="13"/>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LEGAL MATTERS</w:t>
              </w:r>
            </w:hyperlink>
          </w:p>
        </w:tc>
        <w:tc>
          <w:tcPr>
            <w:tcW w:w="800" w:type="dxa"/>
            <w:vAlign w:val="bottom"/>
            <w:gridSpan w:val="5"/>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13</w:t>
              </w:r>
            </w:hyperlink>
          </w:p>
        </w:tc>
      </w:tr>
      <w:tr>
        <w:trPr>
          <w:trHeight w:val="277"/>
        </w:trPr>
        <w:tc>
          <w:tcPr>
            <w:tcW w:w="7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2"/>
          </w:tcPr>
          <w:p>
            <w:pPr>
              <w:spacing w:after="0"/>
              <w:rPr>
                <w:sz w:val="24"/>
                <w:szCs w:val="24"/>
                <w:color w:val="auto"/>
              </w:rPr>
            </w:pPr>
          </w:p>
        </w:tc>
        <w:tc>
          <w:tcPr>
            <w:tcW w:w="8980" w:type="dxa"/>
            <w:vAlign w:val="bottom"/>
            <w:gridSpan w:val="10"/>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13</w:t>
              </w:r>
            </w:hyperlink>
          </w:p>
        </w:tc>
      </w:tr>
      <w:tr>
        <w:trPr>
          <w:trHeight w:val="277"/>
        </w:trPr>
        <w:tc>
          <w:tcPr>
            <w:tcW w:w="10440" w:type="dxa"/>
            <w:vAlign w:val="bottom"/>
            <w:gridSpan w:val="13"/>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WHERE YOU CAN FIND MORE INFORMATION</w:t>
              </w:r>
            </w:hyperlink>
          </w:p>
        </w:tc>
        <w:tc>
          <w:tcPr>
            <w:tcW w:w="800" w:type="dxa"/>
            <w:vAlign w:val="bottom"/>
            <w:gridSpan w:val="5"/>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13</w:t>
              </w:r>
            </w:hyperlink>
          </w:p>
        </w:tc>
      </w:tr>
      <w:tr>
        <w:trPr>
          <w:trHeight w:val="20"/>
        </w:trPr>
        <w:tc>
          <w:tcPr>
            <w:tcW w:w="3820" w:type="dxa"/>
            <w:vAlign w:val="bottom"/>
            <w:gridSpan w:val="9"/>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77"/>
        </w:trPr>
        <w:tc>
          <w:tcPr>
            <w:tcW w:w="10440" w:type="dxa"/>
            <w:vAlign w:val="bottom"/>
            <w:gridSpan w:val="13"/>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INCORPORATION OF CERTAIN DOCUMENTS BY REFERENCE</w:t>
              </w:r>
            </w:hyperlink>
          </w:p>
        </w:tc>
        <w:tc>
          <w:tcPr>
            <w:tcW w:w="800" w:type="dxa"/>
            <w:vAlign w:val="bottom"/>
            <w:gridSpan w:val="5"/>
          </w:tcPr>
          <w:p>
            <w:pPr>
              <w:jc w:val="right"/>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14</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00" w:lineRule="exact"/>
        <w:rPr>
          <w:sz w:val="20"/>
          <w:szCs w:val="20"/>
          <w:color w:val="auto"/>
        </w:rPr>
      </w:pPr>
    </w:p>
    <w:p>
      <w:pPr>
        <w:spacing w:after="0" w:line="2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This prospectus does not contain all of the information included in the registration statement. For a more complete understanding of the offering of the securities, you should refer to the registration statement, including its exhibits. This prospectus, together with the documents incorporated by reference into this prospectus, includes all material information relating to the offering of securities under this prospectus. You should carefully read this prospectus, the information and documents incorporated herein by reference and the additional information under the heading “Where You Can Find More Information” before making an investment decision.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the Selling Stockholders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and the Selling Stockholders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“we,” “our,” “us,” or the “Company” in this prospectus mean XpresSpa Group, Inc., together with its subsidiaries.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317500</wp:posOffset>
            </wp:positionH>
            <wp:positionV relativeFrom="page">
              <wp:posOffset>447040</wp:posOffset>
            </wp:positionV>
            <wp:extent cx="6913245" cy="6913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3245" cy="6913880"/>
                    </a:xfrm>
                    <a:prstGeom prst="rect">
                      <a:avLst/>
                    </a:prstGeom>
                    <a:noFill/>
                  </pic:spPr>
                </pic:pic>
              </a:graphicData>
            </a:graphic>
          </wp:anchor>
        </w:drawing>
        <w:t>PROSPECTUS SUMMARY</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a general description of the securities that may be offered for resale or other disposition by the Selling Stockholders.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our most recent annual and quarterly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XpresSpa Group, Inc. (“XpresSpa Group”) is one of the leading global travel health and wellness services holding companies. XpresSpa Group currently has three reportable operating segments: XpresSpa®, XpresTest™, and Treat™.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XpresSpa Group’s subsidiary, Xpres Spa Holdings, LLC (“XpresSpa”), has been a global airport retailer of spa services through its XpresSpa spa locations, offering travelers premium spa services, including massage, nail and skin care, as well as spa and travel products.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2020, we temporarily closed all global XpresSpa locations due to the categorization by local jurisdictions of the spa locations as “non-essential services.” XpresSpa reopened 22 locations as of December 31, 2021. We will evaluate reopening the remaining XpresSpa spa locations on a location-by-location basis as travel returns and resume normal operations at such selected locations once airport traffic returns to sufficient levels to support operations at a unit level, and achieve adequate unit-level economics, including acceptable profit levels as well as serves our longer term strategy of offering fully integrated health and wellness services.</w:t>
      </w:r>
    </w:p>
    <w:p>
      <w:pPr>
        <w:spacing w:after="0" w:line="183"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Since the beginning of the temporary closure of our XpresSpa locations, we successfully launched our XpresCheck® Wellness Centers, through XpresSpa Group’s subsidiary XpresTest, Inc. (“XpresTest” or “XpresCheck”), offering COVID-19 and other medical diagnostic testing services to the traveling public, as well as airline, airport and concessionaire employees, and TSA and U.S. Customs and Border Protection agents.</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XpresCheck has entered into managed services agreements (“MSAs”) with professional medical services companies that provide health care services to patients. The medical services companies pay XpresCheck a monthly fee to operate in the XpresCheck Wellness Centers. Under the terms of the MSAs, we provide office space, equipment, supplies, non-licensed staff, and management services in return for the management fee. Also, we continue to evaluate alternative testing protocols and work in partnership with airlines and others for safe travels.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third segment is Treat, which is operating thorough XpresSpa Group’s subsidiary, Treat, Inc. (“Treat”), launched in 2021, as our new travel, health and wellness brand transforming the way we provide care to our customers through a suite of health and wellness services supported by an integrated digital platform and a relevant retail offering to the traveling public.</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Treat’s on-site centers (currently located in JFK International Airport and opening in April 2022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Information</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were incorporated in Delaware as a corporation on January 9, 2006 and completed an initial public offering in June 2010. Our principal executive offices are located at 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10001. Our telephone number is (212) 309-7549 and our website address is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xml:space="preserve">. We also operate the websites </w:t>
      </w:r>
      <w:r>
        <w:rPr>
          <w:rFonts w:ascii="Times New Roman" w:cs="Times New Roman" w:eastAsia="Times New Roman" w:hAnsi="Times New Roman"/>
          <w:sz w:val="18"/>
          <w:szCs w:val="18"/>
          <w:i w:val="1"/>
          <w:iCs w:val="1"/>
          <w:color w:val="auto"/>
        </w:rPr>
        <w:t>www.xpresspa.com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www.treat.com</w:t>
      </w:r>
      <w:r>
        <w:rPr>
          <w:rFonts w:ascii="Times New Roman" w:cs="Times New Roman" w:eastAsia="Times New Roman" w:hAnsi="Times New Roman"/>
          <w:sz w:val="18"/>
          <w:szCs w:val="18"/>
          <w:color w:val="auto"/>
        </w:rPr>
        <w:t>. References in this prospectus to our website addresses do not constitute incorporation by reference of the information contained on the websites.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700" w:top="914" w:right="7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 Prior to making a decision about investing in our securities, you should carefully consider all of the information appearing or incorporated by reference in this prospectus. You should also consider the risks, uncertainties and assumptions discussed under the heading “Risk Factors” included in our annual report on Form 10-K for the year ended December 31, 2021, as amended,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2019, as amended, and our quarterly report on Form 10-Q for the quarter ended March 31, 2020,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public health epidemics, including the recent coronavirus outbreak,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closure of many US spa locations;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previously identified material weakness related to our internal control over financial reporting, which remains unremediated as of the date of this prospectus;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offer new products and services, including Treat, our new travel, health and wellness brand, and our XpresCheck Wellness Centers launched in 2020;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our available cash resources, as well as our ability raise additional capital to fund our operations and business plan, to the extent necessary;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level of consumer and corporate spending on health, wellness and travel;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locations, maintain or convert existing ones to XpresCheck or Treat locations, and ensure continued customer traffic at those locations;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 with that labor;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the costs associated with opening new retail locations and maintaining or converting existing ones, and the revenue derived from our retail locations;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our Airport Concession Disadvantaged Business Enterprise partners on obligations set forth in our joint venture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information and customers’ financial data and other personal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disruption to our information technology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an adverse change with regard to, one or more of our significant suppliers, distributors, vendors or other business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events and trends in the health, wellness and travel industries;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within our industries;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 the jurisdictions in which we do business and any new laws and regulations or changes in existing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regulatory actions in the healthcare sector that could impact our ability to continue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discontunance of EUA policies that could impact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intellectual property.</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shares of Common Stock under this prospectus. We will not receive any proceeds from these sales. The Selling Stockholders will pay any underwriting discounts and agent’s commissions and expenses they incur for brokerage, accounting, tax or legal services or any other expenses they incur in disposing of the shares. We will bear all other costs, fees and expenses incurred in effecting the registration of the shares covered by this prospectus. These may include, without limitation, all registration and filing fees, SEC filing fees and expenses of compliance with state securities or “blue sky”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9, 2022, we entered into the Purchase Agreement with the Selling Stockholders. Pursuant to the Purchase Agreement, we acquired all of the issued and outstanding membership interests of GCG Connect LLC d/b/a HyperPointe, a New Jersey limited liability company, from the Selling Stockholders in exchange for a cash payment and the issuance of 552,487 Closing Shares at closing of that transaction. In addition, the Selling Stockholders may be entitled to earn-out payments of up to $7,500,000 based on the achievement of certain milestones during the three years following the date of the Purchase Agreement. Earn-out payments, if any, may be made, at the election of the Selling Stockholders, in cash, in Common Stock, valued at $1.81 per share, or a combination thereof, such that up to a maximum of 4,143,647 Earn-out Shares could be issued to the Selling Stockholders if all earn-out milestones are achieved. The Purchase Agreement provides that in the event (and to the extent) we do not have sufficient authorized shares of Common Stock that are unissued and not duly reserved for issuance upon options, warrants or other convertible securities, then we are permitted to settle any Earn-out Payments in cash.</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 resale or other disposition of up to 4,696,134 shares of our Common Stock, including the shares potentially issuable to the Selling Stockholders upon achievement of earn-out milestones set forth in the Purchase Agreement. We are registering the shares of Common Stock in order to permit the Selling Stockholders to offer the shares for resale from time to time. Except as described under “</w:t>
      </w:r>
      <w:r>
        <w:rPr>
          <w:rFonts w:ascii="Times New Roman" w:cs="Times New Roman" w:eastAsia="Times New Roman" w:hAnsi="Times New Roman"/>
          <w:sz w:val="18"/>
          <w:szCs w:val="18"/>
          <w:i w:val="1"/>
          <w:iCs w:val="1"/>
          <w:color w:val="auto"/>
        </w:rPr>
        <w:t>Material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below, none of the persons named in the table has held any position or office or had any other material relationship with us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during the three years prior to the date of this prospectus.</w:t>
      </w:r>
    </w:p>
    <w:p>
      <w:pPr>
        <w:spacing w:after="0" w:line="18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as part of the Purchase Agreement, each Selling Stockholder agreed that he, she or it will not publicly sell any of the Closing Shares or any of the Earn-out Shares actually issued pursuant to the Purchase Agreement in excess of the volume limitations described in excess of the volume limitations described in Rule 144(e) under the Securities Act, notwithstanding the effectiveness of the registration statement of which this prospectus is a part, during the six-month period following (i) in the case of the Closing Shares, the January 14, 2022 closing date of the transaction, and (ii) in the case of any tranche Earn-out Shares issued and delivered pursuant to the Purchase Agreement, the issuance date of such tranche of Earn-out Shares.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beneficial ownership (as determined under Section 13(d) of the Securities Exchange Act of 1934, as amended (the “Exchange Act”), and the rules and regulations thereunder) of shares of our Common Stock. These rules generally provide that a person is the beneficial owner of securities if such person has or shares the power to vote or direct the voting thereof, or to dispose or direct the disposition thereof, or has the right to acquire such powers within 60 days. The second column lists the number of shares of Common Stock beneficially owned by the Selling Stockholders as of March 28, 2022. The fourth column lists the shares of Common Stock being offered by the Selling Stockholders pursuant to this prospectus.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Purchase Agreement, this prospectus covers the offer, resale or other disposition of (a) the shares of Common Stock issued at the closing of the transactions contemplated by the Purchase Agreement and (b) 100% of the Earn-out Shares. Percentage ownership is based on 95,071,210 shares of Common Stock outstanding as of March 28, 2022, plus the maximum 4,143,647 Earn-out Shares that could be issued to the Selling Stockholders if all earn-out milestones are achieved.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each selling security holder may dispose of all, none or some portion of their securities, no estimate can be given as to the number of securities that will be beneficially owned by a selling security holder upon termination of this offering. See “Plan of Distribution.” For purposes of the table below, however, we have assumed that after termination of this offering none of the securities covered by this prospectus will be beneficially owned by the Selling Stockholders and further assumed that the Selling Stockholders will not acquire beneficial ownership of any additional securities during the offering. In addition, the Selling Stockholders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This information is based upon our review of public filings, our stockholder and optionholder registers and information furnished by the Selling Stockholders.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7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Prior to the Offering (1)</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Subsequent to the Offering (1)(2)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Offered by This</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39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Name and Address of Selling Stockholder</w:t>
            </w: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Peter Newman (3)</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4822 Ocean Blvd.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Sarasota, FL 34242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2,916,395</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2,848,895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H. Martinson (4) 23 South Lincoln Avenue</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Newtown, PA 18940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1,400,125</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1,377,625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Ezra T. Ernst (5)</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412 Park Lane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Moorestown, NJ 08057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479,614</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469,614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340" w:right="66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w:t>
      </w: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for each Selling Stockholder the sale of all shares offered hereby and that the Selling Stockholders do not acquire beneficial ownership of any additional shares.</w:t>
      </w:r>
    </w:p>
    <w:p>
      <w:pPr>
        <w:ind w:left="340" w:right="6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2,796,961 shares of Common Stock issuable to the Selling Stockholder upon achievement of earn-out milestones set forth in the Purchase Agreement.</w:t>
      </w:r>
    </w:p>
    <w:p>
      <w:pPr>
        <w:ind w:left="340" w:right="6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932,321 shares of Common Stock issuable to the Selling Stockholder upon achievement of earn-out milestones set forth in the Purchase Agreement.</w:t>
      </w:r>
    </w:p>
    <w:p>
      <w:pPr>
        <w:ind w:left="340" w:right="6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414,365 shares of Common Stock issuable to the Selling Stockholder upon achievement of earn-out milestones set forth in the Purchase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by the Purchase Agreement, Ezra Ernst accepted employment with the Company as the Chief Executive Officer of XpresTest, Inc., our subsidiary, and an Executive Vice President of the Company, effective January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 with HyperPointe</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GCG Connect, LLC, d/b/a HyperPointe, a New Jersey limited liability company (“HyperPointe”), began delivering healthcare consulting services and technology to us in April 2020 to assist us in developing and deploying the technological infrastructure needed to scale the growth of our XpresCheck® business. As partial compensation for such services, in May 2021, we awarded and issued 100,000 immediately vested shares to HyperPointe in a private placement that was exempt from the registration requirements of the Securities Act under Section 4(a)(2) and Regulation D promulgated thereunder. In January 2022, immediately preceding our acquisition of all of the membership interests of HyperPointe, the 100,000 shares of restricted stock issued in May 2021 were distributed out to the Selling Stockholders in their capacity as the equityholders of HyperPointe, pro rata in accordance with their equity ownership of HyperPointe, for no consideration. The 100,000 shares of restricted stock issued in May 2021 are not covered by the resale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Related to the HyperPointe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January 14, 2022, we acquired all of the equity interests in GCG HyperPointe, for an aggregate purchase price of approximately $6.6 million, plus a potential earn-out described below of up to $7.5 million (the “Acquisition”) pursuant to an acquisition agreement with all of the Selling Stockholders. Upon consummation of the transactions contemplated by the acquisition agreement, as a portion of the initial consideration for the Acquisition, we issued</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552,487 shares of our Common Stock, valued at the closing reference price of $1.81, which was equal to the volume weighted average trading price of the Common Stock on the Nasdaq Global Select Market for the 30 consecutive trading day period ended December 31, 2021, to the Selling Stockholders, as the equityholders of HyperPointe.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t>We also agreed pursuant to an earn-out provision to issue up to an additional $7.5 million in cash or stock if certain earn-out performance targets are met during an earn-out period ending on the third anniversary of the date of the acquisition agreement. For purposes of the earn-out, the Common Stock will also be valued based on a price of $1.81 per share. The earn-out payments may be satisfied in (i) cash, (i) shares of Common Stock (also priced at $1.81), or (iii) any combination thereof, at the election of the equity owners of HyperPointe, provided that in the event (and to the extent) XpresSpa Group does not have sufficient authorized shares of Common Stock that are unissued and not duly reserved for issuance upon options, warrants or other convertible securities), then XpresSpa Group shall be permitted to settle any earn-out payments in cash. As a result, we may issue up to an additional 4,143,647 shares of our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HyperPointe acquisition, as part of the acquisition agreement, we agreed to register for resale under the Securities Act all or any portion of the shares of the common stock that the Selling Stockholders are entitled to receive under the Purchase Agreement. We were required to, on or before March 31, 2022, file the registration statement of which this prospectus forms a part registering the resale of such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HyperPointe acquisition, we entered into an employment agreement with Ezra Ernst, one of the Selling Stockholders and the CEO of HyperPointe. Mr. Ernst continues as the CEO of HyperPointe, and also serves as CEO of XpresCheck, reporting to Scott Milford, XpresSpa Group CEO. Mr. Ernst’s responsibilities include the integration of XpresCheck’s biosurveillance screening and testing business with HyperPointe’s customer experience management technology and data management know how in the healthcare and pharmaceutical verticals.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Effective upon and subject to the closing of the Acquisition, and in connection with the Employment Agreement with Mr. Ernst, we issued options to Mr. Ernst to purchase up to an aggregate of 1,000,000 shares of Common Stock, which award was granted as an employment inducement award pursuant to NASDAQ Listing Rule 5635(c)(4) (the “Inducement Award”).</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issuance of shares of Common Stock in connection with the Acquisition, as well as the Inducement Award and the shares of common stock issuable upon exercise thereof, were made in accordance with the terms and subject to the conditions set forth in the acquisition agreement and in reliance on the private offering exemption of Section 4(a)(2) of the Securities Act, and/or the private offering safe harbor provision of Rule 506 of Regulation D promulgated thereunder. The issuance and sale is not being conducted in connection with a public offering, and no public solicitation or advertisement will be made or relied upon in connection with the issuance of the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registering the shares of Common Stock previously issued to the Selling Stockholders and the shares of Common Stock potentially issuable to the Selling Stockholders upon achievement of earn-out milestones set forth in the Purchase Agreement, in order to permit the Selling Stockholders to offer the shares for resale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directly or through one or more underwriters, broker-dealers or agents. If the shares of Common Stock or interests in shares of Common Stock are sold through underwriters or broker-dealers, the Selling Stockholders will be responsible for underwriting discounts or commissions or agent’s commissions. These dispositions may be sold in one or more transactions, at fixed prices, at prevailing market prices at the time of sale, at prices related to the prevailing market price, at varying prices determined at the time of sale, or at negotiated prices. These sales may be effected in transactions which may involve cross or block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any national securities exchange or U.S. inter-dealer quotation system of a registered national securities association on which the shares may be listed or quoted at the time of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over-the-counter market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Common Stock by any Selling Stockholder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sales pursuant to Rule 144;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agreements between broker-dealers and the Selling Stockholders to sell a specified number of such shares at a stipulated price per share;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or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sale of securities or otherwise,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and to return borrowed shares in connection with such short sales,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The Selling Stockholders, individually and not severally, and any underwriters, broker-dealers or agents that participate in the distribution of the Common Stock may be deemed to be “underwriters” within the meaning of Section 2(11) of the Securities Act. Any discounts, commissions, concessions or profit earned by any such broker-dealer on any resale of the shares may be deemed to be underwriting discounts and commissions under the Securities Act.</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Selling stockholders who are “underwriters” within the meaning of Section 2(a)(11) of the Securities Act will be subject to the prospectus delivery requirements of the Securities Act, including Rule 172 thereunder and may be subject to certain statutory liabilities of, including but not limited to, Sections 11, 12 and 17 of the Securities Act and Rule 10b-5 under the Exchange Act.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 w:name="page14"/>
    <w:bookmarkEnd w:id="13"/>
    <w:p>
      <w:pPr>
        <w:ind w:right="60"/>
        <w:spacing w:after="0" w:line="255"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and the Selling Stockholders have advised us that, except as set forth in a supplement to this prospectus, in the case of an agency transaction, such commissions will not be in excess of a customary brokerage commission in compliance with FINRA Rule 2121 and, in the case of a principal transaction, any such markup or markdown will be in compliance with FINRA Rule 2121.</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There can be no assurance that any Selling Stockholder will sell any or all of the shares of Common Stock registered pursuant to the registration statement of which this prospectus forms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with the Selling Stockholders to keep the registration statement of which this prospectus forms a part effective until the earliest to occur of</w:t>
      </w:r>
    </w:p>
    <w:p>
      <w:pPr>
        <w:spacing w:after="0" w:line="27" w:lineRule="exact"/>
        <w:rPr>
          <w:sz w:val="20"/>
          <w:szCs w:val="20"/>
          <w:color w:val="auto"/>
        </w:rPr>
      </w:pPr>
    </w:p>
    <w:p>
      <w:pPr>
        <w:ind w:firstLine="8"/>
        <w:spacing w:after="0" w:line="253"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following the last date that any Earn-out Shares are actually issued pursuant to the Purchase Agreement, or (ii) the date that all of the shares of Common Stock issued or issuable pursuant to the Purchase Agreement have actually been sold, or may be sold pursuant to Rule 144 under the Securities Act without any restrictions (including as to volume or manner of sale).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are authorized to issue 150,000,000 shares of Common Stock, par value $0.01 per share. As of March 28, 2022, we had 95,071,210 shares of Common Stock outstanding and approximately 100 stockholders of record. The number of shares of Common Stock outstanding excludes, in each case as of March 28, 2022:</w:t>
      </w:r>
    </w:p>
    <w:p>
      <w:pPr>
        <w:spacing w:after="0" w:line="392" w:lineRule="exact"/>
        <w:rPr>
          <w:sz w:val="20"/>
          <w:szCs w:val="20"/>
          <w:color w:val="auto"/>
        </w:rPr>
      </w:pPr>
    </w:p>
    <w:p>
      <w:pPr>
        <w:ind w:left="660" w:right="3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28,292,472 shares of Common Stock issuable upon the exercise of Common Stock warrants outstanding as of such date at a weighted average exercise price of $2.33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3,825,204 shares of Common Stock issuable upon the exercise of stock options at a weighted average exercise price of $2.33 per share;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available for future issuance under the 2020 Equity Incentive Plan.</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any preferential rights of any then outstanding series of preferred stock. Holders of our Common Stock have no preemptive, subscription, redemption or conversion rights. There are no redemption or sinking fund provisions applicable to our Common Stock. The voting, dividend and liquidation rights of holders of our Common Stock are subject to, and may be adversely affected by, the rights of the holders of shares of our existing series of preferred stock or any series of preferred stock that we may designate and issue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with offices at 6201 15th Avenue, Brooklyn, New York 11219.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COMPANY’S CERTIFICATE OF 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Documents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amendments by our stockholders of our amended and restated bylaws require the approval of at least 66⅔% of the voting power of all outstanding stock. These provisions could discourage a potential acquirer from making a tender offer or otherwise attempting to obtain control of the Company and could delay changes in management.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directors may be removed by our stockholders only for cause and, in addition to any other vote required by law, upon the affirmative vote of at least 66⅔% of the voting power of all outstanding securities then entitled to vote generally in the election of directors, voting together as a single class. These provisions mean that a proposal to replace one or more directors on our board of directors could be delayed until the next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Bryan Cave Leighton Paisner LLP, St. Louis, Missouri.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Friedman LLP, independent registered public accounting firm, has audited our financial statements included in our Annual Report on Form 10-K for the year ended December 31, 2021, as set forth in their report, which is incorporated by reference in this prospectus and elsewhere in this Registration Statement. Our financial statements are incorporated by reference in reliance on Friedman LLP’s report, given on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a public company and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http://www.xpresspagroup.com</w:t>
      </w:r>
      <w:r>
        <w:rPr>
          <w:rFonts w:ascii="Times New Roman" w:cs="Times New Roman" w:eastAsia="Times New Roman" w:hAnsi="Times New Roman"/>
          <w:sz w:val="18"/>
          <w:szCs w:val="18"/>
          <w:color w:val="auto"/>
        </w:rPr>
        <w:t>. The information contained on our website is not included or incorporated by reference into this prospectus. In addition, our Common Stock is listed for trading on The Nasdaq Capital Market under the symbol “XSPA.”</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from the SEC’s website or our website.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the Selling Stockholders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9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30">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001-34785);</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0"/>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(excluding portions furnished under Items 2.02 and 7.01), </w:t>
        </w:r>
        <w:r>
          <w:rPr>
            <w:rFonts w:ascii="Times New Roman" w:cs="Times New Roman" w:eastAsia="Times New Roman" w:hAnsi="Times New Roman"/>
            <w:sz w:val="18"/>
            <w:szCs w:val="18"/>
            <w:u w:val="single" w:color="auto"/>
            <w:color w:val="0000EE"/>
          </w:rPr>
          <w:t>January 21,</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January 26, 2022</w:t>
        </w:r>
      </w:hyperlink>
      <w:hyperlink r:id="rId31">
        <w:r>
          <w:rPr>
            <w:rFonts w:ascii="Times New Roman" w:cs="Times New Roman" w:eastAsia="Times New Roman" w:hAnsi="Times New Roman"/>
            <w:sz w:val="18"/>
            <w:szCs w:val="18"/>
            <w:color w:val="000000"/>
          </w:rPr>
          <w:t>(File Nos. 001-34785); and</w:t>
        </w:r>
      </w:hyperlink>
    </w:p>
    <w:p>
      <w:pPr>
        <w:spacing w:after="0" w:line="161" w:lineRule="exact"/>
        <w:rPr>
          <w:rFonts w:ascii="Times New Roman" w:cs="Times New Roman" w:eastAsia="Times New Roman" w:hAnsi="Times New Roman"/>
          <w:sz w:val="18"/>
          <w:szCs w:val="18"/>
          <w:color w:val="0000EE"/>
        </w:rPr>
      </w:pPr>
    </w:p>
    <w:p>
      <w:pPr>
        <w:ind w:left="660" w:right="20" w:hanging="328"/>
        <w:spacing w:after="0" w:line="266" w:lineRule="auto"/>
        <w:tabs>
          <w:tab w:leader="none" w:pos="660" w:val="left"/>
        </w:tabs>
        <w:numPr>
          <w:ilvl w:val="0"/>
          <w:numId w:val="10"/>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The description of our securities contained in our Registration Statement on Form 8-A filed on </w:t>
        </w:r>
        <w:r>
          <w:rPr>
            <w:rFonts w:ascii="Times New Roman" w:cs="Times New Roman" w:eastAsia="Times New Roman" w:hAnsi="Times New Roman"/>
            <w:sz w:val="18"/>
            <w:szCs w:val="18"/>
            <w:u w:val="single" w:color="auto"/>
            <w:color w:val="0000EE"/>
          </w:rPr>
          <w:t>March 21, 2016</w:t>
        </w:r>
        <w:r>
          <w:rPr>
            <w:rFonts w:ascii="Times New Roman" w:cs="Times New Roman" w:eastAsia="Times New Roman" w:hAnsi="Times New Roman"/>
            <w:sz w:val="18"/>
            <w:szCs w:val="18"/>
            <w:color w:val="auto"/>
          </w:rPr>
          <w:t xml:space="preserve"> (File No. 001-34785), </w:t>
        </w:r>
        <w:r>
          <w:rPr>
            <w:rFonts w:ascii="Times New Roman" w:cs="Times New Roman" w:eastAsia="Times New Roman" w:hAnsi="Times New Roman"/>
            <w:sz w:val="18"/>
            <w:szCs w:val="18"/>
            <w:u w:val="single" w:color="auto"/>
            <w:color w:val="0000EE"/>
          </w:rPr>
          <w:t>April 29,</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2013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001-34785) and</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 xml:space="preserve">June 16, 2010 </w:t>
        </w:r>
      </w:hyperlink>
      <w:hyperlink r:id="rId33">
        <w:r>
          <w:rPr>
            <w:rFonts w:ascii="Times New Roman" w:cs="Times New Roman" w:eastAsia="Times New Roman" w:hAnsi="Times New Roman"/>
            <w:sz w:val="18"/>
            <w:szCs w:val="18"/>
            <w:color w:val="000000"/>
          </w:rPr>
          <w:t xml:space="preserve">(File No. 001-34785), pursuant to Section 12(b) of the Exchange Act, and any amendment or </w:t>
        </w:r>
      </w:hyperlink>
      <w:r>
        <w:rPr>
          <w:rFonts w:ascii="Times New Roman" w:cs="Times New Roman" w:eastAsia="Times New Roman" w:hAnsi="Times New Roman"/>
          <w:sz w:val="18"/>
          <w:szCs w:val="18"/>
          <w:color w:val="0000EE"/>
        </w:rPr>
        <w:t xml:space="preserve">report </w:t>
      </w:r>
      <w:r>
        <w:rPr>
          <w:rFonts w:ascii="Times New Roman" w:cs="Times New Roman" w:eastAsia="Times New Roman" w:hAnsi="Times New Roman"/>
          <w:sz w:val="18"/>
          <w:szCs w:val="18"/>
          <w:color w:val="000000"/>
        </w:rPr>
        <w:t>filed with the SEC for purposes of updating such description; and</w:t>
      </w:r>
    </w:p>
    <w:p>
      <w:pPr>
        <w:spacing w:after="0" w:line="175" w:lineRule="exact"/>
        <w:rPr>
          <w:rFonts w:ascii="Times New Roman" w:cs="Times New Roman" w:eastAsia="Times New Roman" w:hAnsi="Times New Roman"/>
          <w:sz w:val="18"/>
          <w:szCs w:val="18"/>
          <w:color w:val="0000EE"/>
        </w:rPr>
      </w:pPr>
    </w:p>
    <w:p>
      <w:pPr>
        <w:ind w:left="660" w:right="2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prior to the termination or completion of the offering of securities under this prospectus (including documents filed after the initial date of the registration statement of which this prospectus is a part and prior to the effectiveness of such registration statement) shall be deemed to be incorporated by reference in this prospectus and to be a part hereof from the date of filing such reports and other documents.</w:t>
      </w:r>
    </w:p>
    <w:p>
      <w:pPr>
        <w:spacing w:after="0" w:line="180" w:lineRule="exact"/>
        <w:rPr>
          <w:rFonts w:ascii="Times New Roman" w:cs="Times New Roman" w:eastAsia="Times New Roman" w:hAnsi="Times New Roman"/>
          <w:sz w:val="18"/>
          <w:szCs w:val="18"/>
          <w:color w:val="0000EE"/>
        </w:rPr>
      </w:pPr>
    </w:p>
    <w:p>
      <w:pPr>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by contacting XpresSpa Group, Inc., 254 West</w:t>
      </w:r>
    </w:p>
    <w:p>
      <w:pPr>
        <w:spacing w:after="0" w:line="212" w:lineRule="auto"/>
        <w:rPr>
          <w:sz w:val="20"/>
          <w:szCs w:val="20"/>
          <w:color w:val="auto"/>
        </w:rPr>
      </w:pPr>
      <w:r>
        <w:rPr>
          <w:rFonts w:ascii="Times New Roman" w:cs="Times New Roman" w:eastAsia="Times New Roman" w:hAnsi="Times New Roman"/>
          <w:sz w:val="17"/>
          <w:szCs w:val="17"/>
          <w:color w:val="auto"/>
        </w:rPr>
        <w:t>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Street,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NY 10001 Attention: Investor Relations. The Investor Relations Department can be reached via telephone at (212) 838-</w:t>
      </w:r>
    </w:p>
    <w:p>
      <w:pPr>
        <w:spacing w:after="0" w:line="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3777.</w:t>
      </w:r>
    </w:p>
    <w:p>
      <w:pPr>
        <w:spacing w:after="0" w:line="200" w:lineRule="exact"/>
        <w:rPr>
          <w:rFonts w:ascii="Times New Roman" w:cs="Times New Roman" w:eastAsia="Times New Roman" w:hAnsi="Times New Roman"/>
          <w:sz w:val="18"/>
          <w:szCs w:val="18"/>
          <w:color w:val="0000EE"/>
        </w:rPr>
      </w:pPr>
    </w:p>
    <w:p>
      <w:pPr>
        <w:spacing w:after="0" w:line="221"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estimates (other than the SEC registration fee) of the expenses in connection with the issuance and distribution of the securities being registered.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35,535.46</w:t>
            </w:r>
          </w:p>
        </w:tc>
        <w:tc>
          <w:tcPr>
            <w:tcW w:w="80" w:type="dxa"/>
            <w:vAlign w:val="bottom"/>
          </w:tcPr>
          <w:p>
            <w:pPr>
              <w:spacing w:after="0"/>
              <w:rPr>
                <w:sz w:val="19"/>
                <w:szCs w:val="19"/>
                <w:color w:val="auto"/>
              </w:rPr>
            </w:pP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9" w:name="page20"/>
    <w:bookmarkEnd w:id="19"/>
    <w:p>
      <w:pPr>
        <w:ind w:right="120"/>
        <w:spacing w:after="0" w:line="258" w:lineRule="auto"/>
        <w:rPr>
          <w:sz w:val="20"/>
          <w:szCs w:val="20"/>
          <w:color w:val="auto"/>
        </w:rPr>
      </w:pPr>
      <w:r>
        <w:rPr>
          <w:rFonts w:ascii="Times New Roman" w:cs="Times New Roman" w:eastAsia="Times New Roman" w:hAnsi="Times New Roman"/>
          <w:sz w:val="18"/>
          <w:szCs w:val="18"/>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20" w:type="dxa"/>
            <w:vAlign w:val="bottom"/>
          </w:tcPr>
          <w:p>
            <w:pPr>
              <w:spacing w:after="0"/>
              <w:rPr>
                <w:sz w:val="20"/>
                <w:szCs w:val="20"/>
                <w:color w:val="auto"/>
              </w:rPr>
            </w:pPr>
          </w:p>
        </w:tc>
        <w:tc>
          <w:tcPr>
            <w:tcW w:w="9980" w:type="dxa"/>
            <w:vAlign w:val="bottom"/>
            <w:gridSpan w:val="15"/>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Exhibits.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2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0000EE"/>
                <w:w w:val="79"/>
              </w:rPr>
            </w:pPr>
            <w:hyperlink r:id="rId37">
              <w:r>
                <w:rPr>
                  <w:rFonts w:ascii="Times New Roman" w:cs="Times New Roman" w:eastAsia="Times New Roman" w:hAnsi="Times New Roman"/>
                  <w:sz w:val="18"/>
                  <w:szCs w:val="18"/>
                  <w:color w:val="0000EE"/>
                  <w:w w:val="79"/>
                </w:rPr>
                <w:t>3.</w:t>
              </w:r>
              <w:r>
                <w:rPr>
                  <w:rFonts w:ascii="Times New Roman" w:cs="Times New Roman" w:eastAsia="Times New Roman" w:hAnsi="Times New Roman"/>
                  <w:sz w:val="18"/>
                  <w:szCs w:val="18"/>
                  <w:u w:val="single" w:color="auto"/>
                  <w:color w:val="0000EE"/>
                  <w:w w:val="79"/>
                </w:rPr>
                <w:t>1</w:t>
              </w:r>
            </w:hyperlink>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80" w:type="dxa"/>
            <w:vAlign w:val="bottom"/>
            <w:tcBorders>
              <w:top w:val="single" w:sz="8" w:color="auto"/>
            </w:tcBorders>
            <w:gridSpan w:val="15"/>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Amended and Restated Certificate of Incorporation (incorporated by reference from Exhibit 3.1 to our Annual Report on Form 10-K filed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with the SEC on April 20, 2020)</w:t>
              </w:r>
            </w:hyperlink>
          </w:p>
        </w:tc>
        <w:tc>
          <w:tcPr>
            <w:tcW w:w="7560" w:type="dxa"/>
            <w:vAlign w:val="bottom"/>
            <w:tcBorders>
              <w:top w:val="single" w:sz="8" w:color="0000EE"/>
            </w:tcBorders>
            <w:gridSpan w:val="11"/>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8"/>
                <w:szCs w:val="18"/>
                <w:color w:val="0000EE"/>
                <w:w w:val="79"/>
              </w:rPr>
            </w:pPr>
            <w:hyperlink r:id="rId39">
              <w:r>
                <w:rPr>
                  <w:rFonts w:ascii="Times New Roman" w:cs="Times New Roman" w:eastAsia="Times New Roman" w:hAnsi="Times New Roman"/>
                  <w:sz w:val="18"/>
                  <w:szCs w:val="18"/>
                  <w:color w:val="0000EE"/>
                  <w:w w:val="79"/>
                </w:rPr>
                <w:t>3.</w:t>
              </w:r>
              <w:r>
                <w:rPr>
                  <w:rFonts w:ascii="Times New Roman" w:cs="Times New Roman" w:eastAsia="Times New Roman" w:hAnsi="Times New Roman"/>
                  <w:sz w:val="18"/>
                  <w:szCs w:val="18"/>
                  <w:u w:val="single" w:color="auto"/>
                  <w:color w:val="0000EE"/>
                  <w:w w:val="79"/>
                </w:rPr>
                <w:t>2</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Amendment to Amended and Restated Certificate of Incorporation (incorporated by reference from Exhibit 3.1 to our</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Current Report on Form 8-K filed with the SEC on June 10, 2020)</w:t>
              </w:r>
            </w:hyperlink>
          </w:p>
        </w:tc>
        <w:tc>
          <w:tcPr>
            <w:tcW w:w="4680" w:type="dxa"/>
            <w:vAlign w:val="bottom"/>
            <w:tcBorders>
              <w:top w:val="single" w:sz="8" w:color="0000EE"/>
            </w:tcBorders>
            <w:gridSpan w:val="3"/>
          </w:tcPr>
          <w:p>
            <w:pPr>
              <w:spacing w:after="0"/>
              <w:rPr>
                <w:sz w:val="17"/>
                <w:szCs w:val="17"/>
                <w:color w:val="auto"/>
              </w:rPr>
            </w:pPr>
          </w:p>
        </w:tc>
        <w:tc>
          <w:tcPr>
            <w:tcW w:w="520" w:type="dxa"/>
            <w:vAlign w:val="bottom"/>
            <w:gridSpan w:val="5"/>
          </w:tcPr>
          <w:p>
            <w:pPr>
              <w:spacing w:after="0"/>
              <w:rPr>
                <w:sz w:val="17"/>
                <w:szCs w:val="17"/>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8"/>
                <w:szCs w:val="18"/>
                <w:color w:val="0000EE"/>
                <w:w w:val="79"/>
              </w:rPr>
            </w:pPr>
            <w:hyperlink r:id="rId41">
              <w:r>
                <w:rPr>
                  <w:rFonts w:ascii="Times New Roman" w:cs="Times New Roman" w:eastAsia="Times New Roman" w:hAnsi="Times New Roman"/>
                  <w:sz w:val="18"/>
                  <w:szCs w:val="18"/>
                  <w:color w:val="0000EE"/>
                  <w:w w:val="79"/>
                </w:rPr>
                <w:t>3.</w:t>
              </w:r>
              <w:r>
                <w:rPr>
                  <w:rFonts w:ascii="Times New Roman" w:cs="Times New Roman" w:eastAsia="Times New Roman" w:hAnsi="Times New Roman"/>
                  <w:sz w:val="18"/>
                  <w:szCs w:val="18"/>
                  <w:u w:val="single" w:color="auto"/>
                  <w:color w:val="0000EE"/>
                  <w:w w:val="79"/>
                </w:rPr>
                <w:t>3</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Bylaws (incorporated by reference from Exhibit 3.2 to our Annual Report on Form 10-K filed with the SEC 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42">
              <w:r>
                <w:rPr>
                  <w:rFonts w:ascii="Times New Roman" w:cs="Times New Roman" w:eastAsia="Times New Roman" w:hAnsi="Times New Roman"/>
                  <w:sz w:val="18"/>
                  <w:szCs w:val="18"/>
                  <w:color w:val="0000EE"/>
                  <w:w w:val="97"/>
                </w:rPr>
                <w:t>April 1, 2019)</w:t>
              </w:r>
            </w:hyperlink>
          </w:p>
        </w:tc>
        <w:tc>
          <w:tcPr>
            <w:tcW w:w="8680" w:type="dxa"/>
            <w:vAlign w:val="bottom"/>
            <w:tcBorders>
              <w:top w:val="single" w:sz="8" w:color="0000EE"/>
            </w:tcBorders>
            <w:gridSpan w:val="12"/>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8"/>
                <w:szCs w:val="18"/>
                <w:color w:val="0000EE"/>
                <w:w w:val="79"/>
              </w:rPr>
            </w:pPr>
            <w:hyperlink r:id="rId43">
              <w:r>
                <w:rPr>
                  <w:rFonts w:ascii="Times New Roman" w:cs="Times New Roman" w:eastAsia="Times New Roman" w:hAnsi="Times New Roman"/>
                  <w:sz w:val="18"/>
                  <w:szCs w:val="18"/>
                  <w:color w:val="0000EE"/>
                  <w:w w:val="79"/>
                </w:rPr>
                <w:t>3.</w:t>
              </w:r>
              <w:r>
                <w:rPr>
                  <w:rFonts w:ascii="Times New Roman" w:cs="Times New Roman" w:eastAsia="Times New Roman" w:hAnsi="Times New Roman"/>
                  <w:sz w:val="18"/>
                  <w:szCs w:val="18"/>
                  <w:u w:val="single" w:color="auto"/>
                  <w:color w:val="0000EE"/>
                  <w:w w:val="79"/>
                </w:rPr>
                <w:t>4</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Amendment to Bylaws of XpresSpa Group, Inc. (incorporated by reference from Exhibit 3.1 to our Current Report on Form 8-K filed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with the SEC on August 6, 2021)</w:t>
              </w:r>
            </w:hyperlink>
          </w:p>
        </w:tc>
        <w:tc>
          <w:tcPr>
            <w:tcW w:w="360" w:type="dxa"/>
            <w:vAlign w:val="bottom"/>
            <w:gridSpan w:val="3"/>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8"/>
                <w:szCs w:val="18"/>
                <w:color w:val="0000EE"/>
                <w:w w:val="79"/>
              </w:rPr>
            </w:pPr>
            <w:hyperlink r:id="rId45">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1</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Specimen common stock certificate (incorporated by reference from our Registration Statement on Form S-1 filed on May 18, 2010)</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8"/>
                <w:szCs w:val="18"/>
                <w:color w:val="0000EE"/>
                <w:w w:val="79"/>
              </w:rPr>
            </w:pPr>
            <w:hyperlink w:anchor="page24">
              <w:r>
                <w:rPr>
                  <w:rFonts w:ascii="Times New Roman" w:cs="Times New Roman" w:eastAsia="Times New Roman" w:hAnsi="Times New Roman"/>
                  <w:sz w:val="18"/>
                  <w:szCs w:val="18"/>
                  <w:color w:val="0000EE"/>
                  <w:w w:val="79"/>
                </w:rPr>
                <w:t>5.</w:t>
              </w:r>
              <w:r>
                <w:rPr>
                  <w:rFonts w:ascii="Times New Roman" w:cs="Times New Roman" w:eastAsia="Times New Roman" w:hAnsi="Times New Roman"/>
                  <w:sz w:val="18"/>
                  <w:szCs w:val="18"/>
                  <w:u w:val="single" w:color="auto"/>
                  <w:color w:val="0000EE"/>
                  <w:w w:val="79"/>
                </w:rPr>
                <w:t>1</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Opinion of Bryan Cave Leighton Paisner LLP</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r>
      <w:tr>
        <w:trPr>
          <w:trHeight w:val="412"/>
        </w:trPr>
        <w:tc>
          <w:tcPr>
            <w:tcW w:w="320" w:type="dxa"/>
            <w:vAlign w:val="bottom"/>
            <w:gridSpan w:val="3"/>
          </w:tcPr>
          <w:p>
            <w:pPr>
              <w:ind w:left="20"/>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Consent of Friedman LLP, independent registered public accounting firm</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r>
      <w:tr>
        <w:trPr>
          <w:trHeight w:val="412"/>
        </w:trPr>
        <w:tc>
          <w:tcPr>
            <w:tcW w:w="320" w:type="dxa"/>
            <w:vAlign w:val="bottom"/>
            <w:gridSpan w:val="3"/>
          </w:tcPr>
          <w:p>
            <w:pPr>
              <w:ind w:left="20"/>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Consent of Bryan Cave Leighton Paisner LLP (included in Exhibit 5.1)</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r>
      <w:tr>
        <w:trPr>
          <w:trHeight w:val="412"/>
        </w:trPr>
        <w:tc>
          <w:tcPr>
            <w:tcW w:w="320" w:type="dxa"/>
            <w:vAlign w:val="bottom"/>
            <w:gridSpan w:val="3"/>
          </w:tcPr>
          <w:p>
            <w:pPr>
              <w:ind w:left="20"/>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Power of Attorney (included in the signature page hereto)</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r>
      <w:tr>
        <w:trPr>
          <w:trHeight w:val="412"/>
        </w:trPr>
        <w:tc>
          <w:tcPr>
            <w:tcW w:w="240" w:type="dxa"/>
            <w:vAlign w:val="bottom"/>
            <w:gridSpan w:val="2"/>
          </w:tcPr>
          <w:p>
            <w:pPr>
              <w:ind w:left="20"/>
              <w:spacing w:after="0"/>
              <w:rPr>
                <w:rFonts w:ascii="Times New Roman" w:cs="Times New Roman" w:eastAsia="Times New Roman" w:hAnsi="Times New Roman"/>
                <w:sz w:val="17"/>
                <w:szCs w:val="17"/>
                <w:color w:val="0000EE"/>
                <w:w w:val="70"/>
              </w:rPr>
            </w:pPr>
            <w:hyperlink w:anchor="page27">
              <w:r>
                <w:rPr>
                  <w:rFonts w:ascii="Times New Roman" w:cs="Times New Roman" w:eastAsia="Times New Roman" w:hAnsi="Times New Roman"/>
                  <w:sz w:val="17"/>
                  <w:szCs w:val="17"/>
                  <w:color w:val="0000EE"/>
                  <w:w w:val="70"/>
                </w:rPr>
                <w:t>107</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Filing Fee Table</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229"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340" w:right="26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660" w:right="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53"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332" w:right="80" w:hanging="332"/>
        <w:spacing w:after="0" w:line="258" w:lineRule="auto"/>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332" w:hanging="332"/>
        <w:spacing w:after="0" w:line="255" w:lineRule="auto"/>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31st day of March, 2022.</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R. Milford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directors and officers of XpresSpa Group, Inc. constitutes and appoints Scott R. Milford and Cara Soffer, and each of them, severally, as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attorneys-in-fact and agents and/or either of them, or his or her substitute, may lawfully do or cause to be done by virtue hereof.</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36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66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R. Milford</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R. Milford</w:t>
            </w:r>
          </w:p>
        </w:tc>
        <w:tc>
          <w:tcPr>
            <w:tcW w:w="2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0" w:type="dxa"/>
            <w:vAlign w:val="bottom"/>
          </w:tcPr>
          <w:p>
            <w:pPr>
              <w:spacing w:after="0"/>
              <w:rPr>
                <w:sz w:val="20"/>
                <w:szCs w:val="20"/>
                <w:color w:val="auto"/>
              </w:rPr>
            </w:pPr>
          </w:p>
        </w:tc>
      </w:tr>
      <w:tr>
        <w:trPr>
          <w:trHeight w:val="63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A. Berry</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178"/>
        </w:trPr>
        <w:tc>
          <w:tcPr>
            <w:tcW w:w="36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James A. Berry</w:t>
            </w:r>
          </w:p>
        </w:tc>
        <w:tc>
          <w:tcPr>
            <w:tcW w:w="220" w:type="dxa"/>
            <w:vAlign w:val="bottom"/>
          </w:tcPr>
          <w:p>
            <w:pPr>
              <w:spacing w:after="0"/>
              <w:rPr>
                <w:sz w:val="15"/>
                <w:szCs w:val="15"/>
                <w:color w:val="auto"/>
              </w:rPr>
            </w:pPr>
          </w:p>
        </w:tc>
        <w:tc>
          <w:tcPr>
            <w:tcW w:w="38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(Principal Financial Officer and Principal</w:t>
            </w:r>
          </w:p>
        </w:tc>
        <w:tc>
          <w:tcPr>
            <w:tcW w:w="3600" w:type="dxa"/>
            <w:vAlign w:val="bottom"/>
          </w:tcPr>
          <w:p>
            <w:pPr>
              <w:spacing w:after="0"/>
              <w:rPr>
                <w:sz w:val="15"/>
                <w:szCs w:val="15"/>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3600" w:type="dxa"/>
            <w:vAlign w:val="bottom"/>
          </w:tcPr>
          <w:p>
            <w:pPr>
              <w:spacing w:after="0"/>
              <w:rPr>
                <w:sz w:val="20"/>
                <w:szCs w:val="20"/>
                <w:color w:val="auto"/>
              </w:rPr>
            </w:pPr>
          </w:p>
        </w:tc>
      </w:tr>
      <w:tr>
        <w:trPr>
          <w:trHeight w:val="45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T. Bernstein</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T. Bernstein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866"/>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Weinstein</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Weinstein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5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Donald E. Stout</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E. Stout</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4"/>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Lebowitz</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Lebowitz</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30"/>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ind w:left="1640"/>
              <w:spacing w:after="0"/>
              <w:rPr>
                <w:sz w:val="20"/>
                <w:szCs w:val="20"/>
                <w:color w:val="auto"/>
              </w:rPr>
            </w:pPr>
            <w:r>
              <w:rPr>
                <w:rFonts w:ascii="Times New Roman" w:cs="Times New Roman" w:eastAsia="Times New Roman" w:hAnsi="Times New Roman"/>
                <w:sz w:val="18"/>
                <w:szCs w:val="18"/>
                <w:color w:val="auto"/>
              </w:rPr>
              <w:t>II-5</w:t>
            </w: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156845</wp:posOffset>
            </wp:positionV>
            <wp:extent cx="2322830" cy="1560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232283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XpresSpa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ectPr>
          <w:pgSz w:w="11900" w:h="16838" w:orient="portrait"/>
          <w:cols w:equalWidth="0" w:num="1">
            <w:col w:w="11240"/>
          </w:cols>
          <w:pgMar w:left="320" w:top="333"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S-3</w:t>
      </w:r>
    </w:p>
    <w:p>
      <w:pPr>
        <w:spacing w:after="0" w:line="200" w:lineRule="exact"/>
        <w:rPr>
          <w:sz w:val="20"/>
          <w:szCs w:val="20"/>
          <w:color w:val="auto"/>
        </w:rPr>
      </w:pPr>
    </w:p>
    <w:p>
      <w:pPr>
        <w:sectPr>
          <w:pgSz w:w="11900" w:h="16838" w:orient="portrait"/>
          <w:cols w:equalWidth="0" w:num="2">
            <w:col w:w="280" w:space="380"/>
            <w:col w:w="10580"/>
          </w:cols>
          <w:pgMar w:left="320" w:top="333"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XpresSpa Group, Inc., a Delaware corporation (the “Company”), in connection with the offer and resale of an aggregate of up to 4,696,134 shares (the “Shares”) of the Company’s common stock, par value $0.01 per share (the “Common Stock”), pursuant to the Company’s Registration Statement on Form S-3 (the “Registration Statement”) filed by the Company with the Securities and Exchange Commission (the “SEC”) under the Securities Act of 1933, as amended (the “Securities Act”), on the date hereof, on behalf of the selling stockholders named therein. The Shares consist of (i) 552,487 Shares (the “Closing Shares”) issued at the closing of the transactions contemplated by the Membership Interests Purchase Agreement dated as of January 9, 2022 (the “Purchase Agreement”), by and among the Company and Peter Newman, John H. Martinson and Ezra Ernst (collectively, the “Selling Stockholders”); and (ii) up to a maximum of 4,143,647 additional Shares (the “Earn-Out Shares”) issuable to the Selling Stockholders if certain earn-out milestones are achieved within the three-year period following the date of the Purchase Agreement, as described therein.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herewith, we have examined:</w:t>
      </w:r>
    </w:p>
    <w:p>
      <w:pPr>
        <w:spacing w:after="0" w:line="225"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Company, as amended (the “Charter”); and</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 as amended.</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other corporate records, agreements and instruments of the Company, statements and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Securities and Exchange Commission’s (“SEC”)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have been filed with the SEC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certificates and statements of appropriate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XpresSpa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-119380</wp:posOffset>
            </wp:positionV>
            <wp:extent cx="1200150" cy="591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1200150" cy="5918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3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herewith, we have assumed that, other than with respect to the Company, all of the documents referred to in this opinion letter have been duly authorized by, have been duly executed and delivered by, and constitute the valid, binding and enforceable obligations of, all of the parties to such documents, all of the signatories to such documents have been duly authorized and all such parties are duly organized and validly existing and have the power and authority (corporate or other) to execute, deliver and perform such documents.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upon the foregoing and in reliance thereon, and subject to the assumptions, comments, qualifications, limitations and exceptions set forth herein, we are of the opinion that (i) the Closing Shares have been duly authorized and are validly issued, fully paid and non-assessable and (ii) the Earn-Out Shares</w:t>
      </w:r>
    </w:p>
    <w:p>
      <w:pPr>
        <w:ind w:right="60" w:firstLine="8"/>
        <w:spacing w:after="0" w:line="255"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duly authorized and (b) when issued and delivered in accordance with the Purchase Agreement, and assuming that upon issuance thereof, such Earn-Out Shares together with all shares of Common Stock previously issued or reserved for issuance and not duly and lawfully retired do not exceed the number of shares authorized for issuance pursuant to the Charter at such time, will be validly issued, fully paid and non-assessable.</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opinion is not rendered with respect to any laws other than the General Corporation Law of the State of Delaware.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opinion is being delivered by us in connection with the filing of the Registration Statement with the SEC. We do not render any opinions except as set forth above. We hereby consent to the filing of this opinion as Exhibit 5.1 to the Registration Statement and to the use of our name under the caption “Legal Matters” in the prospectus which forms part of the Registration Statement. We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such consent, we do not thereby concede that we are within the category of persons whose consent is required under Section 7 of the Securities Act or the rules and regulations of the SEC promulgated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Cave Leighton Paisner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our report dated March 31, 2022, with respect to our audit of the consolidated financial statements of XpresSpa Group, Inc. as of and for the year ended December 31, 2021, appearing in the Annual Report on Form 10-K of XpresSpa Group, Inc. for the year ended December 31, 2021. We also consent to the reference to our firm under the heading “Experts” in this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Friedman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0"/>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calculation</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38"/>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rule</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Pr>
          <w:p>
            <w:pPr>
              <w:spacing w:after="0"/>
              <w:rPr>
                <w:sz w:val="20"/>
                <w:szCs w:val="20"/>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registration fee</w:t>
            </w:r>
          </w:p>
        </w:tc>
      </w:tr>
      <w:tr>
        <w:trPr>
          <w:trHeight w:val="191"/>
        </w:trPr>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4,696,134</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$92.70 per</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48"/>
        </w:trPr>
        <w:tc>
          <w:tcPr>
            <w:tcW w:w="1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$0.01 par value</w:t>
            </w:r>
          </w:p>
        </w:tc>
        <w:tc>
          <w:tcPr>
            <w:tcW w:w="15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457(c)</w:t>
            </w:r>
          </w:p>
        </w:tc>
        <w:tc>
          <w:tcPr>
            <w:tcW w:w="1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(1)(2)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 (3)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$5,776,245 (3)</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535.46</w:t>
            </w:r>
          </w:p>
        </w:tc>
      </w:tr>
      <w:tr>
        <w:trPr>
          <w:trHeight w:val="229"/>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5,776,245</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535.46</w:t>
            </w:r>
          </w:p>
        </w:tc>
      </w:tr>
      <w:tr>
        <w:trPr>
          <w:trHeight w:val="229"/>
        </w:trPr>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535.46</w:t>
            </w:r>
          </w:p>
        </w:tc>
      </w:tr>
    </w:tbl>
    <w:p>
      <w:pPr>
        <w:spacing w:after="0" w:line="189" w:lineRule="exact"/>
        <w:rPr>
          <w:sz w:val="20"/>
          <w:szCs w:val="20"/>
          <w:color w:val="auto"/>
        </w:rPr>
      </w:pPr>
    </w:p>
    <w:p>
      <w:pPr>
        <w:ind w:left="480" w:right="380" w:hanging="418"/>
        <w:spacing w:after="0" w:line="272" w:lineRule="auto"/>
        <w:tabs>
          <w:tab w:leader="none" w:pos="48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of the Securities Act of 1933, as amended (the “Securities Act”), this Registration Statement shall also cover an indeterminate number of additional shares of the Registrant’s common stock, par value $0.01 per share (the “Common Stock”), that becomes issuable with respect to the shares being registered hereunder as a result of stock splits, stock dividends, recapitalizations or similar transactions.</w:t>
      </w:r>
    </w:p>
    <w:p>
      <w:pPr>
        <w:spacing w:after="0" w:line="1" w:lineRule="exact"/>
        <w:rPr>
          <w:rFonts w:ascii="Times New Roman" w:cs="Times New Roman" w:eastAsia="Times New Roman" w:hAnsi="Times New Roman"/>
          <w:sz w:val="17"/>
          <w:szCs w:val="17"/>
          <w:color w:val="auto"/>
        </w:rPr>
      </w:pPr>
    </w:p>
    <w:p>
      <w:pPr>
        <w:ind w:left="420" w:right="120" w:hanging="412"/>
        <w:spacing w:after="0" w:line="250"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552,487 shares of Common Stock issued at the closing of the transactions contemplated by the Membership Interests Purchase Agreement dated as of January 9, 2022, by and among the Company, Peter Newman, John H. Martinson and Ezra Ernst (the “Purchase Agreement”) and (ii) up to 4,143,647 additional shares of Common Stock that may be issued as Earn-out Payments (as defined in the Purchase Agreement) if all Earn-out Milestones (as defined in the Purchase Agreement) are achieved.</w:t>
      </w:r>
    </w:p>
    <w:p>
      <w:pPr>
        <w:spacing w:after="0" w:line="1" w:lineRule="exact"/>
        <w:rPr>
          <w:rFonts w:ascii="Times New Roman" w:cs="Times New Roman" w:eastAsia="Times New Roman" w:hAnsi="Times New Roman"/>
          <w:sz w:val="18"/>
          <w:szCs w:val="18"/>
          <w:color w:val="auto"/>
        </w:rPr>
      </w:pPr>
    </w:p>
    <w:p>
      <w:pPr>
        <w:ind w:left="420" w:right="40" w:hanging="412"/>
        <w:spacing w:after="0" w:line="260"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under the Securities Act and based upon the average of the high and low prices of the Company’s Common Stock as reported by the Nasdaq Stock Market LLC on March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7FDCC233"/>
    <w:multiLevelType w:val="hybridMultilevel"/>
    <w:lvl w:ilvl="0">
      <w:lvlJc w:val="left"/>
      <w:lvlText w:val="(%1)"/>
      <w:numFmt w:val="decimal"/>
      <w:start w:val="2"/>
    </w:lvl>
    <w:lvl w:ilvl="1">
      <w:lvlJc w:val="left"/>
      <w:lvlText w:val="(%2)"/>
      <w:numFmt w:val="lowerRoman"/>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lvl w:ilvl="1">
      <w:lvlJc w:val="left"/>
      <w:lvlText w:val="(%2)"/>
      <w:numFmt w:val="decimal"/>
      <w:start w:val="1"/>
    </w:lvl>
  </w:abstractNum>
  <w:abstractNum w:abstractNumId="16">
    <w:nsid w:val="25E45D32"/>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jpeg"/><Relationship Id="rId51" Type="http://schemas.openxmlformats.org/officeDocument/2006/relationships/image" Target="media/image30.png"/><Relationship Id="rId52" Type="http://schemas.openxmlformats.org/officeDocument/2006/relationships/image" Target="media/image31.jpe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30" Type="http://schemas.openxmlformats.org/officeDocument/2006/relationships/hyperlink" Target="http://www.sec.gov/Archives/edgar/data/1410428/000155837021003840/xspa-20201231x10k.htm" TargetMode="External"/><Relationship Id="rId31" Type="http://schemas.openxmlformats.org/officeDocument/2006/relationships/hyperlink" Target="http://www.sec.gov/ix?doc=/Archives/edgar/data/1410428/000110465922006277/tm224035d1_8k.htm" TargetMode="External"/><Relationship Id="rId32" Type="http://schemas.openxmlformats.org/officeDocument/2006/relationships/hyperlink" Target="http://www.sec.gov/ix?doc=/Archives/edgar/data/1410428/000110465922007853/tm224576-1_8k.htm" TargetMode="External"/><Relationship Id="rId33" Type="http://schemas.openxmlformats.org/officeDocument/2006/relationships/hyperlink" Target="http://www.sec.gov/Archives/edgar/data/1410428/000114420413024675/v342843_8a12b.htm" TargetMode="External"/><Relationship Id="rId34" Type="http://schemas.openxmlformats.org/officeDocument/2006/relationships/hyperlink" Target="http://www.sec.gov/Archives/edgar/data/1410428/000119312510140514/d8a12b.htm" TargetMode="External"/><Relationship Id="rId37" Type="http://schemas.openxmlformats.org/officeDocument/2006/relationships/hyperlink" Target="http://www.sec.gov/Archives/edgar/data/1410428/000110465920048780/tm205324d1_ex3-1.htm" TargetMode="External"/><Relationship Id="rId38" Type="http://schemas.openxmlformats.org/officeDocument/2006/relationships/hyperlink" Target="https://www.sec.gov/Archives/edgar/data/1410428/000110465920048780/tm205324d1_ex3-1.htm" TargetMode="External"/><Relationship Id="rId39" Type="http://schemas.openxmlformats.org/officeDocument/2006/relationships/hyperlink" Target="http://www.sec.gov/Archives/edgar/data/1410428/000110465920071715/tm2021956d1_ex3-1.htm" TargetMode="External"/><Relationship Id="rId40" Type="http://schemas.openxmlformats.org/officeDocument/2006/relationships/hyperlink" Target="https://www.sec.gov/Archives/edgar/data/1410428/000110465920071715/tm2021956d1_ex3-1.htm" TargetMode="External"/><Relationship Id="rId41" Type="http://schemas.openxmlformats.org/officeDocument/2006/relationships/hyperlink" Target="http://www.sec.gov/Archives/edgar/data/1410428/000114420419017496/tv516017_ex3-2.htm" TargetMode="External"/><Relationship Id="rId42" Type="http://schemas.openxmlformats.org/officeDocument/2006/relationships/hyperlink" Target="https://www.sec.gov/Archives/edgar/data/1410428/000114420419017496/tv516017_ex3-2.htm" TargetMode="External"/><Relationship Id="rId43" Type="http://schemas.openxmlformats.org/officeDocument/2006/relationships/hyperlink" Target="http://www.sec.gov/Archives/edgar/data/1410428/000110465921101540/tm2124329d1_ex3-1.htm" TargetMode="External"/><Relationship Id="rId44" Type="http://schemas.openxmlformats.org/officeDocument/2006/relationships/hyperlink" Target="https://www.sec.gov/Archives/edgar/data/1410428/000110465921101540/tm2124329d1_ex3-1.htm" TargetMode="External"/><Relationship Id="rId45" Type="http://schemas.openxmlformats.org/officeDocument/2006/relationships/hyperlink" Target="https://www.sec.gov/Archives/edgar/data/1410428/00011931251012344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2022-03-31T17:10:36Z</dcterms:created>
  <dcterms:modified xsi:type="dcterms:W3CDTF">2022-03-31T17:10:36Z</dcterms:modified>
</cp:coreProperties>
</file>