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November 8, 2017</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HOLDINGS CORP.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02" w:right="239" w:bottom="1440" w:gutter="0" w:footer="0" w:header="0"/>
        </w:sectPr>
      </w:pPr>
    </w:p>
    <w:p>
      <w:pPr>
        <w:spacing w:after="0" w:line="20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00" w:space="720"/>
            <w:col w:w="3320"/>
          </w:cols>
          <w:pgMar w:left="240" w:top="70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5" w:lineRule="exact"/>
        <w:rPr>
          <w:sz w:val="20"/>
          <w:szCs w:val="20"/>
          <w:color w:val="auto"/>
        </w:rPr>
      </w:pPr>
    </w:p>
    <w:p>
      <w:pPr>
        <w:ind w:right="240" w:firstLine="8"/>
        <w:spacing w:after="0" w:line="25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8, 2017, FORM Holdings Corp. (“</w:t>
      </w:r>
      <w:r>
        <w:rPr>
          <w:rFonts w:ascii="Arial" w:cs="Arial" w:eastAsia="Arial" w:hAnsi="Arial"/>
          <w:sz w:val="18"/>
          <w:szCs w:val="18"/>
          <w:b w:val="1"/>
          <w:bCs w:val="1"/>
          <w:color w:val="auto"/>
        </w:rPr>
        <w:t>FORM</w:t>
      </w:r>
      <w:r>
        <w:rPr>
          <w:rFonts w:ascii="Arial" w:cs="Arial" w:eastAsia="Arial" w:hAnsi="Arial"/>
          <w:sz w:val="18"/>
          <w:szCs w:val="18"/>
          <w:color w:val="auto"/>
        </w:rPr>
        <w:t>”) held its 2017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At the Annual Meeting, 20,376,594 of the holders of the total shares of FORM were present in person or represented by proxy, which represents 68.14% of the total outstanding shares of FORM entitled to vote as of the record date of September 12, 2017. The total voting shares present in person or represented by proxy includes holders of FORM’s common stock, par value $0.01 (“</w:t>
      </w:r>
      <w:r>
        <w:rPr>
          <w:rFonts w:ascii="Arial" w:cs="Arial" w:eastAsia="Arial" w:hAnsi="Arial"/>
          <w:sz w:val="18"/>
          <w:szCs w:val="18"/>
          <w:b w:val="1"/>
          <w:bCs w:val="1"/>
          <w:color w:val="auto"/>
        </w:rPr>
        <w:t>FORM Common Stock</w:t>
      </w:r>
      <w:r>
        <w:rPr>
          <w:rFonts w:ascii="Arial" w:cs="Arial" w:eastAsia="Arial" w:hAnsi="Arial"/>
          <w:sz w:val="18"/>
          <w:szCs w:val="18"/>
          <w:color w:val="auto"/>
        </w:rPr>
        <w:t>”), and holders of FORM’s Series D preferred stock (“</w:t>
      </w:r>
      <w:r>
        <w:rPr>
          <w:rFonts w:ascii="Arial" w:cs="Arial" w:eastAsia="Arial" w:hAnsi="Arial"/>
          <w:sz w:val="18"/>
          <w:szCs w:val="18"/>
          <w:b w:val="1"/>
          <w:bCs w:val="1"/>
          <w:color w:val="auto"/>
        </w:rPr>
        <w:t>FORM</w:t>
      </w:r>
      <w:r>
        <w:rPr>
          <w:rFonts w:ascii="Arial" w:cs="Arial" w:eastAsia="Arial" w:hAnsi="Arial"/>
          <w:sz w:val="18"/>
          <w:szCs w:val="18"/>
          <w:color w:val="auto"/>
        </w:rPr>
        <w:t xml:space="preserv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actions were taken in the Annual Meeting:</w:t>
      </w:r>
    </w:p>
    <w:p>
      <w:pPr>
        <w:spacing w:after="0" w:line="22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six nominees were elected or reelected to serve on the Board until FORM’s 2018 annual meeting of stockholders or until their respective successors have been elected and qualified, or until their earlier resignation or removal:</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Name of Director Nominees</w:t>
            </w: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Votes For</w:t>
            </w:r>
          </w:p>
        </w:tc>
        <w:tc>
          <w:tcPr>
            <w:tcW w:w="20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Votes Withheld</w:t>
            </w: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Broker Non-Vote</w:t>
            </w:r>
          </w:p>
        </w:tc>
      </w:tr>
      <w:tr>
        <w:trPr>
          <w:trHeight w:val="21"/>
        </w:trPr>
        <w:tc>
          <w:tcPr>
            <w:tcW w:w="6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Andrew D. Perlman</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8,351,878</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837,790</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11,186,926</w:t>
            </w:r>
          </w:p>
        </w:tc>
        <w:tc>
          <w:tcPr>
            <w:tcW w:w="400" w:type="dxa"/>
            <w:vAlign w:val="bottom"/>
            <w:shd w:val="clear" w:color="auto" w:fill="CCEEFF"/>
          </w:tcPr>
          <w:p>
            <w:pPr>
              <w:spacing w:after="0"/>
              <w:rPr>
                <w:sz w:val="18"/>
                <w:szCs w:val="18"/>
                <w:color w:val="auto"/>
              </w:rPr>
            </w:pPr>
          </w:p>
        </w:tc>
      </w:tr>
      <w:tr>
        <w:trPr>
          <w:trHeight w:val="216"/>
        </w:trPr>
        <w:tc>
          <w:tcPr>
            <w:tcW w:w="3780" w:type="dxa"/>
            <w:vAlign w:val="bottom"/>
            <w:gridSpan w:val="3"/>
          </w:tcPr>
          <w:p>
            <w:pPr>
              <w:ind w:left="80"/>
              <w:spacing w:after="0"/>
              <w:rPr>
                <w:sz w:val="20"/>
                <w:szCs w:val="20"/>
                <w:color w:val="auto"/>
              </w:rPr>
            </w:pPr>
            <w:r>
              <w:rPr>
                <w:rFonts w:ascii="Arial" w:cs="Arial" w:eastAsia="Arial" w:hAnsi="Arial"/>
                <w:sz w:val="18"/>
                <w:szCs w:val="18"/>
                <w:color w:val="auto"/>
              </w:rPr>
              <w:t>John Engleman</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8,398,364</w:t>
            </w:r>
          </w:p>
        </w:tc>
        <w:tc>
          <w:tcPr>
            <w:tcW w:w="8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791,304</w:t>
            </w:r>
          </w:p>
        </w:tc>
        <w:tc>
          <w:tcPr>
            <w:tcW w:w="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11,186,926</w:t>
            </w:r>
          </w:p>
        </w:tc>
        <w:tc>
          <w:tcPr>
            <w:tcW w:w="400" w:type="dxa"/>
            <w:vAlign w:val="bottom"/>
          </w:tcPr>
          <w:p>
            <w:pPr>
              <w:spacing w:after="0"/>
              <w:rPr>
                <w:sz w:val="18"/>
                <w:szCs w:val="18"/>
                <w:color w:val="auto"/>
              </w:rPr>
            </w:pPr>
          </w:p>
        </w:tc>
      </w:tr>
      <w:tr>
        <w:trPr>
          <w:trHeight w:val="216"/>
        </w:trPr>
        <w:tc>
          <w:tcPr>
            <w:tcW w:w="37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Donald E. Stout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8,401,546</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788,122</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11,186,926</w:t>
            </w:r>
          </w:p>
        </w:tc>
        <w:tc>
          <w:tcPr>
            <w:tcW w:w="400" w:type="dxa"/>
            <w:vAlign w:val="bottom"/>
            <w:shd w:val="clear" w:color="auto" w:fill="CCEEFF"/>
          </w:tcPr>
          <w:p>
            <w:pPr>
              <w:spacing w:after="0"/>
              <w:rPr>
                <w:sz w:val="18"/>
                <w:szCs w:val="18"/>
                <w:color w:val="auto"/>
              </w:rPr>
            </w:pPr>
          </w:p>
        </w:tc>
      </w:tr>
      <w:tr>
        <w:trPr>
          <w:trHeight w:val="202"/>
        </w:trPr>
        <w:tc>
          <w:tcPr>
            <w:tcW w:w="37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Salvatore Giardina</w:t>
            </w:r>
          </w:p>
        </w:tc>
        <w:tc>
          <w:tcPr>
            <w:tcW w:w="740" w:type="dxa"/>
            <w:vAlign w:val="bottom"/>
          </w:tcPr>
          <w:p>
            <w:pPr>
              <w:ind w:left="20"/>
              <w:spacing w:after="0" w:line="201" w:lineRule="exact"/>
              <w:rPr>
                <w:sz w:val="20"/>
                <w:szCs w:val="20"/>
                <w:color w:val="auto"/>
              </w:rPr>
            </w:pPr>
            <w:r>
              <w:rPr>
                <w:rFonts w:ascii="Arial" w:cs="Arial" w:eastAsia="Arial" w:hAnsi="Arial"/>
                <w:sz w:val="18"/>
                <w:szCs w:val="18"/>
                <w:color w:val="auto"/>
                <w:w w:val="87"/>
              </w:rPr>
              <w:t>8,395,687</w:t>
            </w:r>
          </w:p>
        </w:tc>
        <w:tc>
          <w:tcPr>
            <w:tcW w:w="88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2"/>
              </w:rPr>
              <w:t>793,981</w:t>
            </w:r>
          </w:p>
        </w:tc>
        <w:tc>
          <w:tcPr>
            <w:tcW w:w="860" w:type="dxa"/>
            <w:vAlign w:val="bottom"/>
          </w:tcPr>
          <w:p>
            <w:pPr>
              <w:spacing w:after="0"/>
              <w:rPr>
                <w:sz w:val="17"/>
                <w:szCs w:val="17"/>
                <w:color w:val="auto"/>
              </w:rPr>
            </w:pP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88"/>
              </w:rPr>
              <w:t>11,186,926</w:t>
            </w:r>
          </w:p>
        </w:tc>
        <w:tc>
          <w:tcPr>
            <w:tcW w:w="400" w:type="dxa"/>
            <w:vAlign w:val="bottom"/>
          </w:tcPr>
          <w:p>
            <w:pPr>
              <w:spacing w:after="0"/>
              <w:rPr>
                <w:sz w:val="17"/>
                <w:szCs w:val="17"/>
                <w:color w:val="auto"/>
              </w:rPr>
            </w:pPr>
          </w:p>
        </w:tc>
      </w:tr>
      <w:tr>
        <w:trPr>
          <w:trHeight w:val="230"/>
        </w:trPr>
        <w:tc>
          <w:tcPr>
            <w:tcW w:w="3780" w:type="dxa"/>
            <w:vAlign w:val="bottom"/>
            <w:gridSpan w:val="3"/>
          </w:tcPr>
          <w:p>
            <w:pPr>
              <w:ind w:left="80"/>
              <w:spacing w:after="0"/>
              <w:rPr>
                <w:sz w:val="20"/>
                <w:szCs w:val="20"/>
                <w:color w:val="auto"/>
              </w:rPr>
            </w:pPr>
            <w:r>
              <w:rPr>
                <w:rFonts w:ascii="Arial" w:cs="Arial" w:eastAsia="Arial" w:hAnsi="Arial"/>
                <w:sz w:val="18"/>
                <w:szCs w:val="18"/>
                <w:color w:val="auto"/>
              </w:rPr>
              <w:t>Bruce T. Bernstein</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8,351,048</w:t>
            </w:r>
          </w:p>
        </w:tc>
        <w:tc>
          <w:tcPr>
            <w:tcW w:w="8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838,620</w:t>
            </w:r>
          </w:p>
        </w:tc>
        <w:tc>
          <w:tcPr>
            <w:tcW w:w="8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11,186,926</w:t>
            </w:r>
          </w:p>
        </w:tc>
        <w:tc>
          <w:tcPr>
            <w:tcW w:w="400" w:type="dxa"/>
            <w:vAlign w:val="bottom"/>
          </w:tcPr>
          <w:p>
            <w:pPr>
              <w:spacing w:after="0"/>
              <w:rPr>
                <w:sz w:val="20"/>
                <w:szCs w:val="20"/>
                <w:color w:val="auto"/>
              </w:rPr>
            </w:pPr>
          </w:p>
        </w:tc>
      </w:tr>
      <w:tr>
        <w:trPr>
          <w:trHeight w:val="216"/>
        </w:trPr>
        <w:tc>
          <w:tcPr>
            <w:tcW w:w="37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Richard K. Abbe</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8,482,223</w:t>
            </w: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707,445</w:t>
            </w:r>
          </w:p>
        </w:tc>
        <w:tc>
          <w:tcPr>
            <w:tcW w:w="8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11,186,926</w:t>
            </w:r>
          </w:p>
        </w:tc>
        <w:tc>
          <w:tcPr>
            <w:tcW w:w="4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selection of Cohn Reznik LLP as FORM’s independent registered public accounting firm for the fiscal year ending December 31, 2017, was ratified, based on the following votes:</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9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Votes For</w:t>
            </w:r>
          </w:p>
        </w:tc>
        <w:tc>
          <w:tcPr>
            <w:tcW w:w="16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Votes Against</w:t>
            </w:r>
          </w:p>
        </w:tc>
        <w:tc>
          <w:tcPr>
            <w:tcW w:w="2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Votes Abstain</w:t>
            </w: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2980" w:type="dxa"/>
            <w:vAlign w:val="bottom"/>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19,936,978</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175,585</w:t>
            </w:r>
          </w:p>
        </w:tc>
        <w:tc>
          <w:tcPr>
            <w:tcW w:w="6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264,031</w:t>
            </w:r>
          </w:p>
        </w:tc>
        <w:tc>
          <w:tcPr>
            <w:tcW w:w="10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compensation of FORM’s named executive officers, as disclosed in FORM’s proxy statement, was approved by an advisory vote, based on the following votes:</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980" w:type="dxa"/>
            <w:vAlign w:val="bottom"/>
            <w:gridSpan w:val="3"/>
          </w:tcPr>
          <w:p>
            <w:pPr>
              <w:ind w:left="800"/>
              <w:spacing w:after="0"/>
              <w:rPr>
                <w:sz w:val="20"/>
                <w:szCs w:val="20"/>
                <w:color w:val="auto"/>
              </w:rPr>
            </w:pPr>
            <w:r>
              <w:rPr>
                <w:rFonts w:ascii="Arial" w:cs="Arial" w:eastAsia="Arial" w:hAnsi="Arial"/>
                <w:sz w:val="18"/>
                <w:szCs w:val="18"/>
                <w:b w:val="1"/>
                <w:bCs w:val="1"/>
                <w:color w:val="auto"/>
              </w:rPr>
              <w:t>Votes For</w:t>
            </w:r>
          </w:p>
        </w:tc>
        <w:tc>
          <w:tcPr>
            <w:tcW w:w="16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Votes Against</w:t>
            </w:r>
          </w:p>
        </w:tc>
        <w:tc>
          <w:tcPr>
            <w:tcW w:w="2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Votes Abstain</w:t>
            </w: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15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87"/>
              </w:rPr>
              <w:t>7,391,068</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1,769,114</w:t>
            </w:r>
          </w:p>
        </w:tc>
        <w:tc>
          <w:tcPr>
            <w:tcW w:w="6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29,486</w:t>
            </w:r>
          </w:p>
        </w:tc>
        <w:tc>
          <w:tcPr>
            <w:tcW w:w="10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11,186,926</w:t>
            </w:r>
          </w:p>
        </w:tc>
        <w:tc>
          <w:tcPr>
            <w:tcW w:w="4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Andrew R. Heyer by holders of FORM Preferred Stock to serve on the Board until FORM’s 2018 annual meeting of stockholders or until his respective successor has been elected and qualified, or until their earlier resignation or removal:</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980" w:type="dxa"/>
            <w:vAlign w:val="bottom"/>
            <w:gridSpan w:val="3"/>
          </w:tcPr>
          <w:p>
            <w:pPr>
              <w:ind w:left="800"/>
              <w:spacing w:after="0"/>
              <w:rPr>
                <w:sz w:val="20"/>
                <w:szCs w:val="20"/>
                <w:color w:val="auto"/>
              </w:rPr>
            </w:pPr>
            <w:r>
              <w:rPr>
                <w:rFonts w:ascii="Arial" w:cs="Arial" w:eastAsia="Arial" w:hAnsi="Arial"/>
                <w:sz w:val="18"/>
                <w:szCs w:val="18"/>
                <w:b w:val="1"/>
                <w:bCs w:val="1"/>
                <w:color w:val="auto"/>
              </w:rPr>
              <w:t>Votes For</w:t>
            </w:r>
          </w:p>
        </w:tc>
        <w:tc>
          <w:tcPr>
            <w:tcW w:w="16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Votes Against</w:t>
            </w:r>
          </w:p>
        </w:tc>
        <w:tc>
          <w:tcPr>
            <w:tcW w:w="2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Votes Abstain</w:t>
            </w: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Broker Non-Vote</w:t>
            </w:r>
          </w:p>
        </w:tc>
      </w:tr>
      <w:tr>
        <w:trPr>
          <w:trHeight w:val="21"/>
        </w:trPr>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15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87"/>
              </w:rPr>
              <w:t>1,745,008</w:t>
            </w:r>
          </w:p>
        </w:tc>
        <w:tc>
          <w:tcPr>
            <w:tcW w:w="1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proposal to adjourn the Annual Meeting, if necessary, to solicit additional proxies if there are not sufficient votes in favor of FORM’s Proposal Nos. 1, 2, 3 or 4, was approved,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29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Votes For</w:t>
            </w:r>
          </w:p>
        </w:tc>
        <w:tc>
          <w:tcPr>
            <w:tcW w:w="16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Votes Against</w:t>
            </w:r>
          </w:p>
        </w:tc>
        <w:tc>
          <w:tcPr>
            <w:tcW w:w="2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Votes Abstain</w:t>
            </w: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Broker Non-Vote</w:t>
            </w:r>
          </w:p>
        </w:tc>
        <w:tc>
          <w:tcPr>
            <w:tcW w:w="114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18,351,440</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1,830,699</w:t>
            </w:r>
          </w:p>
        </w:tc>
        <w:tc>
          <w:tcPr>
            <w:tcW w:w="6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194,455</w:t>
            </w:r>
          </w:p>
        </w:tc>
        <w:tc>
          <w:tcPr>
            <w:tcW w:w="10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675"/>
        </w:trPr>
        <w:tc>
          <w:tcPr>
            <w:tcW w:w="1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170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November 13, 2017</w:t>
            </w:r>
          </w:p>
        </w:tc>
        <w:tc>
          <w:tcPr>
            <w:tcW w:w="7740" w:type="dxa"/>
            <w:vAlign w:val="bottom"/>
            <w:gridSpan w:val="3"/>
          </w:tcPr>
          <w:p>
            <w:pPr>
              <w:ind w:left="1700"/>
              <w:spacing w:after="0"/>
              <w:rPr>
                <w:sz w:val="20"/>
                <w:szCs w:val="20"/>
                <w:color w:val="auto"/>
              </w:rPr>
            </w:pPr>
            <w:r>
              <w:rPr>
                <w:rFonts w:ascii="Arial" w:cs="Arial" w:eastAsia="Arial" w:hAnsi="Arial"/>
                <w:sz w:val="18"/>
                <w:szCs w:val="18"/>
                <w:color w:val="auto"/>
              </w:rPr>
              <w:t>By: /s/ Andrew D. Perlman</w:t>
            </w:r>
          </w:p>
        </w:tc>
      </w:tr>
      <w:tr>
        <w:trPr>
          <w:trHeight w:val="195"/>
        </w:trPr>
        <w:tc>
          <w:tcPr>
            <w:tcW w:w="3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2019-12-07T07:02:24Z</dcterms:created>
  <dcterms:modified xsi:type="dcterms:W3CDTF">2019-12-07T07:02:24Z</dcterms:modified>
</cp:coreProperties>
</file>