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303"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UNITED STATES</w:t>
      </w:r>
    </w:p>
    <w:p>
      <w:pPr>
        <w:jc w:val="center"/>
        <w:ind w:right="-459"/>
        <w:spacing w:after="0" w:line="226" w:lineRule="auto"/>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99060</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68"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SCHEDULE 14A</w:t>
      </w:r>
    </w:p>
    <w:p>
      <w:pPr>
        <w:jc w:val="center"/>
        <w:ind w:right="-459"/>
        <w:spacing w:after="0" w:line="226" w:lineRule="auto"/>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jc w:val="center"/>
        <w:ind w:right="-519"/>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30480</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75" w:lineRule="exact"/>
        <w:rPr>
          <w:sz w:val="24"/>
          <w:szCs w:val="24"/>
          <w:color w:val="auto"/>
        </w:rPr>
      </w:pPr>
    </w:p>
    <w:p>
      <w:pPr>
        <w:ind w:left="500"/>
        <w:spacing w:after="0" w:line="207" w:lineRule="exact"/>
        <w:tabs>
          <w:tab w:leader="none" w:pos="414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left="500"/>
        <w:spacing w:after="0" w:line="207" w:lineRule="exact"/>
        <w:tabs>
          <w:tab w:leader="none" w:pos="41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1220" w:hanging="366"/>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1220" w:hanging="366"/>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220" w:hanging="366"/>
        <w:spacing w:after="0"/>
        <w:tabs>
          <w:tab w:leader="none" w:pos="1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18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32"/>
          <w:szCs w:val="32"/>
          <w:b w:val="1"/>
          <w:bCs w:val="1"/>
          <w:color w:val="auto"/>
        </w:rPr>
        <w:t>XpresSpa Group, Inc.</w:t>
      </w:r>
    </w:p>
    <w:p>
      <w:pPr>
        <w:spacing w:after="0" w:line="6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1900555</wp:posOffset>
            </wp:positionH>
            <wp:positionV relativeFrom="paragraph">
              <wp:posOffset>195580</wp:posOffset>
            </wp:positionV>
            <wp:extent cx="3018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374"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1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1220" w:hanging="366"/>
        <w:spacing w:after="0"/>
        <w:tabs>
          <w:tab w:leader="none" w:pos="1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220" w:hanging="366"/>
        <w:spacing w:after="0"/>
        <w:tabs>
          <w:tab w:leader="none" w:pos="1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30" w:lineRule="exact"/>
        <w:rPr>
          <w:rFonts w:ascii="MS PGothic" w:cs="MS PGothic" w:eastAsia="MS PGothic" w:hAnsi="MS PGothic"/>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580" w:hanging="366"/>
        <w:spacing w:after="0" w:line="282" w:lineRule="auto"/>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77" w:lineRule="exact"/>
        <w:rPr>
          <w:rFonts w:ascii="Times New Roman" w:cs="Times New Roman" w:eastAsia="Times New Roman" w:hAnsi="Times New Roman"/>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220" w:hanging="366"/>
        <w:spacing w:after="0"/>
        <w:tabs>
          <w:tab w:leader="none" w:pos="1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jc w:val="both"/>
        <w:ind w:left="1220" w:hanging="366"/>
        <w:spacing w:after="0" w:line="266" w:lineRule="auto"/>
        <w:tabs>
          <w:tab w:leader="none" w:pos="1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MS PGothic" w:cs="MS PGothic" w:eastAsia="MS PGothic" w:hAnsi="MS PGothic"/>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1580" w:hanging="366"/>
        <w:spacing w:after="0"/>
        <w:tabs>
          <w:tab w:leader="none" w:pos="1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-3506470</wp:posOffset>
            </wp:positionV>
            <wp:extent cx="54971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-3103245</wp:posOffset>
            </wp:positionV>
            <wp:extent cx="54971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-2554605</wp:posOffset>
            </wp:positionV>
            <wp:extent cx="54971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-2143125</wp:posOffset>
            </wp:positionV>
            <wp:extent cx="5497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-1731645</wp:posOffset>
            </wp:positionV>
            <wp:extent cx="5497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-633730</wp:posOffset>
            </wp:positionV>
            <wp:extent cx="5497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-222250</wp:posOffset>
            </wp:positionV>
            <wp:extent cx="54971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189230</wp:posOffset>
            </wp:positionV>
            <wp:extent cx="54971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97195" cy="8890"/>
                    </a:xfrm>
                    <a:prstGeom prst="rect">
                      <a:avLst/>
                    </a:prstGeom>
                    <a:noFill/>
                  </pic:spPr>
                </pic:pic>
              </a:graphicData>
            </a:graphic>
          </wp:anchor>
        </w:drawing>
      </w:r>
    </w:p>
    <w:p>
      <w:pPr>
        <w:sectPr>
          <w:pgSz w:w="11900" w:h="16838" w:orient="portrait"/>
          <w:cols w:equalWidth="0" w:num="1">
            <w:col w:w="10220"/>
          </w:cols>
          <w:pgMar w:left="240" w:top="221" w:right="14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80" w:hanging="366"/>
        <w:spacing w:after="0"/>
        <w:tabs>
          <w:tab w:leader="none" w:pos="15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1000125</wp:posOffset>
            </wp:positionH>
            <wp:positionV relativeFrom="paragraph">
              <wp:posOffset>196215</wp:posOffset>
            </wp:positionV>
            <wp:extent cx="5497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719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440690</wp:posOffset>
            </wp:positionV>
            <wp:extent cx="68345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20"/>
          </w:cols>
          <w:pgMar w:left="240" w:top="221" w:right="1439" w:bottom="1440" w:gutter="0" w:footer="0" w:header="0"/>
          <w:type w:val="continuous"/>
        </w:sectPr>
      </w:pPr>
    </w:p>
    <w:bookmarkStart w:id="1" w:name="page2"/>
    <w:bookmarkEnd w:id="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523240</wp:posOffset>
            </wp:positionV>
            <wp:extent cx="246126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12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jc w:val="center"/>
        <w:ind w:right="-520"/>
        <w:spacing w:after="0" w:line="185" w:lineRule="auto"/>
        <w:rPr>
          <w:sz w:val="20"/>
          <w:szCs w:val="20"/>
          <w:color w:val="auto"/>
        </w:rPr>
      </w:pPr>
      <w:r>
        <w:rPr>
          <w:rFonts w:ascii="Times New Roman" w:cs="Times New Roman" w:eastAsia="Times New Roman" w:hAnsi="Times New Roman"/>
          <w:sz w:val="17"/>
          <w:szCs w:val="17"/>
          <w:b w:val="1"/>
          <w:bCs w:val="1"/>
          <w:color w:val="auto"/>
        </w:rPr>
        <w:t>780 Third Avenue, 12</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80"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August 6, 2018</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2018 annual meeting of stockholders of XpresSpa Group, Inc. to be held at 11:00 A.M. EST on Tuesday, September 18, 2018 at the offices of Mintz, Levin, Cohn, Ferris, Glovsky &amp; Popeo, P.C., located at 666 Third Avenue, New York, New York, 10017.</w:t>
      </w:r>
    </w:p>
    <w:p>
      <w:pPr>
        <w:spacing w:after="0" w:line="6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XpresSpa Group, Inc. that you should consider when you vote your shares are described in this proxy statement.</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annual meeting, we will ask stockholders to consider the following proposals:</w:t>
      </w:r>
    </w:p>
    <w:p>
      <w:pPr>
        <w:spacing w:after="0" w:line="171" w:lineRule="exact"/>
        <w:rPr>
          <w:sz w:val="20"/>
          <w:szCs w:val="20"/>
          <w:color w:val="auto"/>
        </w:rPr>
      </w:pPr>
    </w:p>
    <w:p>
      <w:pPr>
        <w:ind w:left="1980" w:right="739" w:hanging="352"/>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Edward Jankowski, Bruce T. Bernstein, Donald E. Stout, Salvatore Giardina and Richard K. Abbe to our Board of Directors;</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CohnReznick LLP as our independent registered public accounting firm for the fiscal year ending December 31, 2018;</w:t>
      </w:r>
    </w:p>
    <w:p>
      <w:pPr>
        <w:spacing w:after="0" w:line="107" w:lineRule="exact"/>
        <w:rPr>
          <w:rFonts w:ascii="Times New Roman" w:cs="Times New Roman" w:eastAsia="Times New Roman" w:hAnsi="Times New Roman"/>
          <w:sz w:val="18"/>
          <w:szCs w:val="18"/>
          <w:color w:val="auto"/>
        </w:rPr>
      </w:pPr>
    </w:p>
    <w:p>
      <w:pPr>
        <w:jc w:val="both"/>
        <w:ind w:left="1980" w:right="759" w:hanging="352"/>
        <w:spacing w:after="0" w:line="25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for purposes of complying with Nasdaq Listing Rule 5635(d),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133"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XpresSpa Group, Inc. Amended and Restated Certificate of Incorporation to effect a reverse stock split of our issued and outstanding shares of common stock, at a ratio of between 5-for-1 and 25-for-1;</w:t>
      </w:r>
    </w:p>
    <w:p>
      <w:pPr>
        <w:spacing w:after="0" w:line="122"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this proxy statement, and</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if necessary, to solicit additional proxies if there are not sufficient votes in favor of the proposals referred to in clauses (2) through (5).</w:t>
      </w:r>
    </w:p>
    <w:p>
      <w:pPr>
        <w:spacing w:after="0" w:line="50" w:lineRule="exact"/>
        <w:rPr>
          <w:sz w:val="20"/>
          <w:szCs w:val="20"/>
          <w:color w:val="auto"/>
        </w:rPr>
      </w:pPr>
    </w:p>
    <w:p>
      <w:pPr>
        <w:jc w:val="both"/>
        <w:ind w:left="1260" w:right="7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recommends the approval of each of these proposals. </w:t>
      </w:r>
      <w:r>
        <w:rPr>
          <w:rFonts w:ascii="Times New Roman" w:cs="Times New Roman" w:eastAsia="Times New Roman" w:hAnsi="Times New Roman"/>
          <w:sz w:val="18"/>
          <w:szCs w:val="18"/>
          <w:color w:val="auto"/>
        </w:rPr>
        <w:t>Such other business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transacted as may properly come before the annual meeting.</w:t>
      </w:r>
    </w:p>
    <w:p>
      <w:pPr>
        <w:spacing w:after="0" w:line="51"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Also at the annual meeting, the holders of our Series D Preferred Stock may re-elect Andrew R. Heyer to the Board of Directors. The Board of Directors makes no recommendation with respect to this proposal.</w:t>
      </w:r>
    </w:p>
    <w:p>
      <w:pPr>
        <w:spacing w:after="0" w:line="54"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hope you will be able to attend the annual meeting. Whether you plan to attend the annual meeting or not, it is important that you cast your vote either in person or by proxy. You may vote over the Internet as well as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 w:name="page3"/>
    <w:bookmarkEnd w:id="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Thank you for your continued support of XpresSpa Group, Inc. We look forward to seeing you at the annual meeting.</w:t>
      </w:r>
    </w:p>
    <w:p>
      <w:pPr>
        <w:spacing w:after="0" w:line="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146050</wp:posOffset>
            </wp:positionV>
            <wp:extent cx="1260475" cy="351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604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Edward Jankowski</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6202045</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 w:name="page4"/>
    <w:bookmarkEnd w:id="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523240</wp:posOffset>
            </wp:positionV>
            <wp:extent cx="246126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612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jc w:val="center"/>
        <w:ind w:right="-520"/>
        <w:spacing w:after="0" w:line="185" w:lineRule="auto"/>
        <w:rPr>
          <w:sz w:val="20"/>
          <w:szCs w:val="20"/>
          <w:color w:val="auto"/>
        </w:rPr>
      </w:pPr>
      <w:r>
        <w:rPr>
          <w:rFonts w:ascii="Times New Roman" w:cs="Times New Roman" w:eastAsia="Times New Roman" w:hAnsi="Times New Roman"/>
          <w:sz w:val="17"/>
          <w:szCs w:val="17"/>
          <w:b w:val="1"/>
          <w:bCs w:val="1"/>
          <w:color w:val="auto"/>
        </w:rPr>
        <w:t>780 Third Avenue, 12</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80"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August 6, 2018</w:t>
      </w:r>
    </w:p>
    <w:p>
      <w:pPr>
        <w:spacing w:after="0" w:line="21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NOTICE OF 2018 ANNUAL MEETING OF STOCKHOLDERS</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TIME: 11:00 a.m., local time</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 September 18, 2018</w:t>
      </w:r>
    </w:p>
    <w:p>
      <w:pPr>
        <w:spacing w:after="0" w:line="117"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PLACE: Mintz, Levin, Cohn, Ferris, Glovsky &amp; Popeo, P.C., located at 666 Third Avenue, New York, New York, 10017</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PURPOSES:</w:t>
      </w:r>
    </w:p>
    <w:p>
      <w:pPr>
        <w:spacing w:after="0" w:line="171" w:lineRule="exact"/>
        <w:rPr>
          <w:sz w:val="20"/>
          <w:szCs w:val="20"/>
          <w:color w:val="auto"/>
        </w:rPr>
      </w:pPr>
    </w:p>
    <w:p>
      <w:pPr>
        <w:ind w:left="1980" w:right="73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Edward Jankowski, Bruce T. Bernstein, Donald E. Stout, Salvatore Giardina and Richard K. Abbe to our Board of Directors;</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CohnReznick LLP as our independent registered public accounting firm for the fiscal year ending December 31, 2018;</w:t>
      </w:r>
    </w:p>
    <w:p>
      <w:pPr>
        <w:spacing w:after="0" w:line="107" w:lineRule="exact"/>
        <w:rPr>
          <w:rFonts w:ascii="Times New Roman" w:cs="Times New Roman" w:eastAsia="Times New Roman" w:hAnsi="Times New Roman"/>
          <w:sz w:val="18"/>
          <w:szCs w:val="18"/>
          <w:color w:val="auto"/>
        </w:rPr>
      </w:pPr>
    </w:p>
    <w:p>
      <w:pPr>
        <w:jc w:val="both"/>
        <w:ind w:left="1980" w:right="759" w:hanging="352"/>
        <w:spacing w:after="0" w:line="256"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for purposes of complying with Nasdaq Listing Rule 5635(d),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133"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XpresSpa Group, Inc. Amended and Restated Certificate of Incorporation to effect a reverse stock split of our issued and outstanding shares of common stock, at a ratio of between 5-for-1 and 25-for-1;</w:t>
      </w:r>
    </w:p>
    <w:p>
      <w:pPr>
        <w:spacing w:after="0" w:line="122"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this proxy statement, and</w:t>
      </w:r>
    </w:p>
    <w:p>
      <w:pPr>
        <w:spacing w:after="0" w:line="10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adjournment of our annual meeting of stockholders, if necessary, to solicit additional proxies if there are not sufficient votes in favor of the proposals referred to in clauses (2) through (5).</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WHO MAY VOTE:</w:t>
      </w:r>
    </w:p>
    <w:p>
      <w:pPr>
        <w:spacing w:after="0" w:line="104"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You may vote if you were the record owner of XpresSpa Group, Inc. common stock or Series D Preferred Stock at the close of business on July 23, 2018. A list of stockholders of record will be available at the annual meeting and, during the 10 days prior to the annual meeting, at our principal executive offices located at 780 Third Avenue,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501650</wp:posOffset>
            </wp:positionV>
            <wp:extent cx="68345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 w:name="page5"/>
    <w:bookmarkEnd w:id="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260" w:right="739" w:firstLine="360"/>
        <w:spacing w:after="0" w:line="268"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annual meeting. </w:t>
      </w:r>
      <w:r>
        <w:rPr>
          <w:rFonts w:ascii="Times New Roman" w:cs="Times New Roman" w:eastAsia="Times New Roman" w:hAnsi="Times New Roman"/>
          <w:sz w:val="18"/>
          <w:szCs w:val="18"/>
          <w:b w:val="1"/>
          <w:bCs w:val="1"/>
          <w:color w:val="auto"/>
        </w:rPr>
        <w:t>Whether you plan to attend the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meeting or not, we urge you to vote and submit your proxy by the Internet or mail in order to ensure the presence of a quorum. </w:t>
      </w:r>
      <w:r>
        <w:rPr>
          <w:rFonts w:ascii="Times New Roman" w:cs="Times New Roman" w:eastAsia="Times New Roman" w:hAnsi="Times New Roman"/>
          <w:sz w:val="18"/>
          <w:szCs w:val="18"/>
          <w:color w:val="auto"/>
        </w:rPr>
        <w:t>You may change or revoke your proxy at any time before it is voted at the meeting.</w:t>
      </w:r>
    </w:p>
    <w:p>
      <w:pPr>
        <w:spacing w:after="0" w:line="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3324225</wp:posOffset>
            </wp:positionH>
            <wp:positionV relativeFrom="paragraph">
              <wp:posOffset>146050</wp:posOffset>
            </wp:positionV>
            <wp:extent cx="1260475" cy="3517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0475"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Edward Jankowski</w:t>
      </w:r>
    </w:p>
    <w:p>
      <w:pPr>
        <w:spacing w:after="0" w:line="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5790565</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 w:name="page6"/>
    <w:bookmarkEnd w:id="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4"/>
        </w:trPr>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20" w:type="dxa"/>
            <w:vAlign w:val="bottom"/>
            <w:gridSpan w:val="21"/>
            <w:shd w:val="clear" w:color="auto" w:fill="CCEEFF"/>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Important Information About the Annual Meeting and Voting</w:t>
              </w:r>
            </w:hyperlink>
          </w:p>
        </w:tc>
        <w:tc>
          <w:tcPr>
            <w:tcW w:w="400" w:type="dxa"/>
            <w:vAlign w:val="bottom"/>
            <w:gridSpan w:val="6"/>
            <w:shd w:val="clear" w:color="auto" w:fill="CCEEFF"/>
          </w:tcPr>
          <w:p>
            <w:pPr>
              <w:jc w:val="right"/>
              <w:ind w:right="60"/>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3</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Security Ownership of Certain Beneficial Owners and Management</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10</w:t>
              </w:r>
            </w:hyperlink>
          </w:p>
        </w:tc>
        <w:tc>
          <w:tcPr>
            <w:tcW w:w="6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294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Management and Corporate Governance</w:t>
              </w:r>
            </w:hyperlink>
          </w:p>
        </w:tc>
        <w:tc>
          <w:tcPr>
            <w:tcW w:w="4880" w:type="dxa"/>
            <w:vAlign w:val="bottom"/>
            <w:tcBorders>
              <w:bottom w:val="single" w:sz="8" w:color="CCEEFF"/>
            </w:tcBorders>
            <w:gridSpan w:val="13"/>
            <w:shd w:val="clear" w:color="auto" w:fill="CCEEFF"/>
          </w:tcPr>
          <w:p>
            <w:pPr>
              <w:spacing w:after="0"/>
              <w:rPr>
                <w:sz w:val="20"/>
                <w:szCs w:val="20"/>
                <w:color w:val="auto"/>
              </w:rPr>
            </w:pPr>
          </w:p>
        </w:tc>
        <w:tc>
          <w:tcPr>
            <w:tcW w:w="160" w:type="dxa"/>
            <w:vAlign w:val="bottom"/>
            <w:tcBorders>
              <w:bottom w:val="single" w:sz="8" w:color="CCEEFF"/>
            </w:tcBorders>
            <w:gridSpan w:val="3"/>
            <w:shd w:val="clear" w:color="auto" w:fill="CCEEFF"/>
          </w:tcPr>
          <w:p>
            <w:pPr>
              <w:spacing w:after="0"/>
              <w:rPr>
                <w:sz w:val="20"/>
                <w:szCs w:val="20"/>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18">
              <w:r>
                <w:rPr>
                  <w:rFonts w:ascii="Times New Roman" w:cs="Times New Roman" w:eastAsia="Times New Roman" w:hAnsi="Times New Roman"/>
                  <w:sz w:val="18"/>
                  <w:szCs w:val="18"/>
                  <w:color w:val="0000EE"/>
                  <w:w w:val="88"/>
                </w:rPr>
                <w:t>13</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16"/>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Executive Officer and Director Compensation</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18</w:t>
              </w:r>
            </w:hyperlink>
          </w:p>
        </w:tc>
        <w:tc>
          <w:tcPr>
            <w:tcW w:w="60" w:type="dxa"/>
            <w:vAlign w:val="bottom"/>
          </w:tcPr>
          <w:p>
            <w:pPr>
              <w:spacing w:after="0"/>
              <w:rPr>
                <w:sz w:val="18"/>
                <w:szCs w:val="18"/>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00" w:type="dxa"/>
            <w:vAlign w:val="bottom"/>
            <w:tcBorders>
              <w:bottom w:val="single" w:sz="8" w:color="0000EE"/>
            </w:tcBorders>
            <w:gridSpan w:val="3"/>
            <w:shd w:val="clear" w:color="auto" w:fill="CCEEFF"/>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Report of Audit Committee</w:t>
              </w:r>
            </w:hyperlink>
          </w:p>
        </w:tc>
        <w:tc>
          <w:tcPr>
            <w:tcW w:w="5820" w:type="dxa"/>
            <w:vAlign w:val="bottom"/>
            <w:tcBorders>
              <w:bottom w:val="single" w:sz="8" w:color="CCEEFF"/>
            </w:tcBorders>
            <w:gridSpan w:val="18"/>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26</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Section 16(a) Beneficial Ownership Reporting Compliance</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27</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960" w:type="dxa"/>
            <w:vAlign w:val="bottom"/>
            <w:tcBorders>
              <w:bottom w:val="single" w:sz="8" w:color="0000EE"/>
            </w:tcBorders>
            <w:gridSpan w:val="11"/>
            <w:shd w:val="clear" w:color="auto" w:fill="CCEEFF"/>
          </w:tcPr>
          <w:p>
            <w:pPr>
              <w:spacing w:after="0"/>
              <w:rPr>
                <w:rFonts w:ascii="Times New Roman" w:cs="Times New Roman" w:eastAsia="Times New Roman" w:hAnsi="Times New Roman"/>
                <w:sz w:val="18"/>
                <w:szCs w:val="18"/>
                <w:color w:val="0000EE"/>
                <w:w w:val="99"/>
              </w:rPr>
            </w:pPr>
            <w:hyperlink w:anchor="page33">
              <w:r>
                <w:rPr>
                  <w:rFonts w:ascii="Times New Roman" w:cs="Times New Roman" w:eastAsia="Times New Roman" w:hAnsi="Times New Roman"/>
                  <w:sz w:val="18"/>
                  <w:szCs w:val="18"/>
                  <w:color w:val="0000EE"/>
                  <w:w w:val="99"/>
                </w:rPr>
                <w:t>Certain Relationships and Related Person Transactions</w:t>
              </w:r>
            </w:hyperlink>
          </w:p>
        </w:tc>
        <w:tc>
          <w:tcPr>
            <w:tcW w:w="3860" w:type="dxa"/>
            <w:vAlign w:val="bottom"/>
            <w:tcBorders>
              <w:bottom w:val="single" w:sz="8" w:color="CCEEFF"/>
            </w:tcBorders>
            <w:gridSpan w:val="10"/>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33">
              <w:r>
                <w:rPr>
                  <w:rFonts w:ascii="Times New Roman" w:cs="Times New Roman" w:eastAsia="Times New Roman" w:hAnsi="Times New Roman"/>
                  <w:sz w:val="18"/>
                  <w:szCs w:val="18"/>
                  <w:color w:val="0000EE"/>
                  <w:w w:val="88"/>
                </w:rPr>
                <w:t>28</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Proposal 1: Election of Directors</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29</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640" w:type="dxa"/>
            <w:vAlign w:val="bottom"/>
            <w:tcBorders>
              <w:bottom w:val="single" w:sz="8" w:color="0000EE"/>
            </w:tcBorders>
            <w:gridSpan w:val="18"/>
            <w:shd w:val="clear" w:color="auto" w:fill="CCEEFF"/>
          </w:tcPr>
          <w:p>
            <w:pPr>
              <w:spacing w:after="0"/>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Proposal 2: Ratification of Appointment of Independent Registered Public Accounting Firm</w:t>
              </w:r>
            </w:hyperlink>
          </w:p>
        </w:tc>
        <w:tc>
          <w:tcPr>
            <w:tcW w:w="118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30</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Proposal 3: Issuance of Shares of Common Stock in Financing Transaction</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31</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820" w:type="dxa"/>
            <w:vAlign w:val="bottom"/>
            <w:gridSpan w:val="21"/>
            <w:shd w:val="clear" w:color="auto" w:fill="CCEEFF"/>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Proposal 4: Reverse Stock Split</w:t>
              </w:r>
            </w:hyperlink>
          </w:p>
        </w:tc>
        <w:tc>
          <w:tcPr>
            <w:tcW w:w="34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38</w:t>
              </w:r>
            </w:hyperlink>
          </w:p>
        </w:tc>
        <w:tc>
          <w:tcPr>
            <w:tcW w:w="60" w:type="dxa"/>
            <w:vAlign w:val="bottom"/>
            <w:shd w:val="clear" w:color="auto" w:fill="CCEEFF"/>
          </w:tcPr>
          <w:p>
            <w:pPr>
              <w:spacing w:after="0"/>
              <w:rPr>
                <w:sz w:val="19"/>
                <w:szCs w:val="19"/>
                <w:color w:val="auto"/>
              </w:rPr>
            </w:pP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Proposal 5: Advisory Vote on Executive Compensation</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45</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700" w:type="dxa"/>
            <w:vAlign w:val="bottom"/>
            <w:tcBorders>
              <w:bottom w:val="single" w:sz="8" w:color="0000EE"/>
            </w:tcBorders>
            <w:gridSpan w:val="15"/>
            <w:shd w:val="clear" w:color="auto" w:fill="CCEEFF"/>
          </w:tcPr>
          <w:p>
            <w:pPr>
              <w:spacing w:after="0"/>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Proposal 6: Approval of the Adjournment of the Annual Meeting</w:t>
              </w:r>
            </w:hyperlink>
          </w:p>
        </w:tc>
        <w:tc>
          <w:tcPr>
            <w:tcW w:w="3120" w:type="dxa"/>
            <w:vAlign w:val="bottom"/>
            <w:tcBorders>
              <w:bottom w:val="single" w:sz="8" w:color="CCEEFF"/>
            </w:tcBorders>
            <w:gridSpan w:val="6"/>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47</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Preferred Stockholder Proposal: Election of Directors by Holders of Series D Preferred Stock</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48</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4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Code of Conduct and Ethics</w:t>
              </w:r>
            </w:hyperlink>
          </w:p>
        </w:tc>
        <w:tc>
          <w:tcPr>
            <w:tcW w:w="5780" w:type="dxa"/>
            <w:vAlign w:val="bottom"/>
            <w:tcBorders>
              <w:bottom w:val="single" w:sz="8" w:color="CCEEFF"/>
            </w:tcBorders>
            <w:gridSpan w:val="17"/>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49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230"/>
        </w:trPr>
        <w:tc>
          <w:tcPr>
            <w:tcW w:w="7820" w:type="dxa"/>
            <w:vAlign w:val="bottom"/>
            <w:gridSpan w:val="21"/>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Other Matters</w:t>
              </w:r>
            </w:hyperlink>
          </w:p>
        </w:tc>
        <w:tc>
          <w:tcPr>
            <w:tcW w:w="340" w:type="dxa"/>
            <w:vAlign w:val="bottom"/>
            <w:gridSpan w:val="5"/>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49</w:t>
              </w:r>
            </w:hyperlink>
          </w:p>
        </w:tc>
        <w:tc>
          <w:tcPr>
            <w:tcW w:w="60" w:type="dxa"/>
            <w:vAlign w:val="bottom"/>
          </w:tcPr>
          <w:p>
            <w:pPr>
              <w:spacing w:after="0"/>
              <w:rPr>
                <w:sz w:val="19"/>
                <w:szCs w:val="19"/>
                <w:color w:val="auto"/>
              </w:rPr>
            </w:pPr>
          </w:p>
        </w:tc>
      </w:tr>
      <w:tr>
        <w:trPr>
          <w:trHeight w:val="21"/>
        </w:trPr>
        <w:tc>
          <w:tcPr>
            <w:tcW w:w="1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880" w:type="dxa"/>
            <w:vAlign w:val="bottom"/>
            <w:tcBorders>
              <w:bottom w:val="single" w:sz="8" w:color="0000EE"/>
            </w:tcBorders>
            <w:gridSpan w:val="10"/>
            <w:shd w:val="clear" w:color="auto" w:fill="CCEEFF"/>
          </w:tcPr>
          <w:p>
            <w:pPr>
              <w:spacing w:after="0"/>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Stockholders Proposals and Nominations for Director</w:t>
              </w:r>
            </w:hyperlink>
          </w:p>
        </w:tc>
        <w:tc>
          <w:tcPr>
            <w:tcW w:w="3940" w:type="dxa"/>
            <w:vAlign w:val="bottom"/>
            <w:tcBorders>
              <w:bottom w:val="single" w:sz="8" w:color="CCEEFF"/>
            </w:tcBorders>
            <w:gridSpan w:val="11"/>
            <w:shd w:val="clear" w:color="auto" w:fill="CCEEFF"/>
          </w:tcPr>
          <w:p>
            <w:pPr>
              <w:spacing w:after="0"/>
              <w:rPr>
                <w:sz w:val="21"/>
                <w:szCs w:val="21"/>
                <w:color w:val="auto"/>
              </w:rPr>
            </w:pPr>
          </w:p>
        </w:tc>
        <w:tc>
          <w:tcPr>
            <w:tcW w:w="160" w:type="dxa"/>
            <w:vAlign w:val="bottom"/>
            <w:tcBorders>
              <w:bottom w:val="single" w:sz="8" w:color="CCEEFF"/>
            </w:tcBorders>
            <w:gridSpan w:val="3"/>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49</w:t>
              </w:r>
            </w:hyperlink>
          </w:p>
        </w:tc>
        <w:tc>
          <w:tcPr>
            <w:tcW w:w="60" w:type="dxa"/>
            <w:vAlign w:val="bottom"/>
            <w:tcBorders>
              <w:bottom w:val="single" w:sz="8" w:color="CCEEFF"/>
            </w:tcBorders>
            <w:shd w:val="clear" w:color="auto" w:fill="CCEEFF"/>
          </w:tcPr>
          <w:p>
            <w:pPr>
              <w:spacing w:after="0"/>
              <w:rPr>
                <w:sz w:val="21"/>
                <w:szCs w:val="21"/>
                <w:color w:val="auto"/>
              </w:rPr>
            </w:pPr>
          </w:p>
        </w:tc>
      </w:tr>
      <w:tr>
        <w:trPr>
          <w:trHeight w:val="378"/>
        </w:trPr>
        <w:tc>
          <w:tcPr>
            <w:tcW w:w="78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Appendix</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2660" w:type="dxa"/>
            <w:vAlign w:val="bottom"/>
            <w:gridSpan w:val="7"/>
            <w:shd w:val="clear" w:color="auto" w:fill="CCEEFF"/>
          </w:tcPr>
          <w:p>
            <w:pPr>
              <w:spacing w:after="0"/>
              <w:rPr>
                <w:rFonts w:ascii="Times New Roman" w:cs="Times New Roman" w:eastAsia="Times New Roman" w:hAnsi="Times New Roman"/>
                <w:sz w:val="18"/>
                <w:szCs w:val="18"/>
                <w:color w:val="0000EE"/>
                <w:w w:val="98"/>
              </w:rPr>
            </w:pPr>
            <w:hyperlink w:anchor="page55">
              <w:r>
                <w:rPr>
                  <w:rFonts w:ascii="Times New Roman" w:cs="Times New Roman" w:eastAsia="Times New Roman" w:hAnsi="Times New Roman"/>
                  <w:sz w:val="18"/>
                  <w:szCs w:val="18"/>
                  <w:color w:val="0000EE"/>
                  <w:w w:val="98"/>
                </w:rPr>
                <w:t>Appendix A — Forms of Proxy Card</w:t>
              </w:r>
            </w:hyperlink>
          </w:p>
        </w:tc>
        <w:tc>
          <w:tcPr>
            <w:tcW w:w="5160" w:type="dxa"/>
            <w:vAlign w:val="bottom"/>
            <w:gridSpan w:val="14"/>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gridSpan w:val="5"/>
            <w:shd w:val="clear" w:color="auto" w:fill="CCEEFF"/>
          </w:tcPr>
          <w:p>
            <w:pPr>
              <w:jc w:val="right"/>
              <w:ind w:right="60"/>
              <w:spacing w:after="0"/>
              <w:rPr>
                <w:rFonts w:ascii="Times New Roman" w:cs="Times New Roman" w:eastAsia="Times New Roman" w:hAnsi="Times New Roman"/>
                <w:sz w:val="18"/>
                <w:szCs w:val="18"/>
                <w:color w:val="0000EE"/>
                <w:w w:val="92"/>
              </w:rPr>
            </w:pPr>
            <w:hyperlink w:anchor="page55">
              <w:r>
                <w:rPr>
                  <w:rFonts w:ascii="Times New Roman" w:cs="Times New Roman" w:eastAsia="Times New Roman" w:hAnsi="Times New Roman"/>
                  <w:sz w:val="18"/>
                  <w:szCs w:val="18"/>
                  <w:color w:val="0000EE"/>
                  <w:w w:val="92"/>
                </w:rPr>
                <w:t>A-1</w:t>
              </w:r>
            </w:hyperlink>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5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Appendix B — Form of Certificate of Amendment to Amended and Restated Certificate of Incorporation</w:t>
              </w:r>
            </w:hyperlink>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2100" w:type="dxa"/>
            <w:vAlign w:val="bottom"/>
            <w:gridSpan w:val="4"/>
          </w:tcPr>
          <w:p>
            <w:pPr>
              <w:spacing w:after="0" w:line="196" w:lineRule="exact"/>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to Effect Reverse Stock Split</w:t>
              </w:r>
            </w:hyperlink>
          </w:p>
        </w:tc>
        <w:tc>
          <w:tcPr>
            <w:tcW w:w="5540" w:type="dxa"/>
            <w:vAlign w:val="bottom"/>
            <w:gridSpan w:val="16"/>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4"/>
          </w:tcPr>
          <w:p>
            <w:pPr>
              <w:jc w:val="right"/>
              <w:ind w:right="60"/>
              <w:spacing w:after="0" w:line="196" w:lineRule="exact"/>
              <w:rPr>
                <w:rFonts w:ascii="Times New Roman" w:cs="Times New Roman" w:eastAsia="Times New Roman" w:hAnsi="Times New Roman"/>
                <w:sz w:val="18"/>
                <w:szCs w:val="18"/>
                <w:color w:val="0000EE"/>
                <w:w w:val="88"/>
              </w:rPr>
            </w:pPr>
            <w:hyperlink w:anchor="page59">
              <w:r>
                <w:rPr>
                  <w:rFonts w:ascii="Times New Roman" w:cs="Times New Roman" w:eastAsia="Times New Roman" w:hAnsi="Times New Roman"/>
                  <w:sz w:val="18"/>
                  <w:szCs w:val="18"/>
                  <w:color w:val="0000EE"/>
                  <w:w w:val="88"/>
                </w:rPr>
                <w:t>B-1</w:t>
              </w:r>
            </w:hyperlink>
          </w:p>
        </w:tc>
      </w:tr>
      <w:tr>
        <w:trPr>
          <w:trHeight w:val="20"/>
        </w:trPr>
        <w:tc>
          <w:tcPr>
            <w:tcW w:w="18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-3583940</wp:posOffset>
            </wp:positionV>
            <wp:extent cx="4965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 w:name="page7"/>
    <w:bookmarkEnd w:id="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PRELIMINARY COPIES FILED PURSUANT TO RULE 14a-6(a)</w:t>
      </w:r>
    </w:p>
    <w:p>
      <w:pPr>
        <w:spacing w:after="0" w:line="17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jc w:val="center"/>
        <w:ind w:right="-540"/>
        <w:spacing w:after="0" w:line="184" w:lineRule="auto"/>
        <w:rPr>
          <w:sz w:val="20"/>
          <w:szCs w:val="20"/>
          <w:color w:val="auto"/>
        </w:rPr>
      </w:pPr>
      <w:r>
        <w:rPr>
          <w:rFonts w:ascii="Times New Roman" w:cs="Times New Roman" w:eastAsia="Times New Roman" w:hAnsi="Times New Roman"/>
          <w:sz w:val="17"/>
          <w:szCs w:val="17"/>
          <w:b w:val="1"/>
          <w:bCs w:val="1"/>
          <w:color w:val="auto"/>
        </w:rPr>
        <w:t>780 Third Avenue, 12</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14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PROXY STATEMENT FOR THE XPRESSPA GROUP, INC.</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ANNUAL MEETING OF STOCKHOLDERS TO BE HELD ON SEPTEMBER 18, 2018</w:t>
      </w:r>
    </w:p>
    <w:p>
      <w:pPr>
        <w:spacing w:after="0" w:line="84"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annual meeting of stockholders, contains information about the annual meeting of stockholders of XpresSpa Group, Inc. including any adjournments or postponements of the annual meeting. We are holding the annual meeting at 11:00 a.m. local time, on Tuesday, September 18, 2018, at the offices of Mintz, Levin, Cohn, Ferris, Glovsky and Popeo, P.C., 666 Third Avenue, New York, NY 10017.</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this proxy statement, we refer to XpresSpa Group, Inc. as “</w:t>
      </w:r>
      <w:r>
        <w:rPr>
          <w:rFonts w:ascii="Times New Roman" w:cs="Times New Roman" w:eastAsia="Times New Roman" w:hAnsi="Times New Roman"/>
          <w:sz w:val="18"/>
          <w:szCs w:val="18"/>
          <w:b w:val="1"/>
          <w:bCs w:val="1"/>
          <w:color w:val="auto"/>
        </w:rPr>
        <w:t>XpresSpa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54"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or about August 9, 2018, we began sending this proxy statement, the attached Notice of Annual Meeting of Stockholders and the enclosed proxy card to all stockholders entitled to vote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7" w:name="page8"/>
    <w:bookmarkEnd w:id="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SHAREHOLDER MEETING TO BE HELD ON SEPTEMBER 18, 2018</w:t>
      </w:r>
    </w:p>
    <w:p>
      <w:pPr>
        <w:spacing w:after="0" w:line="80" w:lineRule="exact"/>
        <w:rPr>
          <w:sz w:val="20"/>
          <w:szCs w:val="20"/>
          <w:color w:val="auto"/>
        </w:rPr>
      </w:pPr>
    </w:p>
    <w:p>
      <w:pPr>
        <w:jc w:val="both"/>
        <w:ind w:left="1260" w:right="7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proxy statement and our 2017 annual report to stockholders are available for viewing, printing and downloading at </w:t>
      </w:r>
      <w:r>
        <w:rPr>
          <w:rFonts w:ascii="Times New Roman" w:cs="Times New Roman" w:eastAsia="Times New Roman" w:hAnsi="Times New Roman"/>
          <w:sz w:val="18"/>
          <w:szCs w:val="18"/>
          <w:b w:val="1"/>
          <w:bCs w:val="1"/>
          <w:i w:val="1"/>
          <w:iCs w:val="1"/>
          <w:color w:val="auto"/>
        </w:rPr>
        <w:t>www.proxyvote.com.</w:t>
      </w:r>
      <w:r>
        <w:rPr>
          <w:rFonts w:ascii="Times New Roman" w:cs="Times New Roman" w:eastAsia="Times New Roman" w:hAnsi="Times New Roman"/>
          <w:sz w:val="18"/>
          <w:szCs w:val="18"/>
          <w:b w:val="1"/>
          <w:bCs w:val="1"/>
          <w:color w:val="auto"/>
        </w:rPr>
        <w:t xml:space="preserve"> To view these materials please have your 16-digit control number(s) available that appears on your Notice or proxy card. On this website, you can also elect to receive future distributions of our proxy statements and annual reports to stockholders by electronic delivery.</w:t>
      </w:r>
    </w:p>
    <w:p>
      <w:pPr>
        <w:spacing w:after="0" w:line="72" w:lineRule="exact"/>
        <w:rPr>
          <w:sz w:val="20"/>
          <w:szCs w:val="20"/>
          <w:color w:val="auto"/>
        </w:rPr>
      </w:pPr>
    </w:p>
    <w:p>
      <w:pPr>
        <w:jc w:val="both"/>
        <w:ind w:left="1260" w:right="739" w:firstLine="36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our Annual Report on Form 10-K, as amended, which includes our financial statements for the fiscal year ended December 31, 2017, on the website of the Securities and Exchange Commission, or the SEC,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or in the “SEC Filings” section of the “Investors” section of our website at </w:t>
      </w:r>
      <w:r>
        <w:rPr>
          <w:rFonts w:ascii="Times New Roman" w:cs="Times New Roman" w:eastAsia="Times New Roman" w:hAnsi="Times New Roman"/>
          <w:sz w:val="18"/>
          <w:szCs w:val="18"/>
          <w:b w:val="1"/>
          <w:bCs w:val="1"/>
          <w:i w:val="1"/>
          <w:iCs w:val="1"/>
          <w:color w:val="auto"/>
        </w:rPr>
        <w:t>www.xpresspa.com.</w:t>
      </w:r>
      <w:r>
        <w:rPr>
          <w:rFonts w:ascii="Times New Roman" w:cs="Times New Roman" w:eastAsia="Times New Roman" w:hAnsi="Times New Roman"/>
          <w:sz w:val="18"/>
          <w:szCs w:val="18"/>
          <w:b w:val="1"/>
          <w:bCs w:val="1"/>
          <w:color w:val="auto"/>
        </w:rPr>
        <w:t xml:space="preserve"> You may also obtain a printed copy of our Annual Report on Form 10-K, including our financial statements, free of charge, from us by sending a written request to: XpresSpa Group, Inc., 780 Third Avenue, 12</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 10017, Attention: Corporate Secretary. Exhibits will be provided upon written request and payment of an appropriate processing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8" w:name="page9"/>
    <w:bookmarkEnd w:id="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IMPORTANT INFORMATION ABOUT THE ANNUAL MEETING AND VOTING</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Soliciting My Proxy?</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of XpresSpa Group, Inc. is soliciting your proxy to vote at the annual meeting of stockholders to be held at the offices of Mintz, Levin, Cohn, Ferris, Glovsky and Popeo, P.C., on September 18, 2018, at 11:00 a.m. local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7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of Annual Meeting of Stockholders, the proxy card and a copy of our Annual Report on Form 10-K for the fiscal year ended December 31, 2017 because you owned shares of our common stock on the record date. We intend to commence distribution of the Important Notice Regarding the Availability of Proxy Materials, which we refer to throughout this proxy statement as the Notice, and, if applicable, the proxy materials to stockholders on or about August 9, 2018.</w:t>
      </w:r>
    </w:p>
    <w:p>
      <w:pPr>
        <w:spacing w:after="0" w:line="170" w:lineRule="exact"/>
        <w:rPr>
          <w:sz w:val="20"/>
          <w:szCs w:val="20"/>
          <w:color w:val="auto"/>
        </w:rPr>
      </w:pPr>
    </w:p>
    <w:p>
      <w:pPr>
        <w:ind w:left="1260" w:right="779"/>
        <w:spacing w:after="0" w:line="255" w:lineRule="auto"/>
        <w:rPr>
          <w:sz w:val="20"/>
          <w:szCs w:val="20"/>
          <w:color w:val="auto"/>
        </w:rPr>
      </w:pPr>
      <w:r>
        <w:rPr>
          <w:rFonts w:ascii="Times New Roman" w:cs="Times New Roman" w:eastAsia="Times New Roman" w:hAnsi="Times New Roman"/>
          <w:sz w:val="18"/>
          <w:szCs w:val="18"/>
          <w:b w:val="1"/>
          <w:bCs w:val="1"/>
          <w:color w:val="auto"/>
        </w:rPr>
        <w:t>Why Did I Receive a Notice in the Mail Regarding the Internet Availability of Proxy Materials Instead of a Full Set of Proxy Materials?</w:t>
      </w:r>
    </w:p>
    <w:p>
      <w:pPr>
        <w:spacing w:after="0" w:line="64"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As permitted by the rules of the U.S. Securities and Exchange Commission, or the SEC, we may furnish our proxy materials to 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69" w:lineRule="exact"/>
        <w:rPr>
          <w:sz w:val="20"/>
          <w:szCs w:val="20"/>
          <w:color w:val="auto"/>
        </w:rPr>
      </w:pPr>
    </w:p>
    <w:p>
      <w:pPr>
        <w:ind w:left="1260" w:right="939"/>
        <w:spacing w:after="0" w:line="255" w:lineRule="auto"/>
        <w:rPr>
          <w:sz w:val="20"/>
          <w:szCs w:val="20"/>
          <w:color w:val="auto"/>
        </w:rPr>
      </w:pPr>
      <w:r>
        <w:rPr>
          <w:rFonts w:ascii="Times New Roman" w:cs="Times New Roman" w:eastAsia="Times New Roman" w:hAnsi="Times New Roman"/>
          <w:sz w:val="18"/>
          <w:szCs w:val="18"/>
          <w:b w:val="1"/>
          <w:bCs w:val="1"/>
          <w:color w:val="auto"/>
        </w:rPr>
        <w:t>Why is the Company seeking approval for the issuance of shares of common stock in connection with the financing transaction?</w:t>
      </w:r>
    </w:p>
    <w:p>
      <w:pPr>
        <w:spacing w:after="0" w:line="6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May 15, 2018, we entered into a securities purchase agreement pursuant to which we agreed to sell up to</w:t>
      </w:r>
    </w:p>
    <w:p>
      <w:pPr>
        <w:spacing w:after="0" w:line="27" w:lineRule="exact"/>
        <w:rPr>
          <w:sz w:val="20"/>
          <w:szCs w:val="20"/>
          <w:color w:val="auto"/>
        </w:rPr>
      </w:pPr>
    </w:p>
    <w:p>
      <w:pPr>
        <w:jc w:val="both"/>
        <w:ind w:left="1260" w:right="739" w:firstLine="8"/>
        <w:spacing w:after="0" w:line="252" w:lineRule="auto"/>
        <w:tabs>
          <w:tab w:leader="none" w:pos="15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principal amount of $4,438,000 in 5% Secured Convertible Notes due 2019, which includes $88,000 to be issued to Palladium Capital Advisors as Placement Agent (the “Notes”), convertible into shares of our common stock, par value $0.01 per share, at a conversion price of $0.62 per share, (ii) Class A Warrants to purchase 7,157,259 shares of common stock at an exercise price of $0.62 per share and (iii) Class B Warrants to purchase 3,578,630 shares of common stock at an exercise price of $0.62 per share (the “Financing Transaction”). The Notes bear interest at a rate of 5% per annum. The Notes are senior secured obligations of ours and are secured by certain of our personal property. Unless earlier converted or redeemed, the Notes will mature in November 2019.</w:t>
      </w:r>
    </w:p>
    <w:p>
      <w:pPr>
        <w:spacing w:after="0" w:line="80"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Nasdaq Listing Rule 5635(d) generally requires us to obtain stockholder approval prior to issuing more than 20% of our outstanding shares of common stock under the Financing Transaction. For more information, see “Proposal 3: Issuance of Shares of Common Stock in Financing Transaction” contained elsewhere in this proxy statement.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for the reverse stock split?</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On March 16, 2018, we received a notification letter from Nasdaq informing us that for the last 30 consecutive business days, the bid price of our securities had closed below $1.00 per share as required by Nasdaq Listing Rule 5550(a)(2). This notice has no immediate effect on our Nasdaq listing and we had 180 calendar days, or until September 12, 2018, to regain compliance. As of August 27, 2018, we had not regained compliance since the closing bid price of our securities was not at least $1.00 per share for a</w:t>
      </w:r>
    </w:p>
    <w:p>
      <w:pPr>
        <w:spacing w:after="0" w:line="2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9" w:name="page10"/>
    <w:bookmarkEnd w:id="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6" w:lineRule="auto"/>
        <w:rPr>
          <w:sz w:val="20"/>
          <w:szCs w:val="20"/>
          <w:color w:val="auto"/>
        </w:rPr>
      </w:pPr>
      <w:r>
        <w:rPr>
          <w:rFonts w:ascii="Times New Roman" w:cs="Times New Roman" w:eastAsia="Times New Roman" w:hAnsi="Times New Roman"/>
          <w:sz w:val="18"/>
          <w:szCs w:val="18"/>
          <w:color w:val="auto"/>
        </w:rPr>
        <w:t>minimum of ten consecutive business days. To cure the deficiency, we propose to conduct the reverse stock split of our common stock for which we are seeking stockholder approval in Proposal 4 of this proxy statement. On July 25, 2018, the closing price of our common stock as reported on Nasdaq was $0.27 per share.</w:t>
      </w:r>
    </w:p>
    <w:p>
      <w:pPr>
        <w:spacing w:after="0" w:line="6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more information, see “Proposal 4: Reverse Stock Split” contained elsewhere in this proxy statement.</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Who Can Vote?</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Only stockholders who owned our common stock or Series D Preferred Stock at the close of business on July 23, 2018 are entitled to vote at the annual meeting. On this record date, there were 27,114,662 shares of our common stock outstanding and entitled to vote and 420,541 shares of our Series D Preferred Stock outstanding and entitled to vote, on an as-converted basis, such that holders of our Series D Preferred Stock are entitled to an aggregate of 3,364,328 votes. Our common stock and our Series D Preferred Stock are our only classes of voting stock.</w:t>
      </w:r>
    </w:p>
    <w:p>
      <w:pPr>
        <w:spacing w:after="0" w:line="80"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Times New Roman" w:cs="Times New Roman" w:eastAsia="Times New Roman" w:hAnsi="Times New Roman"/>
          <w:sz w:val="18"/>
          <w:szCs w:val="18"/>
          <w:i w:val="1"/>
          <w:iCs w:val="1"/>
          <w:color w:val="auto"/>
        </w:rPr>
        <w:t>May I Change or Revoke My Proxy?</w:t>
      </w:r>
      <w:r>
        <w:rPr>
          <w:rFonts w:ascii="Times New Roman" w:cs="Times New Roman" w:eastAsia="Times New Roman" w:hAnsi="Times New Roman"/>
          <w:sz w:val="18"/>
          <w:szCs w:val="18"/>
          <w:color w:val="auto"/>
        </w:rPr>
        <w:t>” below.</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Each share of our common stock that you own entitles you to one vote. Each share of our Series D Preferred Stock that you own entitles you to the number of votes equal to the number of shares of common stock into which your shares of Series D Preferred Stock could have been converted on the record date. This number is obtained by dividing the stated value of your Series D Preferred Stock ($48.00) by the conversion price in effect on the record date ($6.00).</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against or abstain with respect to each of the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154" w:lineRule="exact"/>
        <w:rPr>
          <w:sz w:val="20"/>
          <w:szCs w:val="20"/>
          <w:color w:val="auto"/>
        </w:rPr>
      </w:pPr>
    </w:p>
    <w:p>
      <w:pPr>
        <w:ind w:left="1980" w:right="759" w:hanging="352"/>
        <w:spacing w:after="0" w:line="286"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the Internet or by telephone. </w:t>
      </w:r>
      <w:r>
        <w:rPr>
          <w:rFonts w:ascii="Times New Roman" w:cs="Times New Roman" w:eastAsia="Times New Roman" w:hAnsi="Times New Roman"/>
          <w:sz w:val="18"/>
          <w:szCs w:val="18"/>
          <w:color w:val="auto"/>
        </w:rPr>
        <w:t>Follow the instructions included in the Notice or, if you received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printed materials, in the proxy card to vote by Internet or telephone.</w:t>
      </w:r>
    </w:p>
    <w:p>
      <w:pPr>
        <w:spacing w:after="0" w:line="114" w:lineRule="exact"/>
        <w:rPr>
          <w:rFonts w:ascii="Times New Roman" w:cs="Times New Roman" w:eastAsia="Times New Roman" w:hAnsi="Times New Roman"/>
          <w:sz w:val="18"/>
          <w:szCs w:val="18"/>
          <w:color w:val="auto"/>
        </w:rPr>
      </w:pPr>
    </w:p>
    <w:p>
      <w:pPr>
        <w:jc w:val="both"/>
        <w:ind w:left="1980" w:right="759" w:hanging="352"/>
        <w:spacing w:after="0" w:line="26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returning the proxy card as instructed on the card. If you sign the proxy card but do not specify how you want your shares voted, they will be voted in accordance with the Board of Directors’ recommendations as noted below.</w:t>
      </w:r>
    </w:p>
    <w:p>
      <w:pPr>
        <w:spacing w:after="0" w:line="2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0" w:name="page11"/>
    <w:bookmarkEnd w:id="1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980" w:right="759" w:hanging="352"/>
        <w:spacing w:after="0" w:line="286" w:lineRule="auto"/>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meeting, you may deliver a completed proxy card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you may vote by completing a ballot, which will be available at the meeting.</w:t>
      </w:r>
    </w:p>
    <w:p>
      <w:pPr>
        <w:spacing w:after="0" w:line="141" w:lineRule="exact"/>
        <w:rPr>
          <w:sz w:val="20"/>
          <w:szCs w:val="20"/>
          <w:color w:val="auto"/>
        </w:rPr>
      </w:pPr>
    </w:p>
    <w:p>
      <w:pPr>
        <w:ind w:left="1260" w:right="1359"/>
        <w:spacing w:after="0" w:line="255" w:lineRule="auto"/>
        <w:rPr>
          <w:sz w:val="20"/>
          <w:szCs w:val="20"/>
          <w:color w:val="auto"/>
        </w:rPr>
      </w:pPr>
      <w:r>
        <w:rPr>
          <w:rFonts w:ascii="Times New Roman" w:cs="Times New Roman" w:eastAsia="Times New Roman" w:hAnsi="Times New Roman"/>
          <w:sz w:val="18"/>
          <w:szCs w:val="18"/>
          <w:b w:val="1"/>
          <w:bCs w:val="1"/>
          <w:color w:val="auto"/>
        </w:rPr>
        <w:t>Internet voting facilities for stockholders of record will be available 24 hours a day and will close at 11:59 p.m. Eastern Time on September 17, 2018.</w:t>
      </w:r>
    </w:p>
    <w:p>
      <w:pPr>
        <w:spacing w:after="0" w:line="64"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stockholders owning shares through certain banks and brokers. If your shares are not registered in your own name and you plan to vote your shares in person at the annual meeting, you should contact your broker or agent to obtain a legal proxy or broker’s proxy card and bring it to the annual meeting in order to vote.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That I Vote on the Proposals?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recommends that you vote as follows:</w:t>
      </w:r>
    </w:p>
    <w:p>
      <w:pPr>
        <w:spacing w:after="0" w:line="167" w:lineRule="exact"/>
        <w:rPr>
          <w:sz w:val="20"/>
          <w:szCs w:val="20"/>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for director;</w:t>
      </w:r>
    </w:p>
    <w:p>
      <w:pPr>
        <w:spacing w:after="0" w:line="171" w:lineRule="exact"/>
        <w:rPr>
          <w:rFonts w:ascii="Times New Roman" w:cs="Times New Roman" w:eastAsia="Times New Roman" w:hAnsi="Times New Roman"/>
          <w:sz w:val="18"/>
          <w:szCs w:val="18"/>
          <w:color w:val="auto"/>
        </w:rPr>
      </w:pPr>
    </w:p>
    <w:p>
      <w:pPr>
        <w:ind w:left="1980" w:right="739" w:hanging="352"/>
        <w:spacing w:after="0" w:line="286"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CohnReznick LLP as our independent registered public accounting firm for our fiscal year ending December 31, 2018;</w:t>
      </w:r>
    </w:p>
    <w:p>
      <w:pPr>
        <w:spacing w:after="0" w:line="100" w:lineRule="exact"/>
        <w:rPr>
          <w:rFonts w:ascii="Times New Roman" w:cs="Times New Roman" w:eastAsia="Times New Roman" w:hAnsi="Times New Roman"/>
          <w:sz w:val="18"/>
          <w:szCs w:val="18"/>
          <w:color w:val="auto"/>
        </w:rPr>
      </w:pPr>
    </w:p>
    <w:p>
      <w:pPr>
        <w:jc w:val="both"/>
        <w:ind w:left="1980" w:right="739" w:hanging="352"/>
        <w:spacing w:after="0" w:line="257"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for purposes of complying with Nasdaq Listing Rule 5635(d), of the issuance of shares of our common stock underlying convertible notes and warrants issued by us pursuant to the terms of that certain Securities Purchase Agreement, dated May 15, 2018, by and among 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142" w:lineRule="exact"/>
        <w:rPr>
          <w:rFonts w:ascii="Times New Roman" w:cs="Times New Roman" w:eastAsia="Times New Roman" w:hAnsi="Times New Roman"/>
          <w:sz w:val="18"/>
          <w:szCs w:val="18"/>
          <w:color w:val="auto"/>
        </w:rPr>
      </w:pPr>
    </w:p>
    <w:p>
      <w:pPr>
        <w:ind w:left="1980" w:right="759" w:hanging="352"/>
        <w:spacing w:after="0" w:line="286"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amendment to our Amended and Restated Certificate of Incorporation to effect a reverse stock split of our common stock, par value $0.01 per share, at a ratio of between 5-for-1 and 25-for-1;</w:t>
      </w:r>
    </w:p>
    <w:p>
      <w:pPr>
        <w:spacing w:after="0" w:line="10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as disclosed in this proxy statement; and</w:t>
      </w:r>
    </w:p>
    <w:p>
      <w:pPr>
        <w:spacing w:after="0" w:line="171" w:lineRule="exact"/>
        <w:rPr>
          <w:rFonts w:ascii="Times New Roman" w:cs="Times New Roman" w:eastAsia="Times New Roman" w:hAnsi="Times New Roman"/>
          <w:sz w:val="18"/>
          <w:szCs w:val="18"/>
          <w:color w:val="auto"/>
        </w:rPr>
      </w:pPr>
    </w:p>
    <w:p>
      <w:pPr>
        <w:ind w:left="1980" w:right="759" w:hanging="352"/>
        <w:spacing w:after="0" w:line="286"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adjournment of our annual meeting of stockholders, if necessary, to solicit additional proxies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 are not sufficient votes in favor of the proposals referred to above.</w:t>
      </w:r>
    </w:p>
    <w:p>
      <w:pPr>
        <w:spacing w:after="0" w:line="114" w:lineRule="exact"/>
        <w:rPr>
          <w:rFonts w:ascii="Times New Roman" w:cs="Times New Roman" w:eastAsia="Times New Roman" w:hAnsi="Times New Roman"/>
          <w:sz w:val="18"/>
          <w:szCs w:val="18"/>
          <w:color w:val="auto"/>
        </w:rPr>
      </w:pPr>
    </w:p>
    <w:p>
      <w:pPr>
        <w:ind w:left="1980" w:right="759" w:hanging="352"/>
        <w:spacing w:after="0" w:line="286" w:lineRule="auto"/>
        <w:tabs>
          <w:tab w:leader="none" w:pos="1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holders of Series D Preferred Stock, </w:t>
      </w:r>
      <w:r>
        <w:rPr>
          <w:rFonts w:ascii="Times New Roman" w:cs="Times New Roman" w:eastAsia="Times New Roman" w:hAnsi="Times New Roman"/>
          <w:sz w:val="18"/>
          <w:szCs w:val="18"/>
          <w:b w:val="1"/>
          <w:bCs w:val="1"/>
          <w:color w:val="auto"/>
        </w:rPr>
        <w:t>“NO RECOMMENDATION”</w:t>
      </w:r>
      <w:r>
        <w:rPr>
          <w:rFonts w:ascii="Times New Roman" w:cs="Times New Roman" w:eastAsia="Times New Roman" w:hAnsi="Times New Roman"/>
          <w:sz w:val="18"/>
          <w:szCs w:val="18"/>
          <w:color w:val="auto"/>
        </w:rPr>
        <w:t xml:space="preserve"> on whether to vote in favor of or withhold your vote on the re-election of Andrew R. Heyer.</w:t>
      </w:r>
    </w:p>
    <w:p>
      <w:pPr>
        <w:spacing w:after="0" w:line="51"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the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May I Change or Revoke My Proxy?</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If you give us your proxy, you may change or revoke it at any time before the annual meeting. You may change or revoke your proxy in any one of the following ways:</w:t>
      </w:r>
    </w:p>
    <w:p>
      <w:pPr>
        <w:spacing w:after="0" w:line="108" w:lineRule="exact"/>
        <w:rPr>
          <w:sz w:val="20"/>
          <w:szCs w:val="20"/>
          <w:color w:val="auto"/>
        </w:rPr>
      </w:pPr>
    </w:p>
    <w:p>
      <w:pPr>
        <w:ind w:left="1980" w:right="759" w:hanging="352"/>
        <w:spacing w:after="0" w:line="282"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121"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re-voting by the Internet or telephone as instructed above;</w:t>
      </w:r>
    </w:p>
    <w:p>
      <w:pPr>
        <w:spacing w:after="0" w:line="171"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the Corporate Secretary of XpresSpa Group, Inc. in writing before the annual meeting that you have revoked your proxy; or</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1" w:name="page12"/>
    <w:bookmarkEnd w:id="1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1980" w:right="759" w:hanging="352"/>
        <w:spacing w:after="0" w:line="266" w:lineRule="auto"/>
        <w:tabs>
          <w:tab w:leader="none" w:pos="1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Your most current vote, whether by the Internet or proxy card is the one that will be counted.</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Receive More Than One Notice or Proxy Card?</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You may receive more than one Notice or proxy card if you hold shares of our common stock in more than one account, which may be in registered form or held in street name. Please vote in the manner described above under “</w:t>
      </w:r>
      <w:r>
        <w:rPr>
          <w:rFonts w:ascii="Times New Roman" w:cs="Times New Roman" w:eastAsia="Times New Roman" w:hAnsi="Times New Roman"/>
          <w:sz w:val="18"/>
          <w:szCs w:val="18"/>
          <w:i w:val="1"/>
          <w:iCs w:val="1"/>
          <w:color w:val="auto"/>
        </w:rPr>
        <w:t>How Do I Vote?</w:t>
      </w:r>
      <w:r>
        <w:rPr>
          <w:rFonts w:ascii="Times New Roman" w:cs="Times New Roman" w:eastAsia="Times New Roman" w:hAnsi="Times New Roman"/>
          <w:sz w:val="18"/>
          <w:szCs w:val="18"/>
          <w:color w:val="auto"/>
        </w:rPr>
        <w:t>” for each account to ensure that all of your shares are voted.</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Vote?</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3 and 5.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117" w:lineRule="exact"/>
        <w:rPr>
          <w:sz w:val="20"/>
          <w:szCs w:val="20"/>
          <w:color w:val="auto"/>
        </w:rPr>
      </w:pPr>
    </w:p>
    <w:p>
      <w:pPr>
        <w:jc w:val="both"/>
        <w:ind w:left="4180" w:right="739" w:hanging="2916"/>
        <w:spacing w:after="0" w:line="254" w:lineRule="auto"/>
        <w:tabs>
          <w:tab w:leader="none" w:pos="4160" w:val="left"/>
        </w:tabs>
        <w:rPr>
          <w:sz w:val="20"/>
          <w:szCs w:val="20"/>
          <w:color w:val="auto"/>
        </w:rPr>
      </w:pPr>
      <w:r>
        <w:rPr>
          <w:rFonts w:ascii="Times New Roman" w:cs="Times New Roman" w:eastAsia="Times New Roman" w:hAnsi="Times New Roman"/>
          <w:sz w:val="18"/>
          <w:szCs w:val="18"/>
          <w:b w:val="1"/>
          <w:bCs w:val="1"/>
          <w:color w:val="auto"/>
        </w:rPr>
        <w:t>Proposal 1: Election of Directors</w:t>
      </w:r>
      <w:r>
        <w:rPr>
          <w:sz w:val="20"/>
          <w:szCs w:val="20"/>
          <w:color w:val="auto"/>
        </w:rPr>
        <w:tab/>
      </w:r>
      <w:r>
        <w:rPr>
          <w:rFonts w:ascii="Times New Roman" w:cs="Times New Roman" w:eastAsia="Times New Roman" w:hAnsi="Times New Roman"/>
          <w:sz w:val="18"/>
          <w:szCs w:val="18"/>
          <w:color w:val="auto"/>
        </w:rPr>
        <w:t>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05" w:lineRule="exact"/>
        <w:rPr>
          <w:sz w:val="20"/>
          <w:szCs w:val="20"/>
          <w:color w:val="auto"/>
        </w:rPr>
      </w:pPr>
    </w:p>
    <w:p>
      <w:pPr>
        <w:ind w:left="1260"/>
        <w:spacing w:after="0"/>
        <w:tabs>
          <w:tab w:leader="none" w:pos="4160" w:val="left"/>
        </w:tabs>
        <w:rPr>
          <w:sz w:val="20"/>
          <w:szCs w:val="20"/>
          <w:color w:val="auto"/>
        </w:rPr>
      </w:pPr>
      <w:r>
        <w:rPr>
          <w:rFonts w:ascii="Times New Roman" w:cs="Times New Roman" w:eastAsia="Times New Roman" w:hAnsi="Times New Roman"/>
          <w:sz w:val="18"/>
          <w:szCs w:val="18"/>
          <w:b w:val="1"/>
          <w:bCs w:val="1"/>
          <w:color w:val="auto"/>
        </w:rPr>
        <w:t>Proposal 2: Ratify Selection of</w:t>
      </w:r>
      <w:r>
        <w:rPr>
          <w:sz w:val="20"/>
          <w:szCs w:val="20"/>
          <w:color w:val="auto"/>
        </w:rPr>
        <w:tab/>
      </w:r>
      <w:r>
        <w:rPr>
          <w:rFonts w:ascii="Times New Roman" w:cs="Times New Roman" w:eastAsia="Times New Roman" w:hAnsi="Times New Roman"/>
          <w:sz w:val="18"/>
          <w:szCs w:val="18"/>
          <w:color w:val="auto"/>
        </w:rPr>
        <w:t>The affirmative vote of the holders of a majority of the shares of</w:t>
      </w:r>
    </w:p>
    <w:p>
      <w:pPr>
        <w:spacing w:after="0" w:line="31" w:lineRule="exact"/>
        <w:rPr>
          <w:sz w:val="20"/>
          <w:szCs w:val="20"/>
          <w:color w:val="auto"/>
        </w:rPr>
      </w:pPr>
    </w:p>
    <w:p>
      <w:pPr>
        <w:ind w:left="1260"/>
        <w:spacing w:after="0"/>
        <w:tabs>
          <w:tab w:leader="none" w:pos="4160" w:val="left"/>
        </w:tabs>
        <w:rPr>
          <w:sz w:val="20"/>
          <w:szCs w:val="20"/>
          <w:color w:val="auto"/>
        </w:rPr>
      </w:pPr>
      <w:r>
        <w:rPr>
          <w:rFonts w:ascii="Times New Roman" w:cs="Times New Roman" w:eastAsia="Times New Roman" w:hAnsi="Times New Roman"/>
          <w:sz w:val="18"/>
          <w:szCs w:val="18"/>
          <w:b w:val="1"/>
          <w:bCs w:val="1"/>
          <w:color w:val="auto"/>
        </w:rPr>
        <w:t>Independent Registered Public</w:t>
      </w:r>
      <w:r>
        <w:rPr>
          <w:sz w:val="20"/>
          <w:szCs w:val="20"/>
          <w:color w:val="auto"/>
        </w:rPr>
        <w:tab/>
      </w:r>
      <w:r>
        <w:rPr>
          <w:rFonts w:ascii="Times New Roman" w:cs="Times New Roman" w:eastAsia="Times New Roman" w:hAnsi="Times New Roman"/>
          <w:sz w:val="18"/>
          <w:szCs w:val="18"/>
          <w:color w:val="auto"/>
        </w:rPr>
        <w:t>common stock and Series D Preferred Stock voting on an as-converted</w:t>
      </w:r>
    </w:p>
    <w:p>
      <w:pPr>
        <w:spacing w:after="0" w:line="9" w:lineRule="exact"/>
        <w:rPr>
          <w:sz w:val="20"/>
          <w:szCs w:val="20"/>
          <w:color w:val="auto"/>
        </w:rPr>
      </w:pPr>
    </w:p>
    <w:p>
      <w:pPr>
        <w:jc w:val="both"/>
        <w:ind w:left="4180" w:right="739" w:hanging="2916"/>
        <w:spacing w:after="0" w:line="251" w:lineRule="auto"/>
        <w:tabs>
          <w:tab w:leader="none" w:pos="4160" w:val="left"/>
        </w:tabs>
        <w:rPr>
          <w:sz w:val="20"/>
          <w:szCs w:val="20"/>
          <w:color w:val="auto"/>
        </w:rPr>
      </w:pPr>
      <w:r>
        <w:rPr>
          <w:rFonts w:ascii="Times New Roman" w:cs="Times New Roman" w:eastAsia="Times New Roman" w:hAnsi="Times New Roman"/>
          <w:sz w:val="18"/>
          <w:szCs w:val="18"/>
          <w:b w:val="1"/>
          <w:bCs w:val="1"/>
          <w:color w:val="auto"/>
        </w:rPr>
        <w:t>Accounting Firm</w:t>
      </w:r>
      <w:r>
        <w:rPr>
          <w:sz w:val="20"/>
          <w:szCs w:val="20"/>
          <w:color w:val="auto"/>
        </w:rPr>
        <w:tab/>
      </w:r>
      <w:r>
        <w:rPr>
          <w:rFonts w:ascii="Times New Roman" w:cs="Times New Roman" w:eastAsia="Times New Roman" w:hAnsi="Times New Roman"/>
          <w:sz w:val="18"/>
          <w:szCs w:val="18"/>
          <w:color w:val="auto"/>
        </w:rPr>
        <w:t>basis present and entitled to vote on the matter either in person or by proxy at the annual meeting is required to ratify the appointment of CohnReznick LLP as our independent registered public accounting firm for the fiscal year ending December 31, 2018.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2018, our Audit Committee of our Board of Directors will reconsider its selection.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2" w:name="page13"/>
    <w:bookmarkEnd w:id="1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right="80"/>
        <w:spacing w:after="0" w:line="268" w:lineRule="auto"/>
        <w:rPr>
          <w:sz w:val="20"/>
          <w:szCs w:val="20"/>
          <w:color w:val="auto"/>
        </w:rPr>
      </w:pPr>
      <w:r>
        <w:rPr>
          <w:rFonts w:ascii="Times New Roman" w:cs="Times New Roman" w:eastAsia="Times New Roman" w:hAnsi="Times New Roman"/>
          <w:sz w:val="18"/>
          <w:szCs w:val="18"/>
          <w:b w:val="1"/>
          <w:bCs w:val="1"/>
          <w:color w:val="auto"/>
        </w:rPr>
        <w:t>Proposal 3: Issuance of Shares of Common Stock in Financing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4: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260" w:right="40"/>
        <w:spacing w:after="0" w:line="268" w:lineRule="auto"/>
        <w:rPr>
          <w:sz w:val="20"/>
          <w:szCs w:val="20"/>
          <w:color w:val="auto"/>
        </w:rPr>
      </w:pPr>
      <w:r>
        <w:rPr>
          <w:rFonts w:ascii="Times New Roman" w:cs="Times New Roman" w:eastAsia="Times New Roman" w:hAnsi="Times New Roman"/>
          <w:sz w:val="18"/>
          <w:szCs w:val="18"/>
          <w:b w:val="1"/>
          <w:bCs w:val="1"/>
          <w:color w:val="auto"/>
        </w:rPr>
        <w:t>Proposal 5: Approve an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60"/>
        <w:spacing w:after="0" w:line="257" w:lineRule="auto"/>
        <w:rPr>
          <w:sz w:val="20"/>
          <w:szCs w:val="20"/>
          <w:color w:val="auto"/>
        </w:rPr>
      </w:pPr>
      <w:r>
        <w:rPr>
          <w:rFonts w:ascii="Times New Roman" w:cs="Times New Roman" w:eastAsia="Times New Roman" w:hAnsi="Times New Roman"/>
          <w:sz w:val="18"/>
          <w:szCs w:val="18"/>
          <w:b w:val="1"/>
          <w:bCs w:val="1"/>
          <w:color w:val="auto"/>
        </w:rPr>
        <w:t>Proposal 6: Approve an Adjournment of the Annual Meeting, if Necessary, to Solicit Additional Proxies if there are not Sufficient Votes in Favor of Proposals 2 through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739"/>
        <w:spacing w:after="0" w:line="252" w:lineRule="auto"/>
        <w:rPr>
          <w:sz w:val="20"/>
          <w:szCs w:val="20"/>
          <w:color w:val="auto"/>
        </w:rPr>
      </w:pPr>
      <w:r>
        <w:rPr>
          <w:rFonts w:ascii="Times New Roman" w:cs="Times New Roman" w:eastAsia="Times New Roman" w:hAnsi="Times New Roman"/>
          <w:sz w:val="18"/>
          <w:szCs w:val="18"/>
          <w:color w:val="auto"/>
        </w:rPr>
        <w:t>The affirmative vote of the holders of a majority of the total votes cast in person or by proxy at the annual meeting is required to approve, in accordance with Nasdaq Listing Rule 5635(d), the issuance, under the terms of that certain Securities Purchase Agreement dated May 15, 2018, by and among XpresSpa Group, Inc. and the investors thereto, and related documents, of shares of our common stock underlying convertible notes and warrants issued by us (including upon the operation of “full-ratchet” anti-dilution provisions contained in such convertible notes and warrants).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18" w:lineRule="exact"/>
        <w:rPr>
          <w:sz w:val="20"/>
          <w:szCs w:val="20"/>
          <w:color w:val="auto"/>
        </w:rPr>
      </w:pPr>
    </w:p>
    <w:p>
      <w:pPr>
        <w:jc w:val="both"/>
        <w:ind w:right="739"/>
        <w:spacing w:after="0" w:line="254"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our common stock and Series D Preferred Stock voting on an as-converted basis entitled to vote on the matter either in person or by proxy at the annual meeting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119" w:lineRule="exact"/>
        <w:rPr>
          <w:sz w:val="20"/>
          <w:szCs w:val="20"/>
          <w:color w:val="auto"/>
        </w:rPr>
      </w:pPr>
    </w:p>
    <w:p>
      <w:pPr>
        <w:jc w:val="both"/>
        <w:ind w:right="739"/>
        <w:spacing w:after="0" w:line="25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and Series D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31" w:lineRule="exact"/>
        <w:rPr>
          <w:sz w:val="20"/>
          <w:szCs w:val="20"/>
          <w:color w:val="auto"/>
        </w:rPr>
      </w:pPr>
    </w:p>
    <w:p>
      <w:pPr>
        <w:jc w:val="both"/>
        <w:ind w:right="739"/>
        <w:spacing w:after="0" w:line="254" w:lineRule="auto"/>
        <w:rPr>
          <w:sz w:val="20"/>
          <w:szCs w:val="20"/>
          <w:color w:val="auto"/>
        </w:rPr>
      </w:pPr>
      <w:r>
        <w:rPr>
          <w:rFonts w:ascii="Times New Roman" w:cs="Times New Roman" w:eastAsia="Times New Roman" w:hAnsi="Times New Roman"/>
          <w:sz w:val="18"/>
          <w:szCs w:val="18"/>
          <w:color w:val="auto"/>
        </w:rPr>
        <w:t>Approval of the adjournment of the annual meeting, if necessary, to solicit additional proxies if there are not sufficient votes in favor of Proposals 2 through 5 requires the affirmative vote of the holders of a majority of the shares of common stock and Series D Preferred Stock present and entitled to vote either in person or by proxy at the annual meeting. A “broker non-vote” or a failure to submit a proxy or vote at the annual meeting will have no effect on the outcome of the vote for this Proposal 6. For purposes of the vote on this Proposal 6, an abstention will have the same effect as a vote “AGAINST” such proposal.</w:t>
      </w:r>
    </w:p>
    <w:p>
      <w:pPr>
        <w:spacing w:after="0" w:line="200" w:lineRule="exact"/>
        <w:rPr>
          <w:sz w:val="20"/>
          <w:szCs w:val="20"/>
          <w:color w:val="auto"/>
        </w:rPr>
      </w:pPr>
    </w:p>
    <w:p>
      <w:pPr>
        <w:sectPr>
          <w:pgSz w:w="11900" w:h="16838" w:orient="portrait"/>
          <w:cols w:equalWidth="0" w:num="2">
            <w:col w:w="3880" w:space="300"/>
            <w:col w:w="6039"/>
          </w:cols>
          <w:pgMar w:left="240" w:top="1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260"/>
        <w:spacing w:after="0" w:line="291" w:lineRule="auto"/>
        <w:rPr>
          <w:sz w:val="20"/>
          <w:szCs w:val="20"/>
          <w:color w:val="auto"/>
        </w:rPr>
      </w:pPr>
      <w:r>
        <w:rPr>
          <w:rFonts w:ascii="Times New Roman" w:cs="Times New Roman" w:eastAsia="Times New Roman" w:hAnsi="Times New Roman"/>
          <w:sz w:val="17"/>
          <w:szCs w:val="17"/>
          <w:b w:val="1"/>
          <w:bCs w:val="1"/>
          <w:color w:val="auto"/>
        </w:rPr>
        <w:t>Preferred Stockholder Proposal: Election of Director by Series D Preferred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Is Voting 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right="739"/>
        <w:spacing w:after="0" w:line="254" w:lineRule="auto"/>
        <w:rPr>
          <w:sz w:val="20"/>
          <w:szCs w:val="20"/>
          <w:color w:val="auto"/>
        </w:rPr>
      </w:pPr>
      <w:r>
        <w:rPr>
          <w:rFonts w:ascii="Times New Roman" w:cs="Times New Roman" w:eastAsia="Times New Roman" w:hAnsi="Times New Roman"/>
          <w:sz w:val="18"/>
          <w:szCs w:val="18"/>
          <w:color w:val="auto"/>
        </w:rPr>
        <w:t>The nominee for director who receives the most votes (also known as a “plurality” of the votes cast) will be elected. You may vote either FOR the nominee or WITHHOLD your vote from the nominee.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662" w:lineRule="exact"/>
        <w:rPr>
          <w:sz w:val="20"/>
          <w:szCs w:val="20"/>
          <w:color w:val="auto"/>
        </w:rPr>
      </w:pPr>
    </w:p>
    <w:p>
      <w:pPr>
        <w:sectPr>
          <w:pgSz w:w="11900" w:h="16838" w:orient="portrait"/>
          <w:cols w:equalWidth="0" w:num="2">
            <w:col w:w="3760" w:space="420"/>
            <w:col w:w="6039"/>
          </w:cols>
          <w:pgMar w:left="240" w:top="114" w:right="1440" w:bottom="1440" w:gutter="0" w:footer="0" w:header="0"/>
          <w:type w:val="continuous"/>
        </w:sect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will keep all the proxies, ballots and voting tabulations private. We only let our Inspectors of Election, American Stock Transfer &amp; Trust Company, LLC, examine these documents. Management will not know how you voted on a specific proposal unless it is necessary to meet legal requirements. We will, however, forward to management any written comments you make, on the proxy card or otherwise provide.</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Are the Costs of Soliciting these Proxies?</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41" w:lineRule="exact"/>
        <w:rPr>
          <w:sz w:val="20"/>
          <w:szCs w:val="20"/>
          <w:color w:val="auto"/>
        </w:rPr>
      </w:pPr>
    </w:p>
    <w:p>
      <w:pPr>
        <w:jc w:val="both"/>
        <w:ind w:left="1260" w:right="739" w:firstLine="360"/>
        <w:spacing w:after="0" w:line="236" w:lineRule="auto"/>
        <w:rPr>
          <w:sz w:val="20"/>
          <w:szCs w:val="20"/>
          <w:color w:val="auto"/>
        </w:rPr>
      </w:pPr>
      <w:r>
        <w:rPr>
          <w:rFonts w:ascii="Times New Roman" w:cs="Times New Roman" w:eastAsia="Times New Roman" w:hAnsi="Times New Roman"/>
          <w:sz w:val="18"/>
          <w:szCs w:val="18"/>
          <w:color w:val="auto"/>
        </w:rPr>
        <w:t>We have engaged The Proxy Advisory Group, LLC</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to assist in the solicitation of proxies and provide related advice and informational support, for a services fee and the reimbursement of customary disbursements that are not expected to exceed $15,000 in the aggregate.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 Quorum for the Annual Meeting?</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voting power of all outstanding shares of our common stock and Series D Preferred Stock entitled to vote at the annual meeting is necessary to constitute a quorum at the annual meeting. Votes of stockholders of record who are present at the annual meeting in person or by proxy, abstentions, and broker non-votes are counted for purposes of determining whether a quorum exists.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annual meeting will be held at 11:00 a.m. on Tuesday, September 18, 2018, at the offices of Mintz, Levin, Cohn, Ferris, Glovsky and Popeo, P.C. When you arrive at Mintz, Levin, Cohn, Ferris, Glovsky and Popeo, P.C., signs will direct you to the appropriate meeting rooms. You need not attend the annual meeting in order to vote.</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 of Annual Disclosure Documents</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80"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If your household received a single Notice or, if applicable, a single set of proxy materials this year, but you would prefer to receive your own copy, please contact XpresSpa Group’s Corporate Secretary at XpresSpa Group, Inc., 780 Third Avenue,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New York, New York, 10017.</w:t>
      </w: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of our stockholder and together both of you would like to receive only a single Notice or, if applicable, set of proxy materials, follow these instructions:</w:t>
      </w:r>
    </w:p>
    <w:p>
      <w:pPr>
        <w:spacing w:after="0" w:line="153" w:lineRule="exact"/>
        <w:rPr>
          <w:sz w:val="20"/>
          <w:szCs w:val="20"/>
          <w:color w:val="auto"/>
        </w:rPr>
      </w:pPr>
    </w:p>
    <w:p>
      <w:pPr>
        <w:ind w:left="1980" w:right="759" w:hanging="352"/>
        <w:spacing w:after="0" w:line="282"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American Stock Transfer &amp; Trust Company, LLC. and inform them of your request by calling them at 718-921-8200.</w:t>
      </w:r>
    </w:p>
    <w:p>
      <w:pPr>
        <w:spacing w:after="0" w:line="121" w:lineRule="exact"/>
        <w:rPr>
          <w:rFonts w:ascii="Times New Roman" w:cs="Times New Roman" w:eastAsia="Times New Roman" w:hAnsi="Times New Roman"/>
          <w:sz w:val="18"/>
          <w:szCs w:val="18"/>
          <w:color w:val="auto"/>
        </w:rPr>
      </w:pPr>
    </w:p>
    <w:p>
      <w:pPr>
        <w:jc w:val="both"/>
        <w:ind w:left="1980" w:right="759" w:hanging="352"/>
        <w:spacing w:after="0" w:line="266" w:lineRule="auto"/>
        <w:tabs>
          <w:tab w:leader="none" w:pos="1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please contact the broker or other nominee directly and inform them of your request. Be sure to include your name, the name of your brokerage firm and your account number.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Delivery of Company Stockholder Communications</w:t>
      </w:r>
    </w:p>
    <w:p>
      <w:pPr>
        <w:spacing w:after="0" w:line="108" w:lineRule="exact"/>
        <w:rPr>
          <w:sz w:val="20"/>
          <w:szCs w:val="20"/>
          <w:color w:val="auto"/>
        </w:rPr>
      </w:pPr>
    </w:p>
    <w:p>
      <w:pPr>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Most stockholders can elect to view or receive copies of future proxy materials over the Internet instead of receiving paper copies in the mail.</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can choose this option and save the Company the cost of producing and mailing these documents by:</w:t>
      </w:r>
    </w:p>
    <w:p>
      <w:pPr>
        <w:spacing w:after="0" w:line="185" w:lineRule="exact"/>
        <w:rPr>
          <w:sz w:val="20"/>
          <w:szCs w:val="20"/>
          <w:color w:val="auto"/>
        </w:rPr>
      </w:pPr>
    </w:p>
    <w:p>
      <w:pPr>
        <w:ind w:left="1980" w:hanging="352"/>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on your proxy card;</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instructions provided when you vote over the Internet; or</w:t>
      </w:r>
    </w:p>
    <w:p>
      <w:pPr>
        <w:spacing w:after="0" w:line="196"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going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and following the instructions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5" w:name="page16"/>
    <w:bookmarkEnd w:id="1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0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Series D Preferred Stock and common stock underlying our convertible notes as of July 10, 2018 for</w:t>
      </w:r>
    </w:p>
    <w:p>
      <w:pPr>
        <w:jc w:val="both"/>
        <w:ind w:left="1260" w:right="739" w:firstLine="8"/>
        <w:spacing w:after="0" w:line="250" w:lineRule="auto"/>
        <w:tabs>
          <w:tab w:leader="none" w:pos="15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beneficially more than 5% of our common stock, Series D Preferred Stock or common stock underlying our convertible notes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Series D Preferred Stock and common stock underlying our convertible notes that may be acquired by an individual or group within 60 days of July 10, 2018 pursuant to the exercise of options or warrants, the vesting of restricted stock units, or the conversion of notes into shares of common stock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Series D Preferred Stock, and/or common stock underlying our convertible notes shown to be beneficially owned by them based on information provided to us by these stockholders. Percentage of ownership is based on</w:t>
      </w:r>
    </w:p>
    <w:p>
      <w:pPr>
        <w:spacing w:after="0" w:line="6" w:lineRule="exact"/>
        <w:rPr>
          <w:rFonts w:ascii="Times New Roman" w:cs="Times New Roman" w:eastAsia="Times New Roman" w:hAnsi="Times New Roman"/>
          <w:sz w:val="18"/>
          <w:szCs w:val="18"/>
          <w:color w:val="auto"/>
        </w:rPr>
      </w:pPr>
    </w:p>
    <w:p>
      <w:pPr>
        <w:jc w:val="both"/>
        <w:ind w:left="1260" w:right="739" w:firstLine="8"/>
        <w:spacing w:after="0" w:line="255" w:lineRule="auto"/>
        <w:tabs>
          <w:tab w:leader="none" w:pos="14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27,114,662 shares of common stock, (ii) 420,541 shares of Series D Preferred Stock convertible into 3,364,328 shares of common stock, and (iii) 7,157,259 shares of common stock underlying our convertible notes outstanding on July 10, 2018.</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62"/>
        </w:trPr>
        <w:tc>
          <w:tcPr>
            <w:tcW w:w="3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21"/>
                <w:szCs w:val="21"/>
                <w:b w:val="1"/>
                <w:bCs w:val="1"/>
                <w:color w:val="auto"/>
                <w:vertAlign w:val="superscript"/>
              </w:rPr>
              <w:t>(1)</w:t>
            </w:r>
          </w:p>
        </w:tc>
        <w:tc>
          <w:tcPr>
            <w:tcW w:w="180" w:type="dxa"/>
            <w:vAlign w:val="bottom"/>
            <w:vMerge w:val="restart"/>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214"/>
        </w:trPr>
        <w:tc>
          <w:tcPr>
            <w:tcW w:w="35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50"/>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Five percent or more beneficial owners:</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line="239" w:lineRule="exact"/>
              <w:rPr>
                <w:sz w:val="20"/>
                <w:szCs w:val="20"/>
                <w:color w:val="auto"/>
              </w:rPr>
            </w:pPr>
            <w:r>
              <w:rPr>
                <w:rFonts w:ascii="Times New Roman" w:cs="Times New Roman" w:eastAsia="Times New Roman" w:hAnsi="Times New Roman"/>
                <w:sz w:val="18"/>
                <w:szCs w:val="18"/>
                <w:color w:val="auto"/>
              </w:rPr>
              <w:t>Mistral Spa Holdings, LLC</w:t>
            </w:r>
            <w:r>
              <w:rPr>
                <w:rFonts w:ascii="Times New Roman" w:cs="Times New Roman" w:eastAsia="Times New Roman" w:hAnsi="Times New Roman"/>
                <w:sz w:val="27"/>
                <w:szCs w:val="27"/>
                <w:color w:val="auto"/>
                <w:vertAlign w:val="superscript"/>
              </w:rPr>
              <w:t>(2)</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650 Fifth Avenue, Floor 31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NY 10019</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3,926,806</w:t>
            </w:r>
          </w:p>
        </w:tc>
        <w:tc>
          <w:tcPr>
            <w:tcW w:w="180" w:type="dxa"/>
            <w:vAlign w:val="bottom"/>
          </w:tcPr>
          <w:p>
            <w:pPr>
              <w:spacing w:after="0"/>
              <w:rPr>
                <w:sz w:val="20"/>
                <w:szCs w:val="20"/>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2,414,992</w:t>
            </w:r>
          </w:p>
        </w:tc>
        <w:tc>
          <w:tcPr>
            <w:tcW w:w="180" w:type="dxa"/>
            <w:vAlign w:val="bottom"/>
          </w:tcPr>
          <w:p>
            <w:pPr>
              <w:spacing w:after="0"/>
              <w:rPr>
                <w:sz w:val="20"/>
                <w:szCs w:val="20"/>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7"/>
        </w:trPr>
        <w:tc>
          <w:tcPr>
            <w:tcW w:w="3700" w:type="dxa"/>
            <w:vAlign w:val="bottom"/>
            <w:gridSpan w:val="2"/>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Alpha Capital Anstalt</w:t>
            </w:r>
            <w:r>
              <w:rPr>
                <w:rFonts w:ascii="Times New Roman" w:cs="Times New Roman" w:eastAsia="Times New Roman" w:hAnsi="Times New Roman"/>
                <w:sz w:val="27"/>
                <w:szCs w:val="27"/>
                <w:color w:val="auto"/>
                <w:vertAlign w:val="superscript"/>
              </w:rPr>
              <w:t>(3)</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3,629,032</w:t>
            </w: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700" w:type="dxa"/>
            <w:vAlign w:val="bottom"/>
            <w:gridSpan w:val="2"/>
          </w:tcPr>
          <w:p>
            <w:pPr>
              <w:spacing w:after="0" w:line="239" w:lineRule="exact"/>
              <w:rPr>
                <w:sz w:val="20"/>
                <w:szCs w:val="20"/>
                <w:color w:val="auto"/>
              </w:rPr>
            </w:pPr>
            <w:r>
              <w:rPr>
                <w:rFonts w:ascii="Times New Roman" w:cs="Times New Roman" w:eastAsia="Times New Roman" w:hAnsi="Times New Roman"/>
                <w:sz w:val="18"/>
                <w:szCs w:val="18"/>
                <w:color w:val="auto"/>
              </w:rPr>
              <w:t>AWM Investment Company, Inc.</w:t>
            </w:r>
            <w:r>
              <w:rPr>
                <w:rFonts w:ascii="Times New Roman" w:cs="Times New Roman" w:eastAsia="Times New Roman" w:hAnsi="Times New Roman"/>
                <w:sz w:val="27"/>
                <w:szCs w:val="27"/>
                <w:color w:val="auto"/>
                <w:vertAlign w:val="superscript"/>
              </w:rPr>
              <w:t>(4)</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527 Madison Avenue, Suite 2600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NY 10022</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2,643,745</w:t>
            </w:r>
          </w:p>
        </w:tc>
        <w:tc>
          <w:tcPr>
            <w:tcW w:w="180" w:type="dxa"/>
            <w:vAlign w:val="bottom"/>
          </w:tcPr>
          <w:p>
            <w:pPr>
              <w:spacing w:after="0"/>
              <w:rPr>
                <w:sz w:val="20"/>
                <w:szCs w:val="20"/>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1"/>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Edward Jankowski</w:t>
            </w:r>
            <w:r>
              <w:rPr>
                <w:rFonts w:ascii="Times New Roman" w:cs="Times New Roman" w:eastAsia="Times New Roman" w:hAnsi="Times New Roman"/>
                <w:sz w:val="27"/>
                <w:szCs w:val="27"/>
                <w:color w:val="auto"/>
                <w:vertAlign w:val="superscript"/>
              </w:rPr>
              <w:t>(5)</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283,962</w:t>
            </w:r>
          </w:p>
        </w:tc>
        <w:tc>
          <w:tcPr>
            <w:tcW w:w="18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Andrew Perlman</w:t>
            </w:r>
            <w:r>
              <w:rPr>
                <w:rFonts w:ascii="Times New Roman" w:cs="Times New Roman" w:eastAsia="Times New Roman" w:hAnsi="Times New Roman"/>
                <w:sz w:val="27"/>
                <w:szCs w:val="27"/>
                <w:color w:val="auto"/>
                <w:vertAlign w:val="superscript"/>
              </w:rPr>
              <w:t>(6)</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1,426,912</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7"/>
                <w:szCs w:val="27"/>
                <w:color w:val="auto"/>
                <w:vertAlign w:val="superscript"/>
              </w:rPr>
              <w:t>(7)</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508,062</w:t>
            </w:r>
          </w:p>
        </w:tc>
        <w:tc>
          <w:tcPr>
            <w:tcW w:w="18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Janine Canale</w:t>
            </w:r>
            <w:r>
              <w:rPr>
                <w:rFonts w:ascii="Times New Roman" w:cs="Times New Roman" w:eastAsia="Times New Roman" w:hAnsi="Times New Roman"/>
                <w:sz w:val="27"/>
                <w:szCs w:val="27"/>
                <w:color w:val="auto"/>
                <w:vertAlign w:val="superscript"/>
              </w:rPr>
              <w:t>(8)</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7"/>
                <w:szCs w:val="27"/>
                <w:color w:val="auto"/>
                <w:vertAlign w:val="superscript"/>
              </w:rPr>
              <w:t>(9)</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834,058</w:t>
            </w:r>
          </w:p>
        </w:tc>
        <w:tc>
          <w:tcPr>
            <w:tcW w:w="18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393,416</w:t>
            </w:r>
          </w:p>
        </w:tc>
        <w:tc>
          <w:tcPr>
            <w:tcW w:w="180" w:type="dxa"/>
            <w:vAlign w:val="bottom"/>
          </w:tcPr>
          <w:p>
            <w:pPr>
              <w:spacing w:after="0"/>
              <w:rPr>
                <w:sz w:val="23"/>
                <w:szCs w:val="23"/>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7"/>
                <w:szCs w:val="27"/>
                <w:color w:val="auto"/>
                <w:vertAlign w:val="superscript"/>
              </w:rPr>
              <w:t>(10)</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189,908</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7"/>
                <w:szCs w:val="27"/>
                <w:color w:val="auto"/>
                <w:vertAlign w:val="superscript"/>
              </w:rPr>
              <w:t>(11)</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264,632</w:t>
            </w:r>
          </w:p>
        </w:tc>
        <w:tc>
          <w:tcPr>
            <w:tcW w:w="18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Salvatore Giardina</w:t>
            </w:r>
            <w:r>
              <w:rPr>
                <w:rFonts w:ascii="Times New Roman" w:cs="Times New Roman" w:eastAsia="Times New Roman" w:hAnsi="Times New Roman"/>
                <w:sz w:val="27"/>
                <w:szCs w:val="27"/>
                <w:color w:val="auto"/>
                <w:vertAlign w:val="superscript"/>
              </w:rPr>
              <w:t>(12)</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145,000</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Richard K. Abbe</w:t>
            </w:r>
            <w:r>
              <w:rPr>
                <w:rFonts w:ascii="Times New Roman" w:cs="Times New Roman" w:eastAsia="Times New Roman" w:hAnsi="Times New Roman"/>
                <w:sz w:val="27"/>
                <w:szCs w:val="27"/>
                <w:color w:val="auto"/>
                <w:vertAlign w:val="superscript"/>
              </w:rPr>
              <w:t>(13)</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723,292</w:t>
            </w:r>
          </w:p>
        </w:tc>
        <w:tc>
          <w:tcPr>
            <w:tcW w:w="180" w:type="dxa"/>
            <w:vAlign w:val="bottom"/>
          </w:tcPr>
          <w:p>
            <w:pPr>
              <w:spacing w:after="0"/>
              <w:rPr>
                <w:sz w:val="23"/>
                <w:szCs w:val="23"/>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3"/>
                <w:szCs w:val="2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Andrew R. Heyer</w:t>
            </w:r>
            <w:r>
              <w:rPr>
                <w:rFonts w:ascii="Times New Roman" w:cs="Times New Roman" w:eastAsia="Times New Roman" w:hAnsi="Times New Roman"/>
                <w:sz w:val="27"/>
                <w:szCs w:val="27"/>
                <w:color w:val="auto"/>
                <w:vertAlign w:val="superscript"/>
              </w:rPr>
              <w:t>(2)(14)</w:t>
            </w:r>
          </w:p>
        </w:tc>
        <w:tc>
          <w:tcPr>
            <w:tcW w:w="10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4,116,806</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2,414,992</w:t>
            </w: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0"/>
        </w:trPr>
        <w:tc>
          <w:tcPr>
            <w:tcW w:w="3700" w:type="dxa"/>
            <w:vAlign w:val="bottom"/>
            <w:gridSpan w:val="2"/>
          </w:tcPr>
          <w:p>
            <w:pPr>
              <w:spacing w:after="0" w:line="190" w:lineRule="exact"/>
              <w:rPr>
                <w:sz w:val="20"/>
                <w:szCs w:val="20"/>
                <w:color w:val="auto"/>
              </w:rPr>
            </w:pPr>
            <w:r>
              <w:rPr>
                <w:rFonts w:ascii="Times New Roman" w:cs="Times New Roman" w:eastAsia="Times New Roman" w:hAnsi="Times New Roman"/>
                <w:sz w:val="18"/>
                <w:szCs w:val="18"/>
                <w:color w:val="auto"/>
              </w:rPr>
              <w:t>All current directors and officers as a group</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 individuals)</w:t>
            </w:r>
            <w:r>
              <w:rPr>
                <w:rFonts w:ascii="Times New Roman" w:cs="Times New Roman" w:eastAsia="Times New Roman" w:hAnsi="Times New Roman"/>
                <w:sz w:val="27"/>
                <w:szCs w:val="27"/>
                <w:color w:val="auto"/>
                <w:vertAlign w:val="superscript"/>
              </w:rPr>
              <w:t>(15)</w:t>
            </w:r>
            <w:r>
              <w:rPr>
                <w:rFonts w:ascii="Times New Roman" w:cs="Times New Roman" w:eastAsia="Times New Roman" w:hAnsi="Times New Roman"/>
                <w:sz w:val="18"/>
                <w:szCs w:val="18"/>
                <w:color w:val="auto"/>
              </w:rPr>
              <w: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8,492,632</w:t>
            </w:r>
          </w:p>
        </w:tc>
        <w:tc>
          <w:tcPr>
            <w:tcW w:w="180" w:type="dxa"/>
            <w:vAlign w:val="bottom"/>
          </w:tcPr>
          <w:p>
            <w:pPr>
              <w:spacing w:after="0"/>
              <w:rPr>
                <w:sz w:val="24"/>
                <w:szCs w:val="24"/>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24"/>
                <w:szCs w:val="2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2,808,408</w:t>
            </w:r>
          </w:p>
        </w:tc>
        <w:tc>
          <w:tcPr>
            <w:tcW w:w="180" w:type="dxa"/>
            <w:vAlign w:val="bottom"/>
          </w:tcPr>
          <w:p>
            <w:pPr>
              <w:spacing w:after="0"/>
              <w:rPr>
                <w:sz w:val="24"/>
                <w:szCs w:val="24"/>
                <w:color w:val="auto"/>
              </w:rPr>
            </w:pPr>
          </w:p>
        </w:tc>
        <w:tc>
          <w:tcPr>
            <w:tcW w:w="10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-3526790</wp:posOffset>
            </wp:positionV>
            <wp:extent cx="1200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4524375</wp:posOffset>
            </wp:positionH>
            <wp:positionV relativeFrom="paragraph">
              <wp:posOffset>-3526790</wp:posOffset>
            </wp:positionV>
            <wp:extent cx="1200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-3526790</wp:posOffset>
            </wp:positionV>
            <wp:extent cx="1200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-3526790</wp:posOffset>
            </wp:positionV>
            <wp:extent cx="1200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125730</wp:posOffset>
            </wp:positionV>
            <wp:extent cx="12350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6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6" w:name="page17"/>
    <w:bookmarkEnd w:id="1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right="759" w:hanging="352"/>
        <w:spacing w:after="0" w:line="254"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the individuals is c/o XpresSpa Group, Inc., 780 Third Avenue,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19"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2,338,690 shares of common stock and warrants to purchase 1,588,116 shares of common stock at the exercise price of $3.00 per share.</w:t>
      </w:r>
    </w:p>
    <w:p>
      <w:pPr>
        <w:spacing w:after="0" w:line="53" w:lineRule="exact"/>
        <w:rPr>
          <w:rFonts w:ascii="Times New Roman" w:cs="Times New Roman" w:eastAsia="Times New Roman" w:hAnsi="Times New Roman"/>
          <w:sz w:val="18"/>
          <w:szCs w:val="18"/>
          <w:color w:val="auto"/>
        </w:rPr>
      </w:pPr>
    </w:p>
    <w:p>
      <w:pPr>
        <w:ind w:left="1620" w:right="7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Series D Preferred beneficially includes 301,874 shares of Series D Preferred stock convertible into 2,414,992 shares of common stock.</w:t>
      </w:r>
    </w:p>
    <w:p>
      <w:pPr>
        <w:spacing w:after="0" w:line="53" w:lineRule="exact"/>
        <w:rPr>
          <w:rFonts w:ascii="Times New Roman" w:cs="Times New Roman" w:eastAsia="Times New Roman" w:hAnsi="Times New Roman"/>
          <w:sz w:val="18"/>
          <w:szCs w:val="18"/>
          <w:color w:val="auto"/>
        </w:rPr>
      </w:pPr>
    </w:p>
    <w:p>
      <w:pPr>
        <w:jc w:val="both"/>
        <w:ind w:left="1620" w:right="73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Mistral Spa Holdings, LLC (“MSH”), a Delaware limited liability company, is an investment entity indirectly controlled by Mr. Heyer through Mistral Equity Partners, LP (“MEP”), Mistral Equity Partners QP, LP (“MEP QP”) and MEP Co-Invest, LLC (“MEP Co-Invest”). Mistral Equity GP, LLC (“MEP GP” and, together with MEP, MEP QP, and MEP Co-Invest, the “Mistral Fund Entities”) is the general partner of MEP and MEP QP. By reason of the provisions of Rule 16a-1 of the Exchange Act, the Mistral Fund Entities may be deemed to be beneficial owners of certain of the securities that are deemed to be beneficially owned by MSH, and Mr. Heyer may be deemed to be the beneficial owner of any securities that may be deemed to be beneficially owned by MSH and/or the Mistral Fund Entities. Mr. Heyer may be deemed to have an indirect pecuniary interest (within the meaning of Rule 16a-1 of the Exchange Act) in an indeterminate portion of the securities reported as beneficially owned by MSH, and MEP GP may be deemed to have an indirect pecuniary interest in an indeterminate portion of the securities reported as beneficially owned by MEP and MEP QP. Mr. Heyer’s business address is c/o Mistral Capital Management, LLC, 650 Fifth Avenue,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18"/>
          <w:szCs w:val="18"/>
          <w:color w:val="auto"/>
        </w:rPr>
        <w:t xml:space="preserve"> Floor, New York, NY 10019.</w:t>
      </w:r>
    </w:p>
    <w:p>
      <w:pPr>
        <w:spacing w:after="0" w:line="33" w:lineRule="exact"/>
        <w:rPr>
          <w:rFonts w:ascii="Times New Roman" w:cs="Times New Roman" w:eastAsia="Times New Roman" w:hAnsi="Times New Roman"/>
          <w:sz w:val="18"/>
          <w:szCs w:val="18"/>
          <w:color w:val="auto"/>
        </w:rPr>
      </w:pPr>
    </w:p>
    <w:p>
      <w:pPr>
        <w:jc w:val="both"/>
        <w:ind w:left="1620" w:right="739" w:hanging="352"/>
        <w:spacing w:after="0" w:line="258"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upon the securities purchase agreement we entered into on May 15, 2018, Alpha Capital Anstalt has been deemed to have beneficial ownership of 3,629,032 shares of our common stock issuable upon conversion of our convertible notes. Not included are warrants to purchase 5,443,548 shares of our common stock, as the warrants are not exercisable until November 17, 2018. The address of Alpha Capital Anstalt is Lettstrasse 32, P.O. Box 1212, 9490 Vaduz, Liechtenstein.</w:t>
      </w:r>
    </w:p>
    <w:p>
      <w:pPr>
        <w:spacing w:after="0" w:line="102" w:lineRule="exact"/>
        <w:rPr>
          <w:rFonts w:ascii="Times New Roman" w:cs="Times New Roman" w:eastAsia="Times New Roman" w:hAnsi="Times New Roman"/>
          <w:sz w:val="18"/>
          <w:szCs w:val="18"/>
          <w:color w:val="auto"/>
        </w:rPr>
      </w:pPr>
    </w:p>
    <w:p>
      <w:pPr>
        <w:jc w:val="both"/>
        <w:ind w:left="1620" w:right="759" w:hanging="352"/>
        <w:spacing w:after="0" w:line="25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AWM Investment Company, Inc., a Delaware corporation (“AWM”), is the investment adviser to Special Situations Cayman Fund, L.P. (“CAYMAN”), Special Situations Fund III QP, L.P. (“SSFQP”) and Special Situations Private Equity Fund, L.P. (“SSPE” and together with CAYMAN and SSFQP, the “Funds”). As the investment adviser to the Funds, AWM holds sole voting and investment power over 462,561 shares of common stock held by CAYMAN, 1,387,683 shares of common stock held by SSFQP and 793,501 shares of common stock held by SSPE.</w:t>
      </w:r>
    </w:p>
    <w:p>
      <w:pPr>
        <w:spacing w:after="0" w:line="79" w:lineRule="exact"/>
        <w:rPr>
          <w:rFonts w:ascii="Times New Roman" w:cs="Times New Roman" w:eastAsia="Times New Roman" w:hAnsi="Times New Roman"/>
          <w:sz w:val="18"/>
          <w:szCs w:val="18"/>
          <w:color w:val="auto"/>
        </w:rPr>
      </w:pPr>
    </w:p>
    <w:p>
      <w:pPr>
        <w:jc w:val="both"/>
        <w:ind w:left="1620" w:right="73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Austin W. Marxe, David M. Greenhouse and Adam C. Stettner are the controlling principals of AWM. The reporting person disclaims beneficial ownership of the shares, except to the extent of its pecuniary interest therein.</w:t>
      </w:r>
    </w:p>
    <w:p>
      <w:pPr>
        <w:spacing w:after="0" w:line="81"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125,000 shares of our common stock exercisable within 60 days of July 10, 2018. Not included are options to purchase 125,000 shares of our common stock that are not exercisable within 60 days of July 10, 2018.</w:t>
      </w:r>
    </w:p>
    <w:p>
      <w:pPr>
        <w:spacing w:after="0" w:line="8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848,333 shares of our common stock exercisable within 60 days of July 10, 2018.</w:t>
      </w:r>
    </w:p>
    <w:p>
      <w:pPr>
        <w:spacing w:after="0" w:line="80"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447,500 shares of our common stock exercisable within 60 days of July 10, 2018. Not included are options to purchase 212,500 shares of our common stock that are not exercisable within 60 days of July 10, 2018.</w:t>
      </w:r>
    </w:p>
    <w:p>
      <w:pPr>
        <w:spacing w:after="0" w:line="8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included are 50,000 restricted stock units that vest on May 15, 2019.</w:t>
      </w:r>
    </w:p>
    <w:p>
      <w:pPr>
        <w:spacing w:after="0" w:line="130" w:lineRule="exact"/>
        <w:rPr>
          <w:rFonts w:ascii="Times New Roman" w:cs="Times New Roman" w:eastAsia="Times New Roman" w:hAnsi="Times New Roman"/>
          <w:sz w:val="18"/>
          <w:szCs w:val="18"/>
          <w:color w:val="auto"/>
        </w:rPr>
      </w:pPr>
    </w:p>
    <w:p>
      <w:pPr>
        <w:jc w:val="both"/>
        <w:ind w:left="1620" w:right="759" w:hanging="352"/>
        <w:spacing w:after="0" w:line="261"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145,000 shares of our common stock exercisable within 60 days of July 10, 2018 and warrants to purchase 258,712 shares of common stock at the exercise price of $3.00 per share. Not included are warrants to purchase 250,000 shares of our common stock, as the warrants are not exercisable until November 17, 2018.</w:t>
      </w:r>
    </w:p>
    <w:p>
      <w:pPr>
        <w:spacing w:after="0" w:line="2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7" w:name="page18"/>
    <w:bookmarkEnd w:id="1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20" w:right="759"/>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underlying Series D Preferred beneficially includes 49,177 shares of Series D Preferred stock convertible into 393,416 shares of common stock.</w:t>
      </w:r>
    </w:p>
    <w:p>
      <w:pPr>
        <w:spacing w:after="0" w:line="135" w:lineRule="exact"/>
        <w:rPr>
          <w:sz w:val="20"/>
          <w:szCs w:val="20"/>
          <w:color w:val="auto"/>
        </w:rPr>
      </w:pPr>
    </w:p>
    <w:p>
      <w:pPr>
        <w:ind w:left="1620" w:right="759" w:hanging="352"/>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167,500 shares of our common stock exercisable within 60 days of July 10, 2018.</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172,500 shares of our common stock exercisable within 60 days of July 10, 2018.</w:t>
      </w:r>
    </w:p>
    <w:p>
      <w:pPr>
        <w:spacing w:after="0" w:line="121"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145,000 shares of our common stock exercisable within 60 days of July 10, 2018.</w:t>
      </w:r>
    </w:p>
    <w:p>
      <w:pPr>
        <w:spacing w:after="0" w:line="134"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125,000 shares of our common stock exercisable within 60 days of July 10, 2018 and warrants to purchase 311,750 shares of common stock at the exercise price of $3.00 per share.</w:t>
      </w:r>
    </w:p>
    <w:p>
      <w:pPr>
        <w:spacing w:after="0" w:line="68" w:lineRule="exact"/>
        <w:rPr>
          <w:rFonts w:ascii="Times New Roman" w:cs="Times New Roman" w:eastAsia="Times New Roman" w:hAnsi="Times New Roman"/>
          <w:sz w:val="18"/>
          <w:szCs w:val="18"/>
          <w:color w:val="auto"/>
        </w:rPr>
      </w:pPr>
    </w:p>
    <w:p>
      <w:pPr>
        <w:jc w:val="both"/>
        <w:ind w:left="1620" w:right="7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225,750 shares of common stock are held by Iroquois Master Fund Ltd. (the “Fund”) and warrants to purchase 86,000 shares are held by Iroquois Capital Investment Group (“ICIG”). Mr. Abbe is president of Iroquois Capital Management L.L.C, and managing member of ICIG, who has the authority and responsibility for the investments made on behalf of the Fund and ICIG, and, as such, may be deemed to be the beneficial owner of all shares of common stock held by the Fund and ICIG. Mr. Abbe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44" w:lineRule="exact"/>
        <w:rPr>
          <w:rFonts w:ascii="Times New Roman" w:cs="Times New Roman" w:eastAsia="Times New Roman" w:hAnsi="Times New Roman"/>
          <w:sz w:val="18"/>
          <w:szCs w:val="18"/>
          <w:color w:val="auto"/>
        </w:rPr>
      </w:pPr>
    </w:p>
    <w:p>
      <w:pPr>
        <w:jc w:val="both"/>
        <w:ind w:left="1620" w:right="739" w:hanging="352"/>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beneficially owned includes options to purchase 75,000 shares of our common stock exercisable within 60 days of July 10, 2018 and warrants to purchase 1,588,116 shares of common stock at the exercise price of $3.00 per share.</w:t>
      </w:r>
    </w:p>
    <w:p>
      <w:pPr>
        <w:spacing w:after="0" w:line="68" w:lineRule="exact"/>
        <w:rPr>
          <w:rFonts w:ascii="Times New Roman" w:cs="Times New Roman" w:eastAsia="Times New Roman" w:hAnsi="Times New Roman"/>
          <w:sz w:val="18"/>
          <w:szCs w:val="18"/>
          <w:color w:val="auto"/>
        </w:rPr>
      </w:pPr>
    </w:p>
    <w:p>
      <w:pPr>
        <w:ind w:left="1620" w:right="73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underlying Series D Preferred beneficially includes 301,874 shares of Series D Preferred stock convertible into 2,414,992 shares of common stock.</w:t>
      </w:r>
    </w:p>
    <w:p>
      <w:pPr>
        <w:spacing w:after="0" w:line="12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(5) through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8" w:name="page19"/>
    <w:bookmarkEnd w:id="1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seven (7)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7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Set forth below are the names of our directors and director nominees and executive officers, their ages (as of the filing date of this proxy statement), their position(s) with us,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98" w:lineRule="exact"/>
        <w:rPr>
          <w:sz w:val="20"/>
          <w:szCs w:val="20"/>
          <w:color w:val="auto"/>
        </w:rPr>
      </w:pPr>
    </w:p>
    <w:tbl>
      <w:tblPr>
        <w:tblLayout w:type="fixed"/>
        <w:tblInd w:w="1620" w:type="dxa"/>
        <w:tblCellMar>
          <w:top w:w="0" w:type="dxa"/>
          <w:left w:w="0" w:type="dxa"/>
          <w:bottom w:w="0" w:type="dxa"/>
          <w:right w:w="0" w:type="dxa"/>
        </w:tblCellMar>
      </w:tblPr>
      <w:tr>
        <w:trPr>
          <w:trHeight w:val="190"/>
        </w:trPr>
        <w:tc>
          <w:tcPr>
            <w:tcW w:w="2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220" w:type="dxa"/>
            <w:vAlign w:val="bottom"/>
          </w:tcPr>
          <w:p>
            <w:pPr>
              <w:spacing w:after="0"/>
              <w:rPr>
                <w:sz w:val="16"/>
                <w:szCs w:val="16"/>
                <w:color w:val="auto"/>
              </w:rPr>
            </w:pPr>
          </w:p>
        </w:tc>
        <w:tc>
          <w:tcPr>
            <w:tcW w:w="42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Position(s) with the Company</w:t>
            </w:r>
          </w:p>
        </w:tc>
      </w:tr>
      <w:tr>
        <w:trPr>
          <w:trHeight w:val="24"/>
        </w:trPr>
        <w:tc>
          <w:tcPr>
            <w:tcW w:w="2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5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Jankowski</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Janine Canale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270"/>
        </w:trPr>
        <w:tc>
          <w:tcPr>
            <w:tcW w:w="26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7"/>
                <w:szCs w:val="27"/>
                <w:color w:val="auto"/>
                <w:vertAlign w:val="superscript"/>
              </w:rPr>
              <w:t>(1)(2)(3)</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70"/>
        </w:trPr>
        <w:tc>
          <w:tcPr>
            <w:tcW w:w="26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7"/>
                <w:szCs w:val="27"/>
                <w:color w:val="auto"/>
                <w:vertAlign w:val="superscript"/>
              </w:rPr>
              <w:t>(4)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62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7"/>
                <w:szCs w:val="27"/>
                <w:color w:val="auto"/>
                <w:vertAlign w:val="superscript"/>
              </w:rPr>
              <w:t>(1)(2)(3)</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305"/>
        </w:trPr>
        <w:tc>
          <w:tcPr>
            <w:tcW w:w="2620" w:type="dxa"/>
            <w:vAlign w:val="bottom"/>
            <w:gridSpan w:val="2"/>
          </w:tcPr>
          <w:p>
            <w:pPr>
              <w:spacing w:after="0" w:line="305" w:lineRule="exact"/>
              <w:rPr>
                <w:sz w:val="20"/>
                <w:szCs w:val="20"/>
                <w:color w:val="auto"/>
              </w:rPr>
            </w:pPr>
            <w:r>
              <w:rPr>
                <w:rFonts w:ascii="Times New Roman" w:cs="Times New Roman" w:eastAsia="Times New Roman" w:hAnsi="Times New Roman"/>
                <w:sz w:val="18"/>
                <w:szCs w:val="18"/>
                <w:color w:val="auto"/>
              </w:rPr>
              <w:t>Salvatore Giardina*</w:t>
            </w:r>
            <w:r>
              <w:rPr>
                <w:rFonts w:ascii="Times New Roman" w:cs="Times New Roman" w:eastAsia="Times New Roman" w:hAnsi="Times New Roman"/>
                <w:sz w:val="27"/>
                <w:szCs w:val="27"/>
                <w:color w:val="auto"/>
                <w:vertAlign w:val="superscript"/>
              </w:rPr>
              <w:t>(2)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K. Abbe*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R. Heyer*</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163195</wp:posOffset>
            </wp:positionV>
            <wp:extent cx="1235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94" w:lineRule="exact"/>
        <w:rPr>
          <w:sz w:val="20"/>
          <w:szCs w:val="20"/>
          <w:color w:val="auto"/>
        </w:rPr>
      </w:pPr>
    </w:p>
    <w:p>
      <w:pPr>
        <w:ind w:left="1620" w:hanging="352"/>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under the rules of The Nasdaq Stock Market</w:t>
      </w:r>
    </w:p>
    <w:p>
      <w:pPr>
        <w:spacing w:after="0" w:line="131" w:lineRule="exact"/>
        <w:rPr>
          <w:sz w:val="20"/>
          <w:szCs w:val="20"/>
          <w:color w:val="auto"/>
        </w:rPr>
      </w:pPr>
    </w:p>
    <w:p>
      <w:pPr>
        <w:ind w:left="1620" w:hanging="35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Compensation Committee</w:t>
      </w:r>
    </w:p>
    <w:p>
      <w:pPr>
        <w:spacing w:after="0" w:line="14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Audit Committee</w:t>
      </w:r>
    </w:p>
    <w:p>
      <w:pPr>
        <w:spacing w:after="0" w:line="14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Nominating and Corporate Governance Committee</w:t>
      </w:r>
    </w:p>
    <w:p>
      <w:pPr>
        <w:spacing w:after="0" w:line="130"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member of the Board of Directors who is not a candidate for re-election at the 2018 annual meeting.</w:t>
      </w:r>
    </w:p>
    <w:p>
      <w:pPr>
        <w:spacing w:after="0" w:line="117"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the Company, either directly or indirectly. Based upon this review, our Board of Directors has determined that the following members of our Board of Directors are “independent directors” as defined by The Nasdaq Stock Market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Bruce T. Bernstein, Donald E. Stout, Salvatore Giardina, Richard K. Abbe and Andrew R. Heyer.</w:t>
      </w:r>
    </w:p>
    <w:p>
      <w:pPr>
        <w:spacing w:after="0" w:line="6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Edward Jankowski </w:t>
      </w:r>
      <w:r>
        <w:rPr>
          <w:rFonts w:ascii="Times New Roman" w:cs="Times New Roman" w:eastAsia="Times New Roman" w:hAnsi="Times New Roman"/>
          <w:sz w:val="18"/>
          <w:szCs w:val="18"/>
          <w:color w:val="auto"/>
        </w:rPr>
        <w:t>has served as our Chief Executive Officer and as a member of our Board of Directors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April 19, 2018. From December 2016 to April 2018, Mr. Jankowski served as our Senior Vice President and from June 2016 to April 2018, Mr. Jankowski served as the Chief Executive Officer of our XpresSpa Holdings, LLC (“XpresSpa”) subsidiary. From 2012 to 2016, Mr. Jankowski was the Vice President and General Manager of Luxury Retail at Luxottica, where he oversaw the Ilori and Optical Shop of Aspen and Persol retail stores. From 2007 to 2012, Mr. Jankowski was Senior Vice President and General Manager for Godiva Chocolatier, responsible for the $400 million North America multi-channel business, consisting of 240 retail stores, plus wholesale, direct, and interactive business. From 2001 to 2007, Mr. Jankowski was the Chief Operating Officer of Safilo Group’s Solstice sunglasses stores, where he opened 120 stores, oversaw store operations, merchandising, finance, planning/distribution, marketing and communications, loss prevention, real estate, visual and store design/development/construction. From 1999 to 2001, Mr. Jankowski was the President of Airport Shops Division of World Duty Free Americas, a division of B.A.A., where he was a member of the Senior Executive Committee, with responsibility for the</w:t>
      </w:r>
    </w:p>
    <w:p>
      <w:pPr>
        <w:spacing w:after="0" w:line="2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19" w:name="page20"/>
    <w:bookmarkEnd w:id="1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5" w:lineRule="auto"/>
        <w:rPr>
          <w:sz w:val="20"/>
          <w:szCs w:val="20"/>
          <w:color w:val="auto"/>
        </w:rPr>
      </w:pPr>
      <w:r>
        <w:rPr>
          <w:rFonts w:ascii="Times New Roman" w:cs="Times New Roman" w:eastAsia="Times New Roman" w:hAnsi="Times New Roman"/>
          <w:sz w:val="18"/>
          <w:szCs w:val="18"/>
          <w:color w:val="auto"/>
        </w:rPr>
        <w:t>$120 million Airport Division. From 1993 to 1999, Mr. Jankowski served as the Vice President/Director of Stores for Liz Claiborne, where he was a member of the Retail Executive Committee and led execution of business strategies, sales results and store profit. Prior to his position at Liz Claiborne, Mr. Jankowski held leadership positions at Casual Corner, Atherton Industries, Woman’s World, and Ganto’s. Mr. Jankowski began his career in 1975 as an Executive Trainee for R.H. Macy’s. Mr. Jankowski currently serves on the Board of Directors of the Accessories Council, FIT Accessories Advisory and the Elizabeth Carter Beach Association. Mr. Jankowski received his B.Sc. in management and commerce marketing from Rider University.</w:t>
      </w:r>
    </w:p>
    <w:p>
      <w:pPr>
        <w:spacing w:after="0" w:line="81"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believe Mr. Jankowski’s prior experience in the retail industry and with the XpresSpa business qualifies him to serve on our Board of Directors.</w:t>
      </w:r>
    </w:p>
    <w:p>
      <w:pPr>
        <w:spacing w:after="0" w:line="50" w:lineRule="exact"/>
        <w:rPr>
          <w:sz w:val="20"/>
          <w:szCs w:val="20"/>
          <w:color w:val="auto"/>
        </w:rPr>
      </w:pPr>
    </w:p>
    <w:p>
      <w:pPr>
        <w:jc w:val="both"/>
        <w:ind w:left="1260" w:right="7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Janine Canale </w:t>
      </w:r>
      <w:r>
        <w:rPr>
          <w:rFonts w:ascii="Times New Roman" w:cs="Times New Roman" w:eastAsia="Times New Roman" w:hAnsi="Times New Roman"/>
          <w:sz w:val="18"/>
          <w:szCs w:val="18"/>
          <w:color w:val="auto"/>
        </w:rPr>
        <w:t>joined us in March 2017 as the Controller of XpresSpa and has served as our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Officer since June 19, 2018 and our Principal Financial Officer since July 10, 2018. Prior to joining the Company, Ms. Canale most recently was an auditor at BDO USA, LLP from 2011 to 2017 and began her career at CohnReznick LLP from 2006 to 2011. Ms. Canale holds a B.B.A. in Accounting from Adelphi University and an M.B.A. with a concentration in Finance from Hofstra University. Ms. Canale is a Certified Public Accountant and is a member of the American Institute of Certified Public Accountants.</w:t>
      </w:r>
    </w:p>
    <w:p>
      <w:pPr>
        <w:spacing w:after="0" w:line="75"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Bruce T. Bernstein </w:t>
      </w:r>
      <w:r>
        <w:rPr>
          <w:rFonts w:ascii="Times New Roman" w:cs="Times New Roman" w:eastAsia="Times New Roman" w:hAnsi="Times New Roman"/>
          <w:sz w:val="18"/>
          <w:szCs w:val="18"/>
          <w:color w:val="auto"/>
        </w:rPr>
        <w:t>joined our Board of Directors in February 2016 and has served as the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since February 2018. Mr. Bernstein has over thirty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Neurotrope, Inc. Mr. Bernstein is also a member of the board of Summit Digital Health, a laser based blood glucose monitor distributor, based in New Jersey. Mr. Bernstein holds a B.B.A. from City University of New York (Baruch).</w:t>
      </w:r>
    </w:p>
    <w:p>
      <w:pPr>
        <w:spacing w:after="0" w:line="92"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believe Mr. Bernstein’s extensive experience in the securities industry qualifies him to serve on our Board of Directors.</w:t>
      </w:r>
    </w:p>
    <w:p>
      <w:pPr>
        <w:spacing w:after="0" w:line="50"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Engelman </w:t>
      </w:r>
      <w:r>
        <w:rPr>
          <w:rFonts w:ascii="Times New Roman" w:cs="Times New Roman" w:eastAsia="Times New Roman" w:hAnsi="Times New Roman"/>
          <w:sz w:val="18"/>
          <w:szCs w:val="18"/>
          <w:color w:val="auto"/>
        </w:rPr>
        <w:t>has been our director since December 2010. Mr. Engelman also serves as an independent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Hemisphere Media Group, Inc., a publicly traded Hispanic media company that owns and operates television stations and cable networks in the United States, Puerto Rico and Latin America. Mr. Engelman is a co-founder of Classic Media, Inc. (“Classic Media”), a global family and children’s entertainment company where he served as co-president from 2001 to 2006 and 2008 to present. Classic Media currently is a wholly owned subsidiary of NBC Universal, a Comcast Company. From 1997 to 2001, Mr. Engelman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from Harvard College.</w:t>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Engelman will not be a candidate for reelection at the 2018 annual meeting.</w:t>
      </w:r>
    </w:p>
    <w:p>
      <w:pPr>
        <w:spacing w:after="0" w:line="113"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our director since July 2012, and was a director of Innovate/Protect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November 2011 through the consummation of the merger with us. In a career spanning over forty years, Mr. Stout has been involved in virtually all facets of intellectual property law. Mr. Stout has been a partner at a law firm Fitch, Even, Tabin &amp; Flannery LLP since 2015 and he had been a senior partner at the law</w:t>
      </w:r>
    </w:p>
    <w:p>
      <w:pPr>
        <w:spacing w:after="0" w:line="2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0" w:name="page21"/>
    <w:bookmarkEnd w:id="2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2" w:lineRule="auto"/>
        <w:rPr>
          <w:sz w:val="20"/>
          <w:szCs w:val="20"/>
          <w:color w:val="auto"/>
        </w:rPr>
      </w:pPr>
      <w:r>
        <w:rPr>
          <w:rFonts w:ascii="Times New Roman" w:cs="Times New Roman" w:eastAsia="Times New Roman" w:hAnsi="Times New Roman"/>
          <w:sz w:val="18"/>
          <w:szCs w:val="18"/>
          <w:color w:val="auto"/>
        </w:rPr>
        <w:t>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91"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believe Mr. Stout’s experience in intellectual property law qualifies him to serve on our Board of Directors.</w:t>
      </w:r>
    </w:p>
    <w:p>
      <w:pPr>
        <w:spacing w:after="0" w:line="50"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Salvatore Giardina </w:t>
      </w:r>
      <w:r>
        <w:rPr>
          <w:rFonts w:ascii="Times New Roman" w:cs="Times New Roman" w:eastAsia="Times New Roman" w:hAnsi="Times New Roman"/>
          <w:sz w:val="18"/>
          <w:szCs w:val="18"/>
          <w:color w:val="auto"/>
        </w:rPr>
        <w:t>joined our Board of Directors in May 2016. Mr. Giardina has served as Chief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Pragma Securities LLC and its holding company, Pragma Weeden Holdings LLC, since 2009. From 2006 through 2008, Mr. Giardina served as S.V.P. and Chief Financial Officer of G-Trade Services LLC and ConvergEx Global Markets LLC. From 2002 through 2006, Mr. Giardina served as Vice President and Chief Financial Officer of Ladenburg Thalmann Financial Services Inc., the publicly-traded holding company of Ladenburg Thalmann &amp; Co., Inc., where Mr. Giardina served as its Executive Vice President and Chief Financial Officer from 1998 through 2006 and as its Controller from 1990 through 1998. From 1983 through 1990, Mr. Giardina was an auditor with the national public accounting firm of Laventhol &amp; Horwath. Mr. Giardina served as a director of National Holdings Corporation from 2012 through 2016 and as Chairman of its Audit Committee from 2013 through 2016. Mr. Giardina is a certified public accountant and is Series 24 and Series 27 registered.</w:t>
      </w:r>
    </w:p>
    <w:p>
      <w:pPr>
        <w:spacing w:after="0" w:line="29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believe Mr. Giardina’s extensive financial expertise and his practical and management experience qualifies him to serve on our Board of Directors and as a member and the chairperson of the audit committee of our Board of Directors.</w:t>
      </w:r>
    </w:p>
    <w:p>
      <w:pPr>
        <w:spacing w:after="0" w:line="64"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K. Abbe </w:t>
      </w:r>
      <w:r>
        <w:rPr>
          <w:rFonts w:ascii="Times New Roman" w:cs="Times New Roman" w:eastAsia="Times New Roman" w:hAnsi="Times New Roman"/>
          <w:sz w:val="18"/>
          <w:szCs w:val="18"/>
          <w:color w:val="auto"/>
        </w:rPr>
        <w:t>joined our Board of Directors in March 2016. Mr. Abbe is the Co-founder and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Principal and Managing Partner of Iroquois Capital Management, LLC, the Investment Advisor to Iroquois Capital LP and Iroquois Capital (offshore) Ltd. Mr. Abbe has served as Co-Chief Investment Officer of Iroquois Capital since its inception in 2003. Previously, Mr. Abbe co-founded and served as Co-Chief Investment Officer of Vertical Ventures, LLC, a merchant bank. Prior to that, he was employed by Lehman Brothers and served as Senior Managing Director at Gruntal &amp; Company, LLC, where he also served on the firm’s Board of Directors. Mr. Abbe also previously served as Founding Partner at Hampshire Securities. He currently serves on the investment committee of Hobart and William Smith Colleges Endowment Fund.</w:t>
      </w:r>
    </w:p>
    <w:p>
      <w:pPr>
        <w:spacing w:after="0" w:line="81"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believe Mr. Abbe’s extensive experience in the securities industry qualifies him to serve on our Board of Directors.</w:t>
      </w:r>
    </w:p>
    <w:p>
      <w:pPr>
        <w:spacing w:after="0" w:line="50"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R. Heyer </w:t>
      </w:r>
      <w:r>
        <w:rPr>
          <w:rFonts w:ascii="Times New Roman" w:cs="Times New Roman" w:eastAsia="Times New Roman" w:hAnsi="Times New Roman"/>
          <w:sz w:val="18"/>
          <w:szCs w:val="18"/>
          <w:color w:val="auto"/>
        </w:rPr>
        <w:t>joined our Board of Directors in December 2016. Mr. Heyer is the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founder of Mistral Capital Management, LLC, a private equity fund manager. Prior to founding Mistral, he served as a Founding Managing Partner of Trimaran Capital Partners, L.L.C. Mr. Heyer was formerly a Vice Chairman of CIBC World Markets Corp. and co-head of CIBC Argosy Merchant Banking Funds. Prior to joining CIBC World Markets Corp. in 1995, Mr. Heyer was a founder and Managing Director of The Argosy Group L.P. Before Argosy, Mr. Heyer was a Managing Director at Drexel Burnham Lambert Incorporated and previous to that, he worked at Shearman/American Express. Mr. Heyer serves as a director of Jamba, Inc. and The Hain Celestial Group, both of which are publicly traded companies. He also serves on the boards of Mistral’s portfolio companies. Mr. Heyer also serves as a member of the Executive Committee and Board of Trustees of the University of Pennsylvania and the University of Pennsylvania Health System.</w:t>
      </w:r>
    </w:p>
    <w:p>
      <w:pPr>
        <w:spacing w:after="0" w:line="2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1" w:name="page22"/>
    <w:bookmarkEnd w:id="2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We believe Mr. Heyer’s extensive experience in the securities industry qualifies him to serve on our Board of Directors.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04" w:lineRule="exact"/>
        <w:rPr>
          <w:sz w:val="20"/>
          <w:szCs w:val="20"/>
          <w:color w:val="auto"/>
        </w:rPr>
      </w:pPr>
    </w:p>
    <w:p>
      <w:pPr>
        <w:jc w:val="both"/>
        <w:ind w:left="1260" w:right="7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Meeting Attendance. </w:t>
      </w:r>
      <w:r>
        <w:rPr>
          <w:rFonts w:ascii="Times New Roman" w:cs="Times New Roman" w:eastAsia="Times New Roman" w:hAnsi="Times New Roman"/>
          <w:sz w:val="18"/>
          <w:szCs w:val="18"/>
          <w:color w:val="auto"/>
        </w:rPr>
        <w:t>During the fiscal year ended December 31, 2017 there were 13 meetings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The various committees of the Board of Directors met a total of 8 times. No director attended fewer than 75% of the total number of meetings of the Board of Directors and of committees of the Board of Directors on which he served during fiscal 2017. The Board of Directors has adopted a policy under which each member of the Board of Directors is strongly encouraged, but not required, to attend each annual meeting of our stockholders.</w:t>
      </w:r>
    </w:p>
    <w:p>
      <w:pPr>
        <w:spacing w:after="0" w:line="75"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met 5 times during fiscal 2017. This committee currently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(3) members, Salvatore Giardina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 All members of the Audit Committee satisfy the current independence standards promulgated by the SEC and The Nasdaq Stock Market (“Nasdaq”), as such standards apply specifically to members of audit committees. The Board of Directors has determined that both Messrs. Giardina and Bernstein are “audit committee financial experts,” as defined by the SEC in Item 407 of Regulation S-K.</w:t>
      </w:r>
    </w:p>
    <w:p>
      <w:pPr>
        <w:spacing w:after="0" w:line="82"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1260" w:right="7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met 2 times during fiscal 2017. This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has two (2) members, Bruce T. Bernstein (Chairman) and Donald E. Stout.</w:t>
      </w:r>
    </w:p>
    <w:p>
      <w:pPr>
        <w:spacing w:after="0" w:line="51"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2006 Stock Option Plan (the “2006 Plan”). The Compensation Committee is responsible for the determination of the compensation of our Chief Executive Officer, and conducts its decision-making process with respect to that action without the Chief Executive Officer present, and establishment and reviewing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 During fiscal year 2017, based on the recommendation of management, the Compensation Committee did not engage third party compensation consultants.</w:t>
      </w:r>
    </w:p>
    <w:p>
      <w:pPr>
        <w:spacing w:after="0" w:line="81"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 xml:space="preserve">Both members of the Compensation Committee qualify as independent under the definition promulgated by Nasdaq. 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met 1 time during fiscal year 2017 and currently has two (2) members, Bruce T. Bernstein and Donald E. Stout. The Nominating and Corporate Governance Committee’s role and responsibilities are set forth in the Nominating and Corporate Governance Committee’s written charter and include to:</w:t>
      </w:r>
    </w:p>
    <w:p>
      <w:pPr>
        <w:spacing w:after="0" w:line="154" w:lineRule="exact"/>
        <w:rPr>
          <w:sz w:val="20"/>
          <w:szCs w:val="20"/>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184"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2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68345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2" w:name="page23"/>
    <w:bookmarkEnd w:id="2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980" w:hanging="352"/>
        <w:spacing w:after="0"/>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11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54"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and professional and personal experiences and expertise relevant to our growth strategy.</w:t>
      </w:r>
    </w:p>
    <w:p>
      <w:pPr>
        <w:spacing w:after="0" w:line="81"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Both members of the Nominating and Corporate Governance Committee qualify as independent under the definition promulgated by Nasdaq. 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7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 xml:space="preserve">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www.xpresspagroup.com/corp_governance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Through all of 2017, Andrew Perlman served as our Chief Executive Officer and led all meetings of the Board of Directors. On February 5, 2018, the Board of Directors appointed Bruce T. Bernstein as the non-executive Chairman of the Board of Directors. On April 19, 2018, Mr. Perlman resigned as Chief Executive Officer and as a Director of the Company.</w:t>
      </w:r>
    </w:p>
    <w:p>
      <w:pPr>
        <w:spacing w:after="0" w:line="72"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leadership structure of the Board of Directors currently consists of a Chairman of the Board who oversees the Board meetings. We separate the roles of Chairman of the Board and Chief Executive Officer in recognition of the differences between the two roles. Our Board of Directors believes this division of responsibility is an effective approach for addressing the risks we face. All of our committees of the Board of Directors are comprised of only independent directors. All Board committees are chaired by independent directors who report to the full Board of Directors whenever necessary. We believe this leadership structure helps facilitate efficient decision-making and communication among our directors and fosters efficient Board functioning at meetings.</w:t>
      </w:r>
    </w:p>
    <w:p>
      <w:pPr>
        <w:spacing w:after="0" w:line="77"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Our management is primarily responsible for managing the risks we face in the ordinary course of operating our business. The Board of Directors oversees potential risks and our risk management activities by receiving operational and strategic presentations from management which include discussions of key risks to our business. The Board of Directors also periodically discusses with management important compliance and quality issues. In addition, the Board has delegated risk oversight to each of its key committees within their areas of responsibility. For example, the Audit Committee assists the Board of Directors in fulfilling its oversight of the quality and integrity of our financial statements and our compliance with legal and regulatory requirements relating to our financial statements and related disclosures. The Compensation Committee assists the Board of Directors in its risk oversight function by overseeing strategies with respect to our incentive compensation programs and key employee retention issues. We believe our Board of Directors leadership structure facilitates the division of risk management oversight responsibilities among the Board of Directors committees and enhances the Board of Directors’ efficiency in fulfilling its oversight function with respect to difference areas of our business risks and our risk mitigation practices.</w:t>
      </w:r>
    </w:p>
    <w:p>
      <w:pPr>
        <w:spacing w:after="0" w:line="25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3" w:name="page24"/>
    <w:bookmarkEnd w:id="2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total compensation awarded to, earned or paid by the Company during the fiscal years ended December 31, 2017 and 2016 to (1) Andrew Perlman, our former Chief Executive Officer,</w:t>
      </w:r>
    </w:p>
    <w:p>
      <w:pPr>
        <w:jc w:val="both"/>
        <w:ind w:left="1260" w:right="739" w:firstLine="8"/>
        <w:spacing w:after="0" w:line="255" w:lineRule="auto"/>
        <w:tabs>
          <w:tab w:leader="none" w:pos="15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Edward Jankowski, who has served as our Chief Executive Officer since April 19, 2018 and previously served as our Senior Vice President and Chief Executive Officer of XpresSpa, and (3) Anastasia Nyrkovskaya, our Chief Financial Officer and Treasurer, who are all of our named executive officers as of December 31, 2017.</w:t>
      </w:r>
    </w:p>
    <w:p>
      <w:pPr>
        <w:spacing w:after="0" w:line="11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80" w:type="dxa"/>
            <w:vAlign w:val="bottom"/>
          </w:tcPr>
          <w:p>
            <w:pPr>
              <w:spacing w:after="0"/>
              <w:rPr>
                <w:sz w:val="14"/>
                <w:szCs w:val="14"/>
                <w:color w:val="auto"/>
              </w:rPr>
            </w:pPr>
          </w:p>
        </w:tc>
      </w:tr>
      <w:tr>
        <w:trPr>
          <w:trHeight w:val="160"/>
        </w:trPr>
        <w:tc>
          <w:tcPr>
            <w:tcW w:w="19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Pay</w:t>
            </w:r>
          </w:p>
        </w:tc>
        <w:tc>
          <w:tcPr>
            <w:tcW w:w="9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78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(1)</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(2)</w:t>
            </w: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360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8"/>
                <w:szCs w:val="18"/>
                <w:color w:val="auto"/>
              </w:rPr>
              <w:t>Edward Jankowski</w:t>
            </w:r>
            <w:r>
              <w:rPr>
                <w:rFonts w:ascii="Times New Roman" w:cs="Times New Roman" w:eastAsia="Times New Roman" w:hAnsi="Times New Roman"/>
                <w:sz w:val="27"/>
                <w:szCs w:val="27"/>
                <w:color w:val="auto"/>
                <w:vertAlign w:val="superscript"/>
              </w:rPr>
              <w:t>(3)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361,301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861,301</w:t>
            </w:r>
          </w:p>
        </w:tc>
      </w:tr>
      <w:tr>
        <w:trPr>
          <w:trHeight w:val="230"/>
        </w:trPr>
        <w:tc>
          <w:tcPr>
            <w:tcW w:w="19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r>
      <w:tr>
        <w:trPr>
          <w:trHeight w:val="373"/>
        </w:trPr>
        <w:tc>
          <w:tcPr>
            <w:tcW w:w="3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7"/>
                <w:szCs w:val="27"/>
                <w:color w:val="auto"/>
                <w:vertAlign w:val="superscript"/>
              </w:rPr>
              <w:t>(4)</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608,562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1,183,562</w:t>
            </w:r>
          </w:p>
        </w:tc>
      </w:tr>
      <w:tr>
        <w:trPr>
          <w:trHeight w:val="221"/>
        </w:trPr>
        <w:tc>
          <w:tcPr>
            <w:tcW w:w="1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431,667</w:t>
            </w:r>
          </w:p>
        </w:tc>
        <w:tc>
          <w:tcPr>
            <w:tcW w:w="2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1,235,440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1,667,107</w:t>
            </w:r>
          </w:p>
        </w:tc>
      </w:tr>
      <w:tr>
        <w:trPr>
          <w:trHeight w:val="365"/>
        </w:trPr>
        <w:tc>
          <w:tcPr>
            <w:tcW w:w="3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7"/>
                <w:szCs w:val="27"/>
                <w:color w:val="auto"/>
                <w:vertAlign w:val="superscript"/>
              </w:rPr>
              <w:t>(5)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361,301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961,301</w:t>
            </w:r>
          </w:p>
        </w:tc>
      </w:tr>
      <w:tr>
        <w:trPr>
          <w:trHeight w:val="264"/>
        </w:trPr>
        <w:tc>
          <w:tcPr>
            <w:tcW w:w="194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2016</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333,333</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540,505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873,838</w:t>
            </w:r>
          </w:p>
        </w:tc>
      </w:tr>
      <w:tr>
        <w:trPr>
          <w:trHeight w:val="203"/>
        </w:trPr>
        <w:tc>
          <w:tcPr>
            <w:tcW w:w="194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-1242695</wp:posOffset>
            </wp:positionV>
            <wp:extent cx="1371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4781550</wp:posOffset>
            </wp:positionH>
            <wp:positionV relativeFrom="paragraph">
              <wp:posOffset>-1242695</wp:posOffset>
            </wp:positionV>
            <wp:extent cx="137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4215765</wp:posOffset>
            </wp:positionH>
            <wp:positionV relativeFrom="paragraph">
              <wp:posOffset>-1242695</wp:posOffset>
            </wp:positionV>
            <wp:extent cx="13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-1242695</wp:posOffset>
            </wp:positionV>
            <wp:extent cx="137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-1242695</wp:posOffset>
            </wp:positionV>
            <wp:extent cx="137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24" w:lineRule="exact"/>
        <w:rPr>
          <w:sz w:val="20"/>
          <w:szCs w:val="20"/>
          <w:color w:val="auto"/>
        </w:rPr>
      </w:pPr>
    </w:p>
    <w:p>
      <w:pPr>
        <w:ind w:left="1620" w:hanging="352"/>
        <w:spacing w:after="0"/>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a one-time discretionary cash bonus.</w:t>
      </w:r>
    </w:p>
    <w:p>
      <w:pPr>
        <w:spacing w:after="0" w:line="128" w:lineRule="exact"/>
        <w:rPr>
          <w:rFonts w:ascii="Times New Roman" w:cs="Times New Roman" w:eastAsia="Times New Roman" w:hAnsi="Times New Roman"/>
          <w:sz w:val="18"/>
          <w:szCs w:val="18"/>
          <w:color w:val="auto"/>
        </w:rPr>
      </w:pPr>
    </w:p>
    <w:p>
      <w:pPr>
        <w:jc w:val="both"/>
        <w:ind w:left="1620" w:right="759" w:hanging="352"/>
        <w:spacing w:after="0" w:line="267"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For the assumptions made in the valuation of our equity awards see Notes 2 and 12 to our consolidated financial statements included in our Annual Report on Form 10-K for the year ended December 31, 2017</w:t>
      </w:r>
    </w:p>
    <w:p>
      <w:pPr>
        <w:spacing w:after="0" w:line="80"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Jankowski became the Chief Executive Officer of XpresSpa in June 2016 and our Senior Vice President in December 2016. He currently serves as our Chief Executive Officer.</w:t>
      </w:r>
    </w:p>
    <w:p>
      <w:pPr>
        <w:spacing w:after="0" w:line="67" w:lineRule="exact"/>
        <w:rPr>
          <w:rFonts w:ascii="Times New Roman" w:cs="Times New Roman" w:eastAsia="Times New Roman" w:hAnsi="Times New Roman"/>
          <w:sz w:val="18"/>
          <w:szCs w:val="18"/>
          <w:color w:val="auto"/>
        </w:rPr>
      </w:pPr>
    </w:p>
    <w:p>
      <w:pPr>
        <w:ind w:left="1620" w:right="759" w:hanging="352"/>
        <w:spacing w:after="0" w:line="282"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19, 2018, Mr. Perlman resigned from his position as Chief Executive Officer and as a Director of the Company.</w:t>
      </w:r>
    </w:p>
    <w:p>
      <w:pPr>
        <w:spacing w:after="0" w:line="67" w:lineRule="exact"/>
        <w:rPr>
          <w:rFonts w:ascii="Times New Roman" w:cs="Times New Roman" w:eastAsia="Times New Roman" w:hAnsi="Times New Roman"/>
          <w:sz w:val="18"/>
          <w:szCs w:val="18"/>
          <w:color w:val="auto"/>
        </w:rPr>
      </w:pPr>
    </w:p>
    <w:p>
      <w:pPr>
        <w:jc w:val="both"/>
        <w:ind w:left="1620" w:right="759" w:hanging="352"/>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19, 2018, Ms. Nyrkovskaya resigned from her position as Chief Financial Officer and agreed to remain with the Company in a reduced capacity through October 15, 2018, during which time she is expected to transition certain projects while the Company completes an ongoing search for a new Chief Financial Officer.</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Edward Jankowski</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On January 20, 2017, we entered into an employment agreement with Mr. Jankowski, which has a term of three years. Under the terms of the employment agreement, Mr. Jankowski receives an annual base salary of $375,000 and is eligible to participate in any annual bonus or other incentive compensation program that we may have adopted from time to time for our executive officers. If Mr. Jankowski has earned any bonus or non-equity based incentive compensation which remains unpaid upon termination of employment for any reason, whether by Mr. Jankowski or us other than for cause, then Mr. Jankowski shall be entitled to receive a pro-rata portion of such incentive compensation at the time it is paid.</w:t>
      </w:r>
    </w:p>
    <w:p>
      <w:pPr>
        <w:spacing w:after="0" w:line="81"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the event the employment agreement is terminated for (i) Good Reason by Mr. Jankowski, or (ii) by us without Cause, Mr. Jankowski shall be entitled to receive an amount of base salary (at the rate of base salary in effect immediately prior to such termination) equal to one times the base salary, and COBRA continuation coverage paid in full by us for up to a maximum of twelve months following the date of termination. “Cause” as used in Mr. Jankowski’s employment agreement means: (a) the willful and continued failure of Mr. Jankowski to perform substantially his duties and responsibilities for us (other than any such failure resulting from his death or disability) after a written demand by the Board of Directors for substantial performance is delivered to Mr. Jankowski by us, which specifically identifies the manner in which the Board of Directors believes that Mr. Jankowski has not substantially performed his</w:t>
      </w:r>
    </w:p>
    <w:p>
      <w:pPr>
        <w:spacing w:after="0" w:line="2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4" w:name="page25"/>
    <w:bookmarkEnd w:id="2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2" w:lineRule="auto"/>
        <w:rPr>
          <w:sz w:val="20"/>
          <w:szCs w:val="20"/>
          <w:color w:val="auto"/>
        </w:rPr>
      </w:pPr>
      <w:r>
        <w:rPr>
          <w:rFonts w:ascii="Times New Roman" w:cs="Times New Roman" w:eastAsia="Times New Roman" w:hAnsi="Times New Roman"/>
          <w:sz w:val="18"/>
          <w:szCs w:val="18"/>
          <w:color w:val="auto"/>
        </w:rPr>
        <w:t>duties and responsibilities, which willful and continued failure is not cured by Mr. Jankowski within thirty days of his receipt of such written demand; (b) the conviction of, or plea of guilty or nolo contendere to a felony, (c) an intentional breach of his non-compete obligations, (d) an intentional breach of the non-disclosure and non-solicitation agreement; or (e) a unanimous good faith finding by the Board of Directors that Mr. Jankowski has engaged in fraud, dishonesty, gross negligence or misconduct which, if curable, has not been cured within thirty days after his receipt of a written notice from the Board of Directors stating with reasonable specificity the basis of such finding. “Good Reason” as used Mr. Jankowski’s employment agreement means (a) the assignment, without Mr. Jankowski’s consent, to Mr. Jankowski of duties that result in a substantial diminution of the duties that he assumed; (b) the assignment, without Mr. Jankowski’s consent, of a title that is subordinate to the title Senior Vice President; (c) a reduction in Mr. Jankowski’s base salary; (d) our requirement that Mr. Jankowski regularly report to work in a location that is more than fifty miles from our current New York office, without Mr. Jankowski’s consent; (e) a change in Mr. Jankowski’s reporting relationship other than to our Chief Executive Officer; or (f) a material breach by us of Mr. Perlman’s employment agreement, or (g) our failure to provide compensation and benefits to Mr. Jankowski as required by the employment agreement when due.</w:t>
      </w:r>
    </w:p>
    <w:p>
      <w:pPr>
        <w:spacing w:after="0" w:line="91"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addition, unless Mr. Jankowski is terminated for cause, all applicable equity awards held by him as of the date of termination of employment that would have vested in the one-year period immediately following such termination will vest during the following year, provided that Mr. Jankowski makes himself reasonably available and cooperates with reasonable requests from us involving facts or events relating to us that Mr. Jankowski may have knowledge of.</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Andrew D. Perlman</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February 13, 2013, we entered into an employment agreement with Mr. Perlman, which had a term of three (3) years. Under the terms of that employment agreement, from January 1, 2015, Mr. Perlman received a base salary of $415,000 and was eligible to participate in any annual bonus or other incentive compensation program that we may have adopted from time to time for our executive officers.</w:t>
      </w:r>
    </w:p>
    <w:p>
      <w:pPr>
        <w:spacing w:after="0" w:line="72"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October 13, 2015, we entered into an amendment to the existing employment agreement with Mr. Perlman, pursuant to which the employment period under the employment agreement was extended to December 31, 2017, and Mr. Perlman remained eligible to receive an annual performance bonus according to corporate and personal goals as established by the Compensation Committee in its sole discretion.</w:t>
      </w:r>
    </w:p>
    <w:p>
      <w:pPr>
        <w:spacing w:after="0" w:line="72"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On January 20, 2017, we entered into a new employment agreement with Mr. Perlman that superseded his prior employment agreement. Under the terms of this new employment agreement, Mr. Perlman’s annual base salary was increased to $450,000, retroactive to January 1, 2017. The employment agreement was for a term of three (3) years, provided that the employment agreement would extend in two (2) month increments for up to one</w:t>
      </w:r>
    </w:p>
    <w:p>
      <w:pPr>
        <w:spacing w:after="0" w:line="3" w:lineRule="exact"/>
        <w:rPr>
          <w:sz w:val="20"/>
          <w:szCs w:val="20"/>
          <w:color w:val="auto"/>
        </w:rPr>
      </w:pPr>
    </w:p>
    <w:p>
      <w:pPr>
        <w:jc w:val="both"/>
        <w:ind w:left="1260" w:right="739" w:firstLine="8"/>
        <w:spacing w:after="0" w:line="252" w:lineRule="auto"/>
        <w:tabs>
          <w:tab w:leader="none" w:pos="152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thereafter for each month that the negotiations were not concluded prior to sixth months before the end of the term. The employment agreement provided that Mr. Perlman would be eligible to participate in any annual bonus and other incentive compensation program that we may adopt from time to time for our executive officers and if Mr. Perlman had earned any bonus or non-equity based incentive compensation which remained unpaid upon termination of employment for any reason, whether by Mr. Perlman or us other than for cause, then Mr. Perlman would be entitled to receive a pro-rata portion of such incentive compensation at the time it is paid.</w:t>
      </w:r>
    </w:p>
    <w:p>
      <w:pPr>
        <w:spacing w:after="0" w:line="82"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In the event the employment agreement was terminated for (i) Good Reason by Mr. Perlman, or (ii) by us without Cause, Mr. Perlman was entitled to receive an amount of base salary (at the rate of base salary in effect immediately prior to such termination) equal to the lesser of (x) one times the base salary and (y) two times the base salary payable for the number of full months remaining in the employment period, and COBRA continuation coverage paid in full by us for up to a maximum of twelve months following the date of termination. “Cause” as used in Mr. Perlman’s employment agreement means: (a) the willful and continued failure of Mr. Perlman to perform substantially his duties and responsibilities for us (other than any such failure resulting from his death or disability) after a written demand by the Board of Directors for substantial performance is delivered to Mr. Perlman by us,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an</w:t>
      </w:r>
    </w:p>
    <w:p>
      <w:pPr>
        <w:spacing w:after="0" w:line="2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5" w:name="page26"/>
    <w:bookmarkEnd w:id="2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2" w:lineRule="auto"/>
        <w:rPr>
          <w:sz w:val="20"/>
          <w:szCs w:val="20"/>
          <w:color w:val="auto"/>
        </w:rPr>
      </w:pPr>
      <w:r>
        <w:rPr>
          <w:rFonts w:ascii="Times New Roman" w:cs="Times New Roman" w:eastAsia="Times New Roman" w:hAnsi="Times New Roman"/>
          <w:sz w:val="18"/>
          <w:szCs w:val="18"/>
          <w:color w:val="auto"/>
        </w:rPr>
        <w:t>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in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our requirement that Mr. Perlman regularly report to work in a location that is more than fifty miles from our current New York office, without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our 2012 Employee, Director and Consultant Equity Incentive Plan); or (f) a material breach by us of Mr. Perlman’s employment agreement.</w:t>
      </w:r>
    </w:p>
    <w:p>
      <w:pPr>
        <w:spacing w:after="0" w:line="89"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addition, unless Mr. Perlman were terminated for cause, all applicable equity awards held by him as of the date of termination of employment that would have vested in the one-year period immediately following such termination will vest during the following year, provided that Mr. Perlman made himself reasonably available and cooperated with reasonable requests from us involving facts or events relating to us that Mr. Perlman may have knowledge of. In the event the employment agreement was terminated for good reason by Mr. Perlman, or by us without cause, and Mr. Perlman provided us with a release of claims, he would have been entitled to receive a cash severance payment in the amount of one times his then current base salary and one year of COBRA continuation coverage.</w:t>
      </w:r>
    </w:p>
    <w:p>
      <w:pPr>
        <w:spacing w:after="0" w:line="77"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On April 19, 2018, Andrew resigned from his position as Chief Executive Officer and as a Director of the Company.</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Anastasia Nyrkovskaya</w:t>
      </w:r>
    </w:p>
    <w:p>
      <w:pPr>
        <w:spacing w:after="0" w:line="108"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On December 19, 2014, we entered into an employment agreement with Ms. Nyrkovskaya. Under the terms of her employment agreement, Ms. Nyrkovskaya’s annual base salary was $315,000.</w:t>
      </w:r>
    </w:p>
    <w:p>
      <w:pPr>
        <w:spacing w:after="0" w:line="54"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On October 13, 2015, we entered into an amendment to the existing employment agreement with Ms. Nyrkovskaya, pursuant to which, the employment period under the employment agreement was extended to December 31, 2017. In addition, the annual base salary of Ms. Nyrkovskaya was increased from $315,000 to $325,000 and Ms. Nyrkovskaya remained eligible to receive an annual performance bonus according to corporate and personal goals, as established by the Compensation Committee in its sole discretion.</w:t>
      </w:r>
    </w:p>
    <w:p>
      <w:pPr>
        <w:spacing w:after="0" w:line="76" w:lineRule="exact"/>
        <w:rPr>
          <w:sz w:val="20"/>
          <w:szCs w:val="20"/>
          <w:color w:val="auto"/>
        </w:rPr>
      </w:pPr>
    </w:p>
    <w:p>
      <w:pPr>
        <w:jc w:val="both"/>
        <w:ind w:left="1260" w:right="739" w:firstLine="360"/>
        <w:spacing w:after="0" w:line="257" w:lineRule="auto"/>
        <w:rPr>
          <w:sz w:val="20"/>
          <w:szCs w:val="20"/>
          <w:color w:val="auto"/>
        </w:rPr>
      </w:pPr>
      <w:r>
        <w:rPr>
          <w:rFonts w:ascii="Times New Roman" w:cs="Times New Roman" w:eastAsia="Times New Roman" w:hAnsi="Times New Roman"/>
          <w:sz w:val="18"/>
          <w:szCs w:val="18"/>
          <w:color w:val="auto"/>
        </w:rPr>
        <w:t>On January 20, 2017, we entered into an employment agreement with Ms. Nyrkovskaya that superseded her prior employment agreement. Under the terms of this new employment agreement, Ms. Nyrkovskaya was entitled to receive a base salary of $375,000 from January 1, 2017. The employment agreement was for a term of three</w:t>
      </w:r>
    </w:p>
    <w:p>
      <w:pPr>
        <w:spacing w:after="0" w:line="2" w:lineRule="exact"/>
        <w:rPr>
          <w:sz w:val="20"/>
          <w:szCs w:val="20"/>
          <w:color w:val="auto"/>
        </w:rPr>
      </w:pPr>
    </w:p>
    <w:p>
      <w:pPr>
        <w:ind w:left="1540" w:hanging="272"/>
        <w:spacing w:after="0"/>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provided that the employment agreement would extend in two (2) month increments for up to one</w:t>
      </w:r>
    </w:p>
    <w:p>
      <w:pPr>
        <w:spacing w:after="0" w:line="9" w:lineRule="exact"/>
        <w:rPr>
          <w:rFonts w:ascii="Times New Roman" w:cs="Times New Roman" w:eastAsia="Times New Roman" w:hAnsi="Times New Roman"/>
          <w:sz w:val="18"/>
          <w:szCs w:val="18"/>
          <w:color w:val="auto"/>
        </w:rPr>
      </w:pPr>
    </w:p>
    <w:p>
      <w:pPr>
        <w:jc w:val="both"/>
        <w:ind w:left="1260" w:right="739" w:firstLine="8"/>
        <w:spacing w:after="0" w:line="252" w:lineRule="auto"/>
        <w:tabs>
          <w:tab w:leader="none" w:pos="152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thereafter for each month that the negotiations were not concluded prior to sixth months before the end of the term. The employment agreement provided that Ms. Nyrkovskaya would be eligible to participate in any annual bonus and other incentive compensation program that we may adopt from time to time for our executive officers and if Ms. Nyrkovskaya had earned any bonus or non-equity based incentive compensation which remained unpaid upon termination of employment for any reason, whether by Ms. Nyrkovskaya or us other than for cause, then Ms. Nyrkovskaya would be entitled to receive a pro-rata portion of such incentive compensation at the time it is paid.</w:t>
      </w:r>
    </w:p>
    <w:p>
      <w:pPr>
        <w:spacing w:after="0" w:line="81"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the event the employment agreement was terminated for (i) Good Reason by Ms. Nyrkovskaya, or (ii) by us without Cause, Ms. Nyrkovskaya was entitled to receive an amount of base salary at the rate of base salary in effect immediately prior to such termination equal to twelve months of base salary, and COBRA continuation coverage paid in full by us for up to a maximum of twelve months following the date of termination. In case the agreement was terminated by Ms. Nyrkovskaya without Good Reason, she would provide us with a written notice, at least ninety calendar days prior to such termination. “Cause” as</w:t>
      </w:r>
    </w:p>
    <w:p>
      <w:pPr>
        <w:spacing w:after="0" w:line="2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6" w:name="page27"/>
    <w:bookmarkEnd w:id="2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2" w:lineRule="auto"/>
        <w:rPr>
          <w:sz w:val="20"/>
          <w:szCs w:val="20"/>
          <w:color w:val="auto"/>
        </w:rPr>
      </w:pPr>
      <w:r>
        <w:rPr>
          <w:rFonts w:ascii="Times New Roman" w:cs="Times New Roman" w:eastAsia="Times New Roman" w:hAnsi="Times New Roman"/>
          <w:sz w:val="18"/>
          <w:szCs w:val="18"/>
          <w:color w:val="auto"/>
        </w:rPr>
        <w:t>used in Ms. Nyrkovskaya’s employment agreement means: (a) the willful and continued failure of Ms. Nyrkovskaya to perform substantially her duties and responsibilities for us (other than any such failure resulting from her death or disability) after a written demand by the chief executive officer for substantial performance is delivered to Ms. Nyrkovskaya by us, which specifically identifies the manner in which the chief executive officer believes that Ms. Nyrkovskaya has not substantially performed her duties and responsibilities, which willful and continued failure is not cured by Ms. Nyrkovskaya within thirty days of her receipt of such written demand; (b) the conviction of, or plea of guilty or nolo contendere to a felony, (c) breach of her non-compete obligations, (d) breach of the non-disclosure and non-solicitation agreement; or (e) a good faith finding by the chief executive officer that Ms. Nyrkovskaya has engaged in fraud, intentional dishonesty, or gross negligence. “Good Reason” as used in Ms. Nyrkovskaya’s employment agreement means (a) the assignment, without Ms. Nyrkovskaya’s consent, to Ms. Nyrkovskaya of duties that result in a substantial diminution of the duties that she assumed; (b) the assignment, without Ms. Nyrkovskaya’s consent, of a title that is subordinate to the title Chief Financial Officer; (c) a reduction in Ms. Nyrkovskaya’s base salary; (d) our requirement that Ms. Nyrkovskaya regularly report to work in a location that is more than fifty miles from our current New York office, without Ms. Nyrkovskaya’s consent; (e) a material breach by us of the agreement during its term. Ms. Nyrkovskaya’s employment agreement also includes a covenant not to compete with us or solicit any material commercial relationships of ours for a period of one year after Ms. Nyrkovskaya is actually no longer employed by us</w:t>
      </w:r>
      <w:r>
        <w:rPr>
          <w:rFonts w:ascii="Times New Roman" w:cs="Times New Roman" w:eastAsia="Times New Roman" w:hAnsi="Times New Roman"/>
          <w:sz w:val="18"/>
          <w:szCs w:val="18"/>
          <w:b w:val="1"/>
          <w:bCs w:val="1"/>
          <w:color w:val="auto"/>
        </w:rPr>
        <w:t>.</w:t>
      </w:r>
    </w:p>
    <w:p>
      <w:pPr>
        <w:spacing w:after="0" w:line="289"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addition, unless Ms. Nyrkovskaya were terminated for cause, all applicable equity awards held by her as of the date of termination of employment that would have vested in the one-year period immediately following such termination will vest during the following year, provided that Ms. Nyrkovskaya made herself reasonably available and cooperated with reasonable requests from us involving facts or events relating to us that Ms. Nyrkovskaya may have knowledge of. In the event the employment agreement was terminated for good reason by Ms. Nyrkovskaya, or by us without cause, and Ms. Nyrkovskaya provided us with a release of claims, she would have been entitled to receive a cash severance payment in the amount of one times her then current base salary and one year of COBRA continuation coverage.</w:t>
      </w:r>
    </w:p>
    <w:p>
      <w:pPr>
        <w:spacing w:after="0" w:line="6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June 19, 2018, Ms. Nyrkovskaya resigned from her position as Chief Financial Officer and agreed to remain with the Company in a reduced capacity through October 15, 2018, during which time she is expected to transition certain projects while the Company completes an ongoing search for a new Chief Financial Officer.</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2017 Fiscal Year End</w:t>
      </w:r>
    </w:p>
    <w:p>
      <w:pPr>
        <w:spacing w:after="0" w:line="67"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2017, to each of our named executive officers.</w:t>
      </w:r>
    </w:p>
    <w:p>
      <w:pPr>
        <w:spacing w:after="0" w:line="74"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r>
      <w:tr>
        <w:trPr>
          <w:trHeight w:val="144"/>
        </w:trPr>
        <w:tc>
          <w:tcPr>
            <w:tcW w:w="3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0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r>
      <w:tr>
        <w:trPr>
          <w:trHeight w:val="162"/>
        </w:trPr>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6"/>
        </w:trPr>
        <w:tc>
          <w:tcPr>
            <w:tcW w:w="36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Edward Jankowski</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83,333</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58"/>
              <w:spacing w:after="0" w:line="196" w:lineRule="exact"/>
              <w:rPr>
                <w:sz w:val="20"/>
                <w:szCs w:val="20"/>
                <w:color w:val="auto"/>
              </w:rPr>
            </w:pPr>
            <w:r>
              <w:rPr>
                <w:rFonts w:ascii="Times New Roman" w:cs="Times New Roman" w:eastAsia="Times New Roman" w:hAnsi="Times New Roman"/>
                <w:sz w:val="18"/>
                <w:szCs w:val="18"/>
                <w:color w:val="auto"/>
              </w:rPr>
              <w:t>166,667</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January 17, 2027</w:t>
            </w:r>
          </w:p>
        </w:tc>
        <w:tc>
          <w:tcPr>
            <w:tcW w:w="140" w:type="dxa"/>
            <w:vAlign w:val="bottom"/>
            <w:tcBorders>
              <w:top w:val="single" w:sz="8" w:color="CCEEFF"/>
            </w:tcBorders>
            <w:shd w:val="clear" w:color="auto" w:fill="CCEEFF"/>
          </w:tcPr>
          <w:p>
            <w:pPr>
              <w:spacing w:after="0"/>
              <w:rPr>
                <w:sz w:val="17"/>
                <w:szCs w:val="17"/>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32,816</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20" w:type="dxa"/>
            <w:vAlign w:val="bottom"/>
          </w:tcPr>
          <w:p>
            <w:pPr>
              <w:spacing w:after="0"/>
              <w:rPr>
                <w:sz w:val="18"/>
                <w:szCs w:val="18"/>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13, 2018</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July 26, 2022</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11, 2023</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466,667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333,333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4, 2026</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D. Perlman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17, 2027</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May 6, 2023</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20, 2024</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145,833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4, 2026</w:t>
            </w:r>
          </w:p>
        </w:tc>
      </w:tr>
      <w:tr>
        <w:trPr>
          <w:trHeight w:val="24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Anastasia Nyrkovskaya</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83,333</w:t>
            </w:r>
          </w:p>
        </w:tc>
        <w:tc>
          <w:tcPr>
            <w:tcW w:w="220" w:type="dxa"/>
            <w:vAlign w:val="bottom"/>
          </w:tcPr>
          <w:p>
            <w:pPr>
              <w:spacing w:after="0"/>
              <w:rPr>
                <w:sz w:val="21"/>
                <w:szCs w:val="21"/>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166,667</w:t>
            </w:r>
          </w:p>
        </w:tc>
        <w:tc>
          <w:tcPr>
            <w:tcW w:w="2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January 17, 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-1388745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4919345</wp:posOffset>
            </wp:positionH>
            <wp:positionV relativeFrom="paragraph">
              <wp:posOffset>-1388745</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-1388745</wp:posOffset>
            </wp:positionV>
            <wp:extent cx="137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-1388745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-1388745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128905</wp:posOffset>
            </wp:positionV>
            <wp:extent cx="12350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72" w:lineRule="exact"/>
        <w:rPr>
          <w:sz w:val="20"/>
          <w:szCs w:val="20"/>
          <w:color w:val="auto"/>
        </w:rPr>
      </w:pPr>
    </w:p>
    <w:p>
      <w:pPr>
        <w:ind w:left="1620" w:right="759" w:hanging="352"/>
        <w:spacing w:after="0" w:line="282"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is determined by multiplying the number of shares by $1.37, the closing price of our common stock on Nasdaq on December 29, 2017, the last day of our fiscal year.</w:t>
      </w:r>
    </w:p>
    <w:p>
      <w:pPr>
        <w:spacing w:after="0" w:line="21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7" w:name="page28"/>
    <w:bookmarkEnd w:id="2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20" w:right="759" w:hanging="352"/>
        <w:spacing w:after="0" w:line="282"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vest in twelve equal quarterly increments (8.33% per quarter) over three years, subject to the participant’s continuous service on the relevant vesting date.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qualified or nonqualified defined benefit plans.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do not have any nonqualified defined contribution plans or other deferred compensation plans.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following summarizes the potential payments to each of our named executive officers as of December 31, 2017 upon termination or change-in-control. The discussion assumes that such event occurred on December 29, 2017, the last business day of our fiscal year, at which time the closing price of our common stock as listed on Nasdaq was $1.37 per share. For a further discussion of these provisions see the “Narrative Disclosure to Summary Compensation Table and Grants of Plan-Based Awards Table” above.</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Edward Jankowski</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the event Mr. Jankowski’s employment was terminated for (i) Good Reason by Mr. Jankowski, or (ii) by us without Cause on December 29, 2017, Mr. Jankowski would have received severance in the amount of one year of base salary, and COBRA payments totaling approximately $39,600.</w:t>
      </w:r>
    </w:p>
    <w:p>
      <w:pPr>
        <w:spacing w:after="0" w:line="68"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In addition, in the event a change-in-control of our wholly-owned subsidiary XpresSpa had occurred on December 29, 2017, Mr. Jankowski would have been entitled to receive 2% of the amount equal to the total amount of cash and the fair market value of all non-cash consideration paid or payable to us or our stockholders in connection with the change of control, net of transaction expenses payable to third parties and less the original acquisition price of wholly-owned subsidiary XpresSpa of $45,000,000 and less any past or future capital contributions made or to be made by us or our stockholders. A change of control of our wholly-owned subsidiary XpresSpa means (A) an acquisition or series of acquisitions by a person or entity unrelated to the Company of more than fifty percent (50%) of the outstanding shares or securities entitled to vote for the election of directors or similar managing authority of wholly-owned subsidiary XpresSpa or (B) a sale or disposition of all or substantially all of wholly-owned subsidiary XpresSpa’s assets to an unrelated third party. In the event that a closing of a public spin-off or initial public offering of our wholly-owned subsidiary XpresSpa had occurred on December 29, 2017, Mr. Jankowski would have been entitled to receive deferred stock units (“DSUs”), pursuant to wholly-owned subsidiary XpresSpa’s equity incentive plan then in effect, equal to 2% of wholly-owned subsidiary XpresSpa’s outstanding shares of common stock immediately after the such public offering; which DSUs would have been settled in common stock of XpresSpa twelve (12) months after the date of such public offering, which had no intrinsic value as of December 29, 2017.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Andrew D. Perlman</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the event Mr. Perlman’s employment was terminated for (i) Good Reason by Mr. Perlman, or (ii) by us without Cause on December 29, 2017, Mr. Perlman would have received severance in the amount of one year of base salary, and COBRA payments totaling approximately $57,000. In addition, in the event a change-in-control had occurred on December 29, 2017, Mr. Perlman would have received severance in the amount of one year of base salary, or $450,000, and Mr. Perlman would have been entitled to receive 75% acceleration of certain unvested options, which had no intrinsic value as of December 29, 2017.</w:t>
      </w:r>
    </w:p>
    <w:p>
      <w:pPr>
        <w:spacing w:after="0" w:line="80"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On April 19, 2018 (the “Separation Date”), we entered into a separation agreement (the “Separation Agreement”) with Mr. Perlman related to his resignation as Chief Executive Officer and as our Director. The Separation Agreement includes a release by Mr. Perlman of claims against us and certain related parties. In connection with the entry into the Settlement Agreement, Mr. Perlman agreed that he would continue to be subject to the Non-Disclosure Agreement between Mr. Perlman and us that contains a covenant protecting our confidential information. In addition, Mr. Perlman agreed to be subject to a</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8" w:name="page29"/>
    <w:bookmarkEnd w:id="2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5" w:lineRule="auto"/>
        <w:rPr>
          <w:sz w:val="20"/>
          <w:szCs w:val="20"/>
          <w:color w:val="auto"/>
        </w:rPr>
      </w:pPr>
      <w:r>
        <w:rPr>
          <w:rFonts w:ascii="Times New Roman" w:cs="Times New Roman" w:eastAsia="Times New Roman" w:hAnsi="Times New Roman"/>
          <w:sz w:val="18"/>
          <w:szCs w:val="18"/>
          <w:color w:val="auto"/>
        </w:rPr>
        <w:t>covenant not to compete with us for a two-year period following the Separation Date, a covenant prohibiting Mr. Perlman from soliciting or hiring our employees for a two-year period following the Separation Date, and a covenant not to disparage us or any of our businesses, services, products, affiliates or current, former or future directors and named executive officers (in their capacity as such). The Separation Agreement also includes certain affirmative covenants binding on Mr. Perlman, including, without limitation, a covenant to reasonably cooperate with us in connection with any action, suit, or proceeding, whether or not by or in the right of us and whether civil, criminal, administrative, investigative or otherwise.</w:t>
      </w:r>
    </w:p>
    <w:p>
      <w:pPr>
        <w:spacing w:after="0" w:line="81" w:lineRule="exact"/>
        <w:rPr>
          <w:sz w:val="20"/>
          <w:szCs w:val="20"/>
          <w:color w:val="auto"/>
        </w:rPr>
      </w:pPr>
    </w:p>
    <w:p>
      <w:pPr>
        <w:jc w:val="both"/>
        <w:ind w:left="1260" w:right="739" w:firstLine="360"/>
        <w:spacing w:after="0" w:line="244" w:lineRule="auto"/>
        <w:rPr>
          <w:sz w:val="20"/>
          <w:szCs w:val="20"/>
          <w:color w:val="auto"/>
        </w:rPr>
      </w:pPr>
      <w:r>
        <w:rPr>
          <w:rFonts w:ascii="Times New Roman" w:cs="Times New Roman" w:eastAsia="Times New Roman" w:hAnsi="Times New Roman"/>
          <w:sz w:val="18"/>
          <w:szCs w:val="18"/>
          <w:color w:val="auto"/>
        </w:rPr>
        <w:t>In consideration of the foregoing release and covenants, we will pay Mr. Perlman, severance in an amount equal to $125,000 (the “Deferred Cash”), payable in monthly installments of $20,833.34 over the six (6) month period following the date that we achieve both of the following objectives at the end of an applicable calendar quarter as shown in the Form 10-Q or Form 10-K reporting such quarter (the “Cash Objectives”): (i) our Working Capital exceeds $6,368,000, and (ii) Free Cash exceeds $6,368,000; provided that if we do not achieve the Cash Objectives prior to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18"/>
          <w:szCs w:val="18"/>
          <w:color w:val="auto"/>
        </w:rPr>
        <w:t>) anniversary of the Separation Date, the Deferred Cash shall be forfeited and no amounts shall be payable under the Separation Agreement. For purposes of the Separation Agreement, “Free Cash” means cash and cash equivalents as defined in our Form 10-K and calculated consistently, less (i) any cash or cash equivalents that are restricted in any way, and (ii) any cash received by us from a debt, equity or other capital raise subsequent to the Separation Date. For purposes of the Separation Agreement, “Working Capital” shall mean (i) current assets less current liabilities, prepared in accordance with GAAP and consistent with our prior filings of Form 10-K, less (ii) any cash received by us from a debt, equity or other capital raise subsequent to the Separation Date.</w:t>
      </w:r>
    </w:p>
    <w:p>
      <w:pPr>
        <w:spacing w:after="0" w:line="90"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Further, in consideration of the foregoing release and covenants, an aggregate of 153,302 of Mr. Perlman’s restricted stock units that vested on May 17, 2018 (the “Current RSUs”) will be subject to a restriction on sale until the earlier of: (i) the one (1) year anniversary of the Separation Date; and (ii) the date upon which the volume weighted average price (“VWAP”) for our common stock for thirty (30) consecutive trading days exceeds $1.50 (as adjusted by us in our discretion for any stock split, subdivision, dividend or distribution).</w:t>
      </w:r>
    </w:p>
    <w:p>
      <w:pPr>
        <w:spacing w:after="0" w:line="7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granted to Mr. Perlman an additional 150,000 restricted stock units, which shall be fully vested as of the date of grant (the “Granted RSUs”); provided, however, that such Granted RSUs will be subject to a restriction on sale until the earlier of: (i) the one (1) year anniversary of the Separation Date; and (ii) the date upon which the VWAP for our common stock for thirty (30) consecutive trading days exceeds $1.50 (as adjusted by us in our discretion for any stock split, subdivision, dividend or distribution).</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Anastasia Nyrkovskaya</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event Ms. Nyrkovskaya’s employment was terminated for (i) Good Reason by Ms. Nyrkovskaya, or</w:t>
      </w:r>
    </w:p>
    <w:p>
      <w:pPr>
        <w:spacing w:after="0" w:line="27" w:lineRule="exact"/>
        <w:rPr>
          <w:sz w:val="20"/>
          <w:szCs w:val="20"/>
          <w:color w:val="auto"/>
        </w:rPr>
      </w:pPr>
    </w:p>
    <w:p>
      <w:pPr>
        <w:jc w:val="both"/>
        <w:ind w:left="1260" w:right="739" w:firstLine="8"/>
        <w:spacing w:after="0" w:line="254" w:lineRule="auto"/>
        <w:tabs>
          <w:tab w:leader="none" w:pos="153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us without Cause on December 29, 2017, Ms. Nyrkovskaya would have received severance in the amount of one year of base salary, or $375,000, and COBRA payments totaling approximately $57,000. In addition, upon a change-in-control, Ms. Nyrkovskaya would have been entitled to receive 75% acceleration of certain unvested options, which had no intrinsic value as of December 29, 2017.</w:t>
      </w:r>
    </w:p>
    <w:p>
      <w:pPr>
        <w:spacing w:after="0" w:line="7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On June 19, 2018, Ms. Nyrkovskaya resigned from her position as Chief Financial Officer and agreed to remain with the Company in a reduced capacity through October 15, 2018, during which time she is expected to transition certain projects while the Company completes an ongoing search for a new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29" w:name="page30"/>
    <w:bookmarkEnd w:id="2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the fiscal year ended December 31, 2017. Directors who are employed by us are not compensated for their service on our Board of Directors.</w:t>
      </w:r>
    </w:p>
    <w:p>
      <w:pPr>
        <w:spacing w:after="0" w:line="10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in Cash</w:t>
            </w:r>
          </w:p>
        </w:tc>
        <w:tc>
          <w:tcPr>
            <w:tcW w:w="7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620" w:type="dxa"/>
            <w:vAlign w:val="bottom"/>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ind w:left="120"/>
              <w:spacing w:after="0" w:line="23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1"/>
                <w:szCs w:val="21"/>
                <w:b w:val="1"/>
                <w:bCs w:val="1"/>
                <w:color w:val="auto"/>
                <w:vertAlign w:val="superscript"/>
              </w:rPr>
              <w:t>(1)</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64"/>
        </w:trPr>
        <w:tc>
          <w:tcPr>
            <w:tcW w:w="5640" w:type="dxa"/>
            <w:vAlign w:val="bottom"/>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Bruce T. Bernstein</w:t>
            </w:r>
            <w:r>
              <w:rPr>
                <w:rFonts w:ascii="Times New Roman" w:cs="Times New Roman" w:eastAsia="Times New Roman" w:hAnsi="Times New Roman"/>
                <w:sz w:val="27"/>
                <w:szCs w:val="27"/>
                <w:color w:val="auto"/>
                <w:vertAlign w:val="superscript"/>
              </w:rPr>
              <w:t>(2)</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22"/>
                <w:szCs w:val="22"/>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75,862</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125,862</w:t>
            </w:r>
          </w:p>
        </w:tc>
        <w:tc>
          <w:tcPr>
            <w:tcW w:w="0" w:type="dxa"/>
            <w:vAlign w:val="bottom"/>
          </w:tcPr>
          <w:p>
            <w:pPr>
              <w:spacing w:after="0"/>
              <w:rPr>
                <w:sz w:val="1"/>
                <w:szCs w:val="1"/>
                <w:color w:val="auto"/>
              </w:rPr>
            </w:pPr>
          </w:p>
        </w:tc>
      </w:tr>
      <w:tr>
        <w:trPr>
          <w:trHeight w:val="270"/>
        </w:trPr>
        <w:tc>
          <w:tcPr>
            <w:tcW w:w="58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7"/>
                <w:szCs w:val="27"/>
                <w:color w:val="auto"/>
                <w:vertAlign w:val="superscript"/>
              </w:rPr>
              <w:t>(3)</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3"/>
                <w:szCs w:val="2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66,937</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116,937</w:t>
            </w: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7"/>
                <w:szCs w:val="27"/>
                <w:color w:val="auto"/>
                <w:vertAlign w:val="superscript"/>
              </w:rPr>
              <w:t>(4)</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71,399</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121,399</w:t>
            </w:r>
          </w:p>
        </w:tc>
        <w:tc>
          <w:tcPr>
            <w:tcW w:w="0" w:type="dxa"/>
            <w:vAlign w:val="bottom"/>
          </w:tcPr>
          <w:p>
            <w:pPr>
              <w:spacing w:after="0"/>
              <w:rPr>
                <w:sz w:val="1"/>
                <w:szCs w:val="1"/>
                <w:color w:val="auto"/>
              </w:rPr>
            </w:pPr>
          </w:p>
        </w:tc>
      </w:tr>
      <w:tr>
        <w:trPr>
          <w:trHeight w:val="270"/>
        </w:trPr>
        <w:tc>
          <w:tcPr>
            <w:tcW w:w="586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Salvatore Giardina</w:t>
            </w:r>
            <w:r>
              <w:rPr>
                <w:rFonts w:ascii="Times New Roman" w:cs="Times New Roman" w:eastAsia="Times New Roman" w:hAnsi="Times New Roman"/>
                <w:sz w:val="27"/>
                <w:szCs w:val="27"/>
                <w:color w:val="auto"/>
                <w:vertAlign w:val="superscript"/>
              </w:rPr>
              <w:t>(5)</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3"/>
                <w:szCs w:val="23"/>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75,862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125,862</w:t>
            </w: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Richard K. Abbe</w:t>
            </w:r>
            <w:r>
              <w:rPr>
                <w:rFonts w:ascii="Times New Roman" w:cs="Times New Roman" w:eastAsia="Times New Roman" w:hAnsi="Times New Roman"/>
                <w:sz w:val="27"/>
                <w:szCs w:val="27"/>
                <w:color w:val="auto"/>
                <w:vertAlign w:val="superscript"/>
              </w:rPr>
              <w:t>(6)</w:t>
            </w:r>
          </w:p>
        </w:tc>
        <w:tc>
          <w:tcPr>
            <w:tcW w:w="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66,937</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116,937</w:t>
            </w:r>
          </w:p>
        </w:tc>
        <w:tc>
          <w:tcPr>
            <w:tcW w:w="0" w:type="dxa"/>
            <w:vAlign w:val="bottom"/>
          </w:tcPr>
          <w:p>
            <w:pPr>
              <w:spacing w:after="0"/>
              <w:rPr>
                <w:sz w:val="1"/>
                <w:szCs w:val="1"/>
                <w:color w:val="auto"/>
              </w:rPr>
            </w:pPr>
          </w:p>
        </w:tc>
      </w:tr>
      <w:tr>
        <w:trPr>
          <w:trHeight w:val="355"/>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R. Heyer</w:t>
            </w:r>
            <w:r>
              <w:rPr>
                <w:rFonts w:ascii="Times New Roman" w:cs="Times New Roman" w:eastAsia="Times New Roman" w:hAnsi="Times New Roman"/>
                <w:sz w:val="27"/>
                <w:szCs w:val="27"/>
                <w:color w:val="auto"/>
                <w:vertAlign w:val="superscript"/>
              </w:rPr>
              <w:t>(7)</w:t>
            </w:r>
          </w:p>
        </w:tc>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50,000</w:t>
            </w:r>
          </w:p>
        </w:tc>
        <w:tc>
          <w:tcPr>
            <w:tcW w:w="220" w:type="dxa"/>
            <w:vAlign w:val="bottom"/>
          </w:tcPr>
          <w:p>
            <w:pPr>
              <w:spacing w:after="0"/>
              <w:rPr>
                <w:sz w:val="24"/>
                <w:szCs w:val="2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66,937</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116,937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-1090930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-1090930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-1090930</wp:posOffset>
            </wp:positionV>
            <wp:extent cx="137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117475</wp:posOffset>
            </wp:positionV>
            <wp:extent cx="12350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75" w:lineRule="exact"/>
        <w:rPr>
          <w:sz w:val="20"/>
          <w:szCs w:val="20"/>
          <w:color w:val="auto"/>
        </w:rPr>
      </w:pPr>
    </w:p>
    <w:p>
      <w:pPr>
        <w:jc w:val="both"/>
        <w:ind w:left="1620" w:right="759" w:hanging="352"/>
        <w:spacing w:after="0" w:line="267"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in accordance with FASB ASC </w:t>
      </w:r>
      <w:r>
        <w:rPr>
          <w:rFonts w:ascii="Times New Roman" w:cs="Times New Roman" w:eastAsia="Times New Roman" w:hAnsi="Times New Roman"/>
          <w:sz w:val="18"/>
          <w:szCs w:val="18"/>
          <w:i w:val="1"/>
          <w:iCs w:val="1"/>
          <w:color w:val="auto"/>
        </w:rPr>
        <w:t>Topic 718</w:t>
      </w:r>
      <w:r>
        <w:rPr>
          <w:rFonts w:ascii="Times New Roman" w:cs="Times New Roman" w:eastAsia="Times New Roman" w:hAnsi="Times New Roman"/>
          <w:sz w:val="18"/>
          <w:szCs w:val="18"/>
          <w:color w:val="auto"/>
        </w:rPr>
        <w:t>. See Notes 2 and 12 of the consolidated financial statements disclosed in the Form 10-K for the year ended December 31, 2017, for the assumptions made in the valuation of the equity awards.</w:t>
      </w:r>
    </w:p>
    <w:p>
      <w:pPr>
        <w:spacing w:after="0" w:line="135"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Mr. Bernstein held 145,000 fully vested options.</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Mr. Engelman held 187,000 fully vested options.</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Mr. Stout held 172,500 fully vested options.</w:t>
      </w:r>
    </w:p>
    <w:p>
      <w:pPr>
        <w:spacing w:after="0" w:line="198"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Mr. Giardina held 145,000 fully vested options.</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Mr. Abbe held 125,000 fully vested options.</w:t>
      </w:r>
    </w:p>
    <w:p>
      <w:pPr>
        <w:spacing w:after="0" w:line="184"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Mr. Heyer held 75,000 fully vested options.</w:t>
      </w:r>
    </w:p>
    <w:p>
      <w:pPr>
        <w:spacing w:after="0" w:line="117"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reimburse each member of our Board of Directors for reasonable travel and other out-of-pocket expenses in connection with attending meetings of the Board of Directors.</w:t>
      </w:r>
    </w:p>
    <w:p>
      <w:pPr>
        <w:spacing w:after="0" w:line="54"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compensate each of our non-employee directors an annual cash retainer of $50,000. On January 17, 2017, we granted options to purchase shares of our common stock to each of our non-employee directors. Mr. Bernstein and Mr. Giardina each received options to purchase 85,000 shares of our common stock, Mr. Stout received options to purchase 80,000 shares of our common stock, and Mr. Engelman, Mr. Abbe and Mr. Heyer each received options to purchase 75,000 shares of our common stock. The options feature an exercise price of $2.12 per share and vest in equal quarterly installments over a one-year period, with one-fourth vesting on the date of grant and one-fourth vesting at the end of each fiscal quarter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0" w:name="page31"/>
    <w:bookmarkEnd w:id="3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0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2017, with respect to all of our equity compensation plans then in effect:</w:t>
      </w:r>
    </w:p>
    <w:p>
      <w:pPr>
        <w:spacing w:after="0" w:line="8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securities</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 of securities</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62"/>
        </w:trPr>
        <w:tc>
          <w:tcPr>
            <w:tcW w:w="1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reflected</w:t>
            </w:r>
          </w:p>
        </w:tc>
      </w:tr>
      <w:tr>
        <w:trPr>
          <w:trHeight w:val="190"/>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first column)</w:t>
            </w:r>
          </w:p>
        </w:tc>
      </w:tr>
      <w:tr>
        <w:trPr>
          <w:trHeight w:val="24"/>
        </w:trPr>
        <w:tc>
          <w:tcPr>
            <w:tcW w:w="19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3"/>
        </w:trPr>
        <w:tc>
          <w:tcPr>
            <w:tcW w:w="4180" w:type="dxa"/>
            <w:vAlign w:val="bottom"/>
            <w:gridSpan w:val="3"/>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Total equity compensation plans approved by security</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310"/>
        </w:trPr>
        <w:tc>
          <w:tcPr>
            <w:tcW w:w="4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r>
              <w:rPr>
                <w:rFonts w:ascii="Times New Roman" w:cs="Times New Roman" w:eastAsia="Times New Roman" w:hAnsi="Times New Roman"/>
                <w:sz w:val="27"/>
                <w:szCs w:val="27"/>
                <w:color w:val="auto"/>
                <w:vertAlign w:val="superscript"/>
              </w:rPr>
              <w:t>(1)(2)</w:t>
            </w:r>
          </w:p>
        </w:tc>
        <w:tc>
          <w:tcPr>
            <w:tcW w:w="112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4,683,508</w:t>
            </w: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$ 5.39</w:t>
            </w:r>
          </w:p>
        </w:tc>
        <w:tc>
          <w:tcPr>
            <w:tcW w:w="1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8"/>
                <w:szCs w:val="18"/>
                <w:color w:val="auto"/>
              </w:rPr>
              <w:t>2,111,437</w:t>
            </w:r>
          </w:p>
        </w:tc>
      </w:tr>
      <w:tr>
        <w:trPr>
          <w:trHeight w:val="270"/>
        </w:trPr>
        <w:tc>
          <w:tcPr>
            <w:tcW w:w="1940" w:type="dxa"/>
            <w:vAlign w:val="bottom"/>
            <w:tcBorders>
              <w:bottom w:val="single" w:sz="8" w:color="auto"/>
            </w:tcBorders>
          </w:tcPr>
          <w:p>
            <w:pPr>
              <w:spacing w:after="0"/>
              <w:rPr>
                <w:sz w:val="23"/>
                <w:szCs w:val="23"/>
                <w:color w:val="auto"/>
              </w:rPr>
            </w:pPr>
          </w:p>
        </w:tc>
        <w:tc>
          <w:tcPr>
            <w:tcW w:w="2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-505460</wp:posOffset>
            </wp:positionV>
            <wp:extent cx="946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-505460</wp:posOffset>
            </wp:positionV>
            <wp:extent cx="857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-505460</wp:posOffset>
            </wp:positionV>
            <wp:extent cx="857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jc w:val="both"/>
        <w:ind w:left="1620" w:right="759" w:hanging="352"/>
        <w:spacing w:after="0" w:line="261"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of the 2012 Plan, as amended on November 23, 2016, and the 2006 Plan. Under the amended 2012 Plan, a maximum of 7,100,000 shares of common stock may be awarded. The 2012 Plan was originally approved by our stockholders on July 19, 2012, following the merger with Innovate/Protect, replacing our then existing 2006 Plan.</w:t>
      </w:r>
    </w:p>
    <w:p>
      <w:pPr>
        <w:spacing w:after="0" w:line="139" w:lineRule="exact"/>
        <w:rPr>
          <w:rFonts w:ascii="Times New Roman" w:cs="Times New Roman" w:eastAsia="Times New Roman" w:hAnsi="Times New Roman"/>
          <w:sz w:val="18"/>
          <w:szCs w:val="18"/>
          <w:color w:val="auto"/>
        </w:rPr>
      </w:pPr>
    </w:p>
    <w:p>
      <w:pPr>
        <w:jc w:val="both"/>
        <w:ind w:left="1620" w:right="759" w:hanging="352"/>
        <w:spacing w:after="0" w:line="266"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securities to be issued upon exercise of outstanding equity awards are 4,615,942 and 67,566 for the 2012 Plan and the 2006 Plan, respectively. The weighted-average exercise prices of outstanding options are $5.23 and $16.30 for the 2012 Plan and the 2006 Plan,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1" w:name="page32"/>
    <w:bookmarkEnd w:id="3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54"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CohnReznick LLP. In fulfilling its responsibilities for the financial statements for fiscal year ended December 31, 2017, the Audit Committee took the following actions:</w:t>
      </w:r>
    </w:p>
    <w:p>
      <w:pPr>
        <w:spacing w:after="0" w:line="158" w:lineRule="exact"/>
        <w:rPr>
          <w:sz w:val="20"/>
          <w:szCs w:val="20"/>
          <w:color w:val="auto"/>
        </w:rPr>
      </w:pPr>
    </w:p>
    <w:p>
      <w:pPr>
        <w:ind w:left="1980" w:right="759" w:hanging="352"/>
        <w:spacing w:after="0" w:line="282"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2017 with management and CohnReznick LLP, our independent registered public accounting firm;</w:t>
      </w:r>
    </w:p>
    <w:p>
      <w:pPr>
        <w:spacing w:after="0" w:line="121"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Discussed with CohnReznick LLP the matters required to be discussed in accordance with Auditing Standard No. 16 —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and</w:t>
      </w:r>
    </w:p>
    <w:p>
      <w:pPr>
        <w:spacing w:after="0" w:line="121" w:lineRule="exact"/>
        <w:rPr>
          <w:rFonts w:ascii="Times New Roman" w:cs="Times New Roman" w:eastAsia="Times New Roman" w:hAnsi="Times New Roman"/>
          <w:sz w:val="18"/>
          <w:szCs w:val="18"/>
          <w:color w:val="auto"/>
        </w:rPr>
      </w:pPr>
    </w:p>
    <w:p>
      <w:pPr>
        <w:jc w:val="both"/>
        <w:ind w:left="1980" w:right="759" w:hanging="352"/>
        <w:spacing w:after="0" w:line="256" w:lineRule="auto"/>
        <w:tabs>
          <w:tab w:leader="none" w:pos="1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CohnReznick LLP regarding its independence as required by applicable requirements of the Public Company Accounting Oversight Board regarding CohnReznick LLP communications with the Audit Committee and the Audit Committee further discussed with CohnReznick LLP their independence. The Audit Committee also considered the status of pending litigation, taxation matters and other areas of oversight relating to the financial reporting and audit process that the committee determined appropriate.</w:t>
      </w:r>
    </w:p>
    <w:p>
      <w:pPr>
        <w:spacing w:after="0" w:line="80"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CohnReznick LLP, the Audit Committee recommended to the Board of Directors that the audited financial statements be included in our Annual Report on Form 10-K for the fiscal year ended December 31, 2017 for filing with the SEC.</w:t>
      </w:r>
    </w:p>
    <w:p>
      <w:pPr>
        <w:spacing w:after="0" w:line="7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Members of the XpresSpa Group, Inc. Audit Committee</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Bruce T. Bernstein</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Salvatore Giardina</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2" w:name="page33"/>
    <w:bookmarkEnd w:id="3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72"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2017, with the exception of a Form 4 which was not filed on a timely basis on behalf of each of Andrew Perlman (two transactions), Anastasia Nyrkovskaya (two transactions), Jason Charkow, our Senior Vice President, Legal and Business Affairs (two transactions), Edward Jankowski (two transactions), John Engelman (one transaction), Donald E. Stout (one transaction), Salvatore Giardina (one transaction), Richard K. Abbe (one transaction) and Andrew R. Heyer (one transaction), and two Forms 4 which were not filed on a timely basis on behalf of Bruce T. Bernstein (three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3" w:name="page34"/>
    <w:bookmarkEnd w:id="3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Person Transactions Approval Policy</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During the year ended December 31, 2017, we entered into the following related party transactions:</w:t>
      </w:r>
    </w:p>
    <w:p>
      <w:pPr>
        <w:spacing w:after="0" w:line="117"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XpresSpa entered in a credit agreement and secured promissory note (“Debt”) with Rockmore Investment Master Fund Ltd. (“Rockmore”) on April 22, 2015 that was amended on August 8, 2016. The principal amount of the debt is $6,500,000. Rockmore is an investment entity controlled by our board member, Bruce T. Bernstein. We believe the terms of the Debt were reflective of market rates as of the time of issuance. In addition, we paid $212,000 to Bruce T. Bernstein in March 2017 for legal costs incurred in conjunction with the acquisition of XpresSpa and Amiral Holdings SAS legal proceedings prior to the completion of the acquisition, as he was indemnified by XpresSpa. These costs are included in the accounts payable, accrued expenses and other current liabilities in the consolidated balance sheet as of December 31, 2017.</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 and Committee Qualifications</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us, either directly or indirectly. Based upon this review, we believe that Messrs. Stout, Giardina, Bernstein, Heyer and Abbe qualify as independent directors in accordance with the standards set by Nasdaq, as well as Rule 10A-3 promulgated under the Securities Exchange Act of 1934, as amended (the “Exchange Act”). Accordingly, our Board of Directors is comprised of a majority of independent directors as required by Nasdaq rules. The Board of Directors has also determined that each member of the Audit Committee, the Compensation Committee and the Nominating and Corporate Governance Committee meets the independence requirements applicable to each such committee member prescribed by Nasdaq and the SEC. The Board of Directors has further determined that Messrs. Giardina and Bernstein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4" w:name="page35"/>
    <w:bookmarkEnd w:id="3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(Notice Item 1)</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July 26, 2018 the Board of Directors nominated Edward Jankowski, Donald E. Stout, Salvatore Giardina, Bruce T. Bernstein and Richard K. Abbe for election by the holders of common stock at the annual meeting. If they are elected, they will serve on our Board of Directors until the 2018 annual meeting of stockholders and until their respective successors have been elected and qualified.</w:t>
      </w:r>
    </w:p>
    <w:p>
      <w:pPr>
        <w:spacing w:after="0" w:line="72"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Unless authority to vote for any of these nominees is withheld, the shares represented by the enclosed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as directors of Edward Jankowski, Donald E. Stout, Salvatore Giardina, Bruce T. Bernstein and Richard K. Abbe. In the event that either nominee becomes unable or unwilling to serve, the shares represented by the enclosed proxy will be voted for the election of such other person as the Board of Directors may recommend in that nominee’s place. We have no reason to believe that any nominee will be unable or unwilling to serve as a director.</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 plurality of the shares voted for each nominee at the annual meeting is required to elect each nominee as a director.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72"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THE ELECTION OF EDWARD JANKOWSKI, DONALD E. STOUT, SALVATORE GIARDINA, BRUCE T. BERNSTEIN AND RICHARD K. ABBE AS DIRECTORS, AND PROXIES SOLICITED BY THE BOARD WILL BE VOTED IN FAVOR THEREOF UNLESS A STOCKHOLDER HAS INDICATED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5" w:name="page36"/>
    <w:bookmarkEnd w:id="3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w:t>
      </w:r>
    </w:p>
    <w:p>
      <w:pPr>
        <w:spacing w:after="0" w:line="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(Notice Item 2)</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has appointed CohnReznick LLP as our independent registered public accounting firm, to audit our financial statements for the fiscal year ending December 31, 2018. The Board of Directors proposes that the stockholders ratify this appointment. CohnReznick LLP audited our financial statements for the fiscal year ended December 31, 2017. We expect that representatives of CohnReznick LLP will be present at the annual meeting, will be able to make a statement if they so desire, and will be available to respond to appropriate questions.</w:t>
      </w:r>
    </w:p>
    <w:p>
      <w:pPr>
        <w:spacing w:after="0" w:line="80"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In deciding to appoint CohnReznick LLP, the Audit Committee reviewed auditor independence issues and existing commercial relationships with CohnReznick LLP and concluded that CohnReznick LLP has no commercial relationship with the Company that would impair its independence for the fiscal year ending December 31, 2018.</w:t>
      </w:r>
    </w:p>
    <w:p>
      <w:pPr>
        <w:spacing w:after="0" w:line="7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CohnReznick LLP for the audit of the Company’s annual financial statements for the years ended December 31, 2017 and 2016, and fees billed for other services rendered by CohnReznick LLP during those periods.</w:t>
      </w:r>
    </w:p>
    <w:p>
      <w:pPr>
        <w:sectPr>
          <w:pgSz w:w="11900" w:h="16838" w:orient="portrait"/>
          <w:cols w:equalWidth="0" w:num="1">
            <w:col w:w="10219"/>
          </w:cols>
          <w:pgMar w:left="240" w:top="114" w:right="1440" w:bottom="1440" w:gutter="0" w:footer="0" w:header="0"/>
        </w:sectPr>
      </w:pPr>
    </w:p>
    <w:p>
      <w:pPr>
        <w:spacing w:after="0" w:line="2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7"/>
          <w:szCs w:val="27"/>
          <w:color w:val="auto"/>
          <w:vertAlign w:val="superscript"/>
        </w:rPr>
        <w:t>(1)</w:t>
      </w:r>
    </w:p>
    <w:p>
      <w:pPr>
        <w:ind w:left="1620"/>
        <w:spacing w:after="0"/>
        <w:rPr>
          <w:sz w:val="20"/>
          <w:szCs w:val="20"/>
          <w:color w:val="auto"/>
        </w:rPr>
      </w:pPr>
      <w:r>
        <w:rPr>
          <w:rFonts w:ascii="Times New Roman" w:cs="Times New Roman" w:eastAsia="Times New Roman" w:hAnsi="Times New Roman"/>
          <w:sz w:val="17"/>
          <w:szCs w:val="17"/>
          <w:color w:val="auto"/>
        </w:rPr>
        <w:t>Audit-related fees</w:t>
      </w:r>
      <w:r>
        <w:rPr>
          <w:rFonts w:ascii="Times New Roman" w:cs="Times New Roman" w:eastAsia="Times New Roman" w:hAnsi="Times New Roman"/>
          <w:sz w:val="26"/>
          <w:szCs w:val="26"/>
          <w:color w:val="auto"/>
          <w:vertAlign w:val="superscript"/>
        </w:rPr>
        <w:t>(2)</w:t>
      </w:r>
    </w:p>
    <w:p>
      <w:pPr>
        <w:spacing w:after="0" w:line="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159385</wp:posOffset>
            </wp:positionV>
            <wp:extent cx="12350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18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33655</wp:posOffset>
            </wp:positionV>
            <wp:extent cx="4751070" cy="180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$431,325   $383,250</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25,450—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26035</wp:posOffset>
            </wp:positionV>
            <wp:extent cx="4751070"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color w:val="auto"/>
        </w:rPr>
        <w:t>$456,775</w:t>
        <w:tab/>
        <w:t>$383,250</w:t>
      </w:r>
    </w:p>
    <w:p>
      <w:pPr>
        <w:spacing w:after="0" w:line="220" w:lineRule="exact"/>
        <w:rPr>
          <w:sz w:val="20"/>
          <w:szCs w:val="20"/>
          <w:color w:val="auto"/>
        </w:rPr>
      </w:pPr>
    </w:p>
    <w:p>
      <w:pPr>
        <w:sectPr>
          <w:pgSz w:w="11900" w:h="16838" w:orient="portrait"/>
          <w:cols w:equalWidth="0" w:num="2">
            <w:col w:w="6720" w:space="720"/>
            <w:col w:w="2779"/>
          </w:cols>
          <w:pgMar w:left="240" w:top="114" w:right="1440" w:bottom="1440" w:gutter="0" w:footer="0" w:header="0"/>
          <w:type w:val="continuous"/>
        </w:sectPr>
      </w:pPr>
    </w:p>
    <w:p>
      <w:pPr>
        <w:spacing w:after="0" w:line="194" w:lineRule="exact"/>
        <w:rPr>
          <w:sz w:val="20"/>
          <w:szCs w:val="20"/>
          <w:color w:val="auto"/>
        </w:rPr>
      </w:pPr>
    </w:p>
    <w:p>
      <w:pPr>
        <w:jc w:val="both"/>
        <w:ind w:left="1620" w:right="759" w:hanging="352"/>
        <w:spacing w:after="0" w:line="266"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81" w:lineRule="exact"/>
        <w:rPr>
          <w:rFonts w:ascii="Times New Roman" w:cs="Times New Roman" w:eastAsia="Times New Roman" w:hAnsi="Times New Roman"/>
          <w:sz w:val="18"/>
          <w:szCs w:val="18"/>
          <w:color w:val="auto"/>
        </w:rPr>
      </w:pPr>
    </w:p>
    <w:p>
      <w:pPr>
        <w:ind w:left="1620" w:hanging="352"/>
        <w:spacing w:after="0"/>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includes fees for benefit plan audits and lease compliance audits.</w:t>
      </w: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Pre-Approval Policies and Procedures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auditor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firms in 2017 and 2016.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and Series D Preferred Stock voting on an as-converted basis present and entitled to vote on the matter either in person or by proxy at the annual meeting is required to ratify the appointment of CohnReznick LLP as our independent registered public accounting firm for the fiscal year ending December 31, 2018.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CohnReznick LLP as our independent registered public accounting firm for 2018, our Audit Committee of our Board of Directors will reconsider its selection.</w:t>
      </w:r>
    </w:p>
    <w:p>
      <w:pPr>
        <w:spacing w:after="0" w:line="74"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RATIFY THE APPOINTMENT OF COHNREZNICK LLP AS OUR INDEPENDENT REGISTERED PUBLIC ACCOUNTING FIRM, AND PROXIES SOLICITED BY THE BOARD OF DIRECTORS WILL BE VOTED IN FAVOR OF SUCH RATIFICATION UNLESS A STOCKHOLDER INDICATES OTHERWISE ON THE PROXY.</w:t>
      </w:r>
    </w:p>
    <w:p>
      <w:pPr>
        <w:sectPr>
          <w:pgSz w:w="11900" w:h="16838" w:orient="portrait"/>
          <w:cols w:equalWidth="0" w:num="1">
            <w:col w:w="10219"/>
          </w:cols>
          <w:pgMar w:left="240" w:top="114" w:right="1440" w:bottom="1440" w:gutter="0" w:footer="0" w:header="0"/>
          <w:type w:val="continuous"/>
        </w:sectPr>
      </w:pPr>
    </w:p>
    <w:p>
      <w:pPr>
        <w:spacing w:after="0" w:line="23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1500" w:right="100"/>
        <w:spacing w:after="0" w:line="239" w:lineRule="auto"/>
        <w:rPr>
          <w:sz w:val="20"/>
          <w:szCs w:val="20"/>
          <w:color w:val="auto"/>
        </w:rPr>
      </w:pPr>
      <w:r>
        <w:rPr>
          <w:rFonts w:ascii="Times New Roman" w:cs="Times New Roman" w:eastAsia="Times New Roman" w:hAnsi="Times New Roman"/>
          <w:sz w:val="17"/>
          <w:szCs w:val="17"/>
          <w:b w:val="1"/>
          <w:bCs w:val="1"/>
          <w:color w:val="auto"/>
        </w:rPr>
        <w:t>PROPOSAL 3: TO AUTHORIZE, FOR PURPOSES OF COMPLYING WITH NASDAQ LISTING RULE 5635(d), THE ISSUANCE OF SHARES OF OUR COMMON STOCK UNDERLYING CONVERTIBLE NOTES AND WARRANTS ISSUED BY US PURSUANT TO THE TERMS OF THAT CERTAIN SECURITIES PURCHASE AGREEMENT, DATED MAY 15, 2018, BY AND AMONG</w:t>
      </w:r>
    </w:p>
    <w:p>
      <w:pPr>
        <w:spacing w:after="0" w:line="2" w:lineRule="exact"/>
        <w:rPr>
          <w:sz w:val="20"/>
          <w:szCs w:val="20"/>
          <w:color w:val="auto"/>
        </w:rPr>
      </w:pPr>
    </w:p>
    <w:p>
      <w:pPr>
        <w:jc w:val="center"/>
        <w:ind w:left="1500" w:right="20"/>
        <w:spacing w:after="0" w:line="225" w:lineRule="auto"/>
        <w:rPr>
          <w:sz w:val="20"/>
          <w:szCs w:val="20"/>
          <w:color w:val="auto"/>
        </w:rPr>
      </w:pPr>
      <w:r>
        <w:rPr>
          <w:rFonts w:ascii="Times New Roman" w:cs="Times New Roman" w:eastAsia="Times New Roman" w:hAnsi="Times New Roman"/>
          <w:sz w:val="18"/>
          <w:szCs w:val="18"/>
          <w:b w:val="1"/>
          <w:bCs w:val="1"/>
          <w:color w:val="auto"/>
        </w:rPr>
        <w:t>XPRESSPA GROUP, INC. AND THE INVESTORS NAMED THEREIN, IN AN AMOUNT EQUAL TO OR IN EXCESS OF 20% OF OUR COMMON STOCK OUTSTANDING BEFORE THE ISSUANCE OF SUCH CONVERTIBLE NOTES AND WARRANTS (INCLUDING UPON THE OPERATION OF “FULL-RATCHET” ANTI-DILUTION PROVISIONS CONTAINED IN SUCH CONVERTIBLE NOTES AND WARRANTS).</w:t>
      </w:r>
    </w:p>
    <w:p>
      <w:pPr>
        <w:spacing w:after="0" w:line="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(Notice Item 3)</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Background and Description of Proposal</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Financing Transaction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On May 15, 2018, we entered into a securities purchase agreement (the “Purchase Agreement”) with certain accredited investors (the “Investors”), pursuant to which we agreed to sell (the “Offering”) up to (i) an aggregate principal amount of $4,438,000 in 5% Secured Convertible Notes due 2019 (the “Notes”), which includes $88,000 of Notes issued to Palladium Capital Advisors as Placement Agent, convertible into shares of our common stock at a conversion price of $0.62 per share, (ii) Class A Warrants to purchase 7,157,259 shares of our common stock at an exercise price of $0.62 per share (the “Class A Warrants”) and (iii) Class B Warrants to purchase 3,578,630 shares of our common stock at an exercise price of $0.62 per share (the “Class B Warrants,” and together with the Class A Warrants, the “Warrants”).</w:t>
      </w:r>
    </w:p>
    <w:p>
      <w:pPr>
        <w:spacing w:after="0" w:line="77"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Offering, we agreed to seek approval of our stockholders of an adjustment to the conversion price of the Notes and the exercise price of the Warrants, as the case may be, below the then applicable conversion price or exercise price, as the case may be, with the recommendation of our Board of Directors that such proposal be approved. In addition, we agreed to seek approval of our stockholders to issue shares of our common stock at a price below the then applicable price floor with respect to the Notes or Warrants, as the case may be (as further discussed below).</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Common Stock Financing</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As of March 31, 2018, our cash balance was approximately $3.8 million. In May 2018, our Board of Directors determined that it was necessary to raise additional funds to support our continuing operations and to provide working capital for general corporate purposes.</w:t>
      </w:r>
    </w:p>
    <w:p>
      <w:pPr>
        <w:spacing w:after="0" w:line="6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believe that the Offering, which yielded gross proceeds of approximately $4.4 million, was necessary in light of the Company’s cash balance and funding requirements at the time. We also believe that the anti-dilution protections contained in the Notes and Warrants were reasonable in light of market conditions and the size and type of the Offering, and that we would not have been able to complete the sale of the Notes and Warrants unless such anti-dilution provisions were offered. In addition, at the time of the Offering, our Board of Directors considered numerous other alternatives to the transaction, none of which proved to be feasible or, in the opinion of our Board of Directors, would have resulted in aggregate terms equivalent to, or more favorable than, the terms obtained in the Offering.</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Notes and Warrants were issued on May 17, 2018 (the “Closing”) pursuant to the terms of the Purchase Agreement. The Purchase Agreement provides for the sale of the Notes and the Warrants at the Closing for gross proceeds of $4,350,000.</w:t>
      </w:r>
    </w:p>
    <w:p>
      <w:pPr>
        <w:spacing w:after="0" w:line="6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Purchase Agreement obligates us to indemnify the Investors and various related parties for certain losses including those resulting from (i) any misrepresentation or breach of any representation or warranty made by us, (ii) any breach of any obligation of ours, and (iii) certain claims by third parties.</w:t>
      </w:r>
    </w:p>
    <w:p>
      <w:pPr>
        <w:spacing w:after="0" w:line="6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Purchase Agreement contains representations and warranties of us and the Investors which are typical for transactions of this type. In addition, the Purchase Agreement contains customary covenants on our part that are typical for transactions of this type, as well as the following additional covenants: (i) until</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7" w:name="page38"/>
    <w:bookmarkEnd w:id="3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5" w:lineRule="auto"/>
        <w:rPr>
          <w:sz w:val="20"/>
          <w:szCs w:val="20"/>
          <w:color w:val="auto"/>
        </w:rPr>
      </w:pPr>
      <w:r>
        <w:rPr>
          <w:rFonts w:ascii="Times New Roman" w:cs="Times New Roman" w:eastAsia="Times New Roman" w:hAnsi="Times New Roman"/>
          <w:sz w:val="18"/>
          <w:szCs w:val="18"/>
          <w:color w:val="auto"/>
        </w:rPr>
        <w:t>an Investor holds less than 10% of the Notes originally issued to such Investor, we agreed not to enter into any variable rate transactions; (ii) we agreed to offer to the Investors, until one year after the Closing, the opportunity to participate in any subsequent securities offerings by us; (iii) we agreed to use our commercially reasonable efforts to hold a stockholder meeting within 120 days of the Closing at which we will solicit the stockholders’ affirmative vote for approval of our issuance of certain shares issuable upon conversion of the Notes and the exercise of the Warrants described in the transaction documents in accordance with the applicable law and rules and regulations of Nasdaq, to which this Proposal 3 relates.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Notes were not issued with an original issue discount and are not subject to defeasance. The Notes were issued in certificated form and not as global securities.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10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Notes are our senior secured obligations and are secured by certain of our personal property, pursuant to a security agreement.</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Maturity Date</w:t>
      </w:r>
    </w:p>
    <w:p>
      <w:pPr>
        <w:spacing w:after="0" w:line="10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Notes will mature on November 17, 2019, the date that is eighteen months following their issuance date (the “Maturity Date”), unless earlier converted or redeemed.</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0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Interest on the Notes will accrue at 5% per annum on the principal amount of the Notes. Interest on the Notes is payable in arrears beginning September 17, 2018 and is payable on each monthly anniversary thereafter, including at maturity when all amounts outstanding under the Notes become due and payable (each a “Payment Date”). We may elect to pay interest in cash, shares of our common stock or a combination thereof (the amount to be paid in shares of Common Stock, the “Interest Share Amount”). The Interest Share Amount will be determined by dividing the amount of interest on the subject Payment Date by the then applicable conversion price.</w:t>
      </w:r>
    </w:p>
    <w:p>
      <w:pPr>
        <w:spacing w:after="0" w:line="29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a holder elects to convert or redeem all or any portion of a Note prior to the Maturity Date, all accrued and unpaid interest on the amount being converted or redeemed will also be payable. If we elect to redeem all or any portion of a Note prior to the Maturity Date, all accrued and unpaid interest on the amount being redeemed will also be payable.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0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All amounts due under the Notes are convertible at any time, in whole or in part, at the option of the holders into shares of our common stock at a conversion price which is subject to adjustment as described below. If a holder elects to convert all or any portion of a Note prior to the Maturity Date, all accrued and unpaid interest on the principal amount being converted will also be converted at the conversion price.</w:t>
      </w:r>
    </w:p>
    <w:p>
      <w:pPr>
        <w:spacing w:after="0" w:line="72" w:lineRule="exact"/>
        <w:rPr>
          <w:sz w:val="20"/>
          <w:szCs w:val="20"/>
          <w:color w:val="auto"/>
        </w:rPr>
      </w:pPr>
    </w:p>
    <w:p>
      <w:pPr>
        <w:jc w:val="both"/>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The Notes are initially convertible into shares of our common stock at the conversion price at $0.62 per share of common stock. The conversion price is subject to adjustment for stock splits, combinations or similar events. If we fail to timely deliver common stock upon conversion of the Notes, we have agreed to pay certain liquidated damages to the converting holder.</w:t>
      </w:r>
    </w:p>
    <w:p>
      <w:pPr>
        <w:spacing w:after="0" w:line="72"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In addition, except in the case of issuances of certain excluded securities, the Notes are subject to “full- ratchet” anti-dilution protection in the event we issue additional common stock, options or common stock equivalents at a price per share less than the conversion price in effect. If we issue common stock, options or common stock equivalents at a price less than the conversion price of the Notes, subject to certain customary exceptions, the conversion price of the Notes will be reduced to that lower price; provided, however, that the conversion price of the Notes shall not be adjusted to be less than twenty percent (20%) of the conversion price on the original issuance date (subject to appropriate adjustments for stock splits, stock dividends, recapitalizations, reclassifications, combinations or other similar transactions) (the “Conversion Price Floor”); provided, further, however, that the conversion price</w:t>
      </w:r>
    </w:p>
    <w:p>
      <w:pPr>
        <w:spacing w:after="0" w:line="2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8" w:name="page39"/>
    <w:bookmarkEnd w:id="3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39"/>
        <w:spacing w:after="0" w:line="258" w:lineRule="auto"/>
        <w:rPr>
          <w:sz w:val="20"/>
          <w:szCs w:val="20"/>
          <w:color w:val="auto"/>
        </w:rPr>
      </w:pPr>
      <w:r>
        <w:rPr>
          <w:rFonts w:ascii="Times New Roman" w:cs="Times New Roman" w:eastAsia="Times New Roman" w:hAnsi="Times New Roman"/>
          <w:sz w:val="18"/>
          <w:szCs w:val="18"/>
          <w:color w:val="auto"/>
        </w:rPr>
        <w:t>can be reduced below the Conversion Price Floor if we are not then subject to Nasdaq Listing Rule 5635(d) or if approved by Nasdaq. Therefore, the “full-ratchet” anti-dilution provision in the Notes may result in the downward adjustment of the conversion price of the Notes. This anti-dilution provision of the Notes will not be effective until stockholder approval is obtained. If we obtain stockholder approval of this Proposal 3, the conversion price of the Notes may be adjusted upon a dilutive issuance.</w:t>
      </w:r>
    </w:p>
    <w:p>
      <w:pPr>
        <w:spacing w:after="0" w:line="1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Payment of Principal and Interest</w:t>
      </w:r>
    </w:p>
    <w:p>
      <w:pPr>
        <w:spacing w:after="0" w:line="106"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We have agreed to make amortization payments with respect to the principal amount of each Note commencing on the fourth monthly anniversary of the original issuance date and on the same day of each month thereafter until the principal amount has been repaid in full, whether by the payment of cash or by the conversion of such principal amount into common stock pursuant to the terms thereof. On each such repayment date, we agreed to make payments to the Note holder in an amount equal to 6.67% of the initial principal amount (the “Monthly Principal Amount”). Amounts of conversions of principal amount and amounts paid pursuant to the prepayment and redemption provisions of the Note shall be applied first against outstanding fees and damages, then against outstanding already payable accrued interest and then to principal amounts of not yet due Monthly Principal Amounts commencing with the last Monthly Principal Amount next payable and thereafter to Monthly Principal Amounts in reverse chronological order. Any principal amount, interest and any other sum arising under the Note and the related transaction documents that remains outstanding on the Maturity Date shall be due and payable on the Maturity Date.</w:t>
      </w:r>
    </w:p>
    <w:p>
      <w:pPr>
        <w:spacing w:after="0" w:line="83" w:lineRule="exact"/>
        <w:rPr>
          <w:sz w:val="20"/>
          <w:szCs w:val="20"/>
          <w:color w:val="auto"/>
        </w:rPr>
      </w:pPr>
    </w:p>
    <w:p>
      <w:pPr>
        <w:jc w:val="both"/>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We may elect to pay the Monthly Principal Amount with shares of common stock or a combination of cash and shares of common stock (the amount to be paid in shares of common stock, the “Principal Share Amount”) subject to the following conditions. The Principal Share Amount will be determined by dividing (i) the monthly principal amount by (ii) ninety percent (90%) of the VWAP of the common stock for the five (5) trading days commencing eight (8) days prior to the relevant repayment date and ending on the 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trading day preceding such repayment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the result of such calculation shall not be less than the Conversion Price Floor; provided, further, however, that the result of such calculation can be reduced below the Conversion Price Floor if we are not then subject to Nasdaq Listing Rule 5635(d) or if approved by Nasdaq.</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Prepayment</w:t>
      </w:r>
    </w:p>
    <w:p>
      <w:pPr>
        <w:spacing w:after="0" w:line="106"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closing of an offering of our common stock, preferred stock, other equity or debt, in one or more tranches upon which we receive gross cash proceeds of $10 million or more (a “Subsequent Financing”), we must offer to the holders of the Notes the right to receive such holder’s pro rata portion of the net proceeds of such Subsequent Financing to be applied in satisfaction of up to 100% of such holder’s principal amount and accrued but unpaid interest designated by such holder. Commencing on September 17, 2018, we will have the option of prepaying the outstanding principal amount of the Notes, in whole or in part, by paying to each holder a sum of money in cash equal to 115% of the principal amount to be redeemed, together with accrued but unpaid interest thereon, if any, and any and all other sums due, accrued or payable.</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Event of Default</w:t>
      </w:r>
    </w:p>
    <w:p>
      <w:pPr>
        <w:spacing w:after="0" w:line="106"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If any event of default or a fundamental transaction or a change of control transaction occurs, the outstanding principal amount of the Notes, liquidated damages and other amounts owing in respect thereof through the date of acceleration, shall become, at the Note holder’s election, immediately due and payable in cash at the sum of (a) the greater of (i) the outstanding principal amount of the Note divided by the conversion price on the date the Mandatory Default Amount (as defined below) is either (A) demanded (if demand or notice is required to create an event of default) or otherwise due or (B) paid in full, whichever has a lower conversion price, multiplied by the VWAP on the date the Mandatory Default Amount is either (x) demanded (if demand or notice is required to create an event of default) or otherwise due or (y) paid in full, whichever has a higher VWAP, or (ii) 120% of the outstanding principal amount of the Note and (b) all other amounts, costs, expenses and liquidated damages due in respect of the Note (the “Mandatory Default Amount”). Commencing on the Maturity Date and also five (5) days after the occurrence of any event of default interest on the Note shall accrue at an interest rate equal to the lesser of 18% per annum or the maximum rate permitted under applicable law.</w:t>
      </w:r>
    </w:p>
    <w:p>
      <w:pPr>
        <w:spacing w:after="0" w:line="25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39" w:name="page40"/>
    <w:bookmarkEnd w:id="3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06"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Notes prohibit us from entering into specified transactions involving a change of control, unless the successor entity assumes in writing all of our obligations under the Notes under a written agreement.</w:t>
      </w:r>
    </w:p>
    <w:p>
      <w:pPr>
        <w:spacing w:after="0" w:line="54"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the event of transactions involving a change of control, the holder of a Note will have the right to receive, for each conversion share that would have been issuable upon such conversion immediately prior to the occurrence of such fundamental transaction, the number of shares of common stock of the successor or acquiring corporation or of us, if we are the surviving corporation, and any additional consideration (the “Alternate Consideration”) receivable as a result of such fundamental transaction by a holder of the number of shares of common stock for which the Note is convertible immediately prior to such fundamental transaction.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Limitations on Conversion and Issuance</w:t>
      </w:r>
    </w:p>
    <w:p>
      <w:pPr>
        <w:spacing w:after="0" w:line="106"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A Note may not be converted and shares of common stock may not be issued under the Notes if, after giving effect to the conversion or issuance, the holder together with its affiliates would beneficially own in excess of 9.99% of our outstanding shares of common stock (the “Note Blocker”). The Note Blocker may be raised or lowered to any other percentage not in excess of 9.99% at the option of the selling security holder, except that any raise will only be effective upon 61-days’ prior notice to us.</w:t>
      </w:r>
    </w:p>
    <w:p>
      <w:pPr>
        <w:spacing w:after="0" w:line="7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addition, prior to obtaining stockholder approval, we may not issue, upon conversion of the Notes, a number of shares of common stock which, when aggregated with any shares of common stock issued in connection with any conversion of Notes, would exceed 5,300,260 shares of common stock (the “Conversion Cap”). The Notes sold in the Offering, including shares of common stock that have previously been converted into common stock, are currently convertible into an aggregate of approximately 7,157,259 shares of common stock. The Conversion Cap shall be allocated among the holders of the Notes pro rata.</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08"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On the Closing Date, we issued (i) Class A Warrants to purchase 7,157,259 shares of our common stock at an exercise price of $0.62 per share and (ii) Class B Warrants to purchase 3,578,630 shares of our common Stock at an exercise price of $0.62 per share. The Class A Warrants are exercisable beginning six months from the date of issuance and have a term of five years. The Class B Warrants are exercisable beginning six months from the date of issuance and have a term of six months. We can require that the holders of the Class B Warrants exercise their Warrants if at any time after the issuance date the volume weighted average price of our common stock equals or exceeds $1.24 (subject to appropriate adjustments for stock splits, stock dividends, recapitalizations, reorganizations, reclassifications, combinations, reverse stock splits or other similar transactions after the issuance date) for not less than ten consecutive trading days (the “Mandatory Exercise Measuring Period”); (ii) the daily average dollar value of our common stock traded during the Mandatory Exercise Measuring Period equals or exceeds $100,000 (subject to appropriate adjustments for stock splits, stock dividends, recapitalizations, reorganizations, reclassifications, combinations, reverse stock splits or other similar transactions after the issuance date); and (iii) no Equity Conditions Failure (as defined in the Class B Warrant) has occurred (unless the holder has waived such Equity Conditions Failure) as of such date. The Class A Warrants and Class B Warrants each have an exercise price of $0.62 per share.</w:t>
      </w:r>
    </w:p>
    <w:p>
      <w:pPr>
        <w:spacing w:after="0" w:line="89"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Warrants may be exercised for cash, provided that, if there is no effective registration statement available registering the exercise of the Warrants, the Warrants may be exercised on a cashless basis. The exercise price of the Warrants is subject to adjustment for stock splits, combinations or similar events. Similar to the Notes, the Warrants require “buy-in” payments to be made by us for failure to deliver the shares of common stock issuable upon exercise.</w:t>
      </w:r>
    </w:p>
    <w:p>
      <w:pPr>
        <w:spacing w:after="0" w:line="7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In addition, except in the case of issuances of certain excluded securities, the Warrants are subject to “full-ratchet” anti-dilution protection in the event we issue additional common stock, options or common stock equivalents at a price per share less than the exercise price in effect. If we issue common stock, options or common stock equivalents at a price less than the exercise price of the Warrants, subject to certain customary exceptions, the exercise price of the Warrants will be reduced to that lower price and the number of shares issuable pursuant to the Warrants will be increased such that the exercise price payable</w:t>
      </w:r>
    </w:p>
    <w:p>
      <w:pPr>
        <w:spacing w:after="0" w:line="25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0" w:name="page41"/>
    <w:bookmarkEnd w:id="4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3" w:lineRule="auto"/>
        <w:rPr>
          <w:sz w:val="20"/>
          <w:szCs w:val="20"/>
          <w:color w:val="auto"/>
        </w:rPr>
      </w:pPr>
      <w:r>
        <w:rPr>
          <w:rFonts w:ascii="Times New Roman" w:cs="Times New Roman" w:eastAsia="Times New Roman" w:hAnsi="Times New Roman"/>
          <w:sz w:val="18"/>
          <w:szCs w:val="18"/>
          <w:color w:val="auto"/>
        </w:rPr>
        <w:t>pursuant to the Warrants, after taking into account the decrease in the exercise price, shall be equal to the aggregate exercise price prior to such adjustment; provided, however, that the exercise price of the Warrants shall not be adjusted to be less than twenty percent (20%) of the exercise price on the original issuance date (subject to appropriate adjustments for stock splits, stock dividends, recapitalizations, reclassifications, combinations or other similar transactions) (the “Exercise Price Floor”); provided, further, however, that the exercise price can be reduced below the Exercise Price Floor if we are not then subject to Nasdaq Listing Rule 5635(d) or if approved by Nasdaq. Therefore, the “full-ratchet” anti-dilution provision in the Warrants may result in the downward adjustment of the exercise price of the Warrants and result in a greater number of shares being issued pursuant to the Warrants. This anti-dilution provision of the Warrants will not be effective until stockholder approval is obtained. If we obtain stockholder approval of this Proposal 3, the exercise price of the Warrants and the number of shares to be issued upon exercise of the Warrants may be adjusted upon a dilutive issuance.</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Effect of Issuance of Securities</w:t>
      </w:r>
    </w:p>
    <w:p>
      <w:pPr>
        <w:spacing w:after="0" w:line="10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potential issuance of (x) the aggregate of 17,893,148 shares of our common stock underlying (i) the Notes (an aggregate of 7,157,259 shares of common stock), and (ii) the Warrants (10,735,889 shares of common stock) and (y) the potential additional shares of common stock issuable as (i) payment of principal or interest on the Notes, (ii) pursuant to the anti-dilution terms of the Notes and the Warrants or (iii) at a price below the applicable price floor, in each case, that are the subject of this Proposal 3, would result in an increase in the number of shares of common stock outstanding, and our stockholders will incur dilution of their percentage ownership to the extent that the investors convert their Notes or exercise their Warrants, or additional shares of common stock are issued as payment of principal or interest on the Notes, pursuant to the anti-dilution terms of the Notes or the Warrants, or at a price below the applicable price floor. Because of potential adjustments to the number of shares of common stock issuable upon conversion of the Notes and exercise of the Warrants to be issued in connection with the Offering, the exact magnitude of the dilutive effect of the Notes and Warrants cannot be conclusively determined. However, the dilutive effect may be material to our current stockholders.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Proposal to Approve Financing Transaction</w:t>
      </w:r>
    </w:p>
    <w:p>
      <w:pPr>
        <w:spacing w:after="0" w:line="108"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Nasdaq Listing Rule 5635(d) requires us to obtain stockholder approval prior to the issuance of securities in connection with a transaction other than a public offering involving (i) the sale, issuance or potential issuance by us of our common stock (or securities convertible into or exercisable for our common stock) at a price less than the greater of book or market value which equals 20% or more of common stock or 20% or more of the voting power outstanding before the issuance; or (ii) the sale, issuance or potential issuance by us of our common stock (or securities convertible into or exercisable for our common stock) equal to 20% or more of the common stock or 20% or more of the voting power outstanding before the issuance for less than the greater of book or market value of the stock. In the case of the Offering, the 20% threshold is determined based on the shares of our common stock outstanding immediately preceding the Offering, which we signed on May 15, 2018. Warrants to purchase common stock may be excluded from the calculation if they have a per share exercise price equal to or greater than the consolidated closing bid price immediately preceding execution of the binding agreements, and if they are not exercisable for at least six months. In the Offering, the initial exercise price of the Warrants (in this case, $0.62) was equal to or greater than the book or market value of our common stock on the relevant date, and the warrants are not exercisable for at least six months after issuance. Consequently, the Warrants are excluded from the 20% calculation under Nasdaq Listing Rule 5635(d). However, we are seeking stockholder approval under Nasdaq Rule 5635(d) of the “full-ratchet” anti-dilution feature of the Warrants since such provision may reduce the $0.62 per share exercise price of the Warrants and result in the issuance of shares at less than the greater of market price or book value per share. Without the “full-ratchet” anti-dilution feature, the Warrants meet the criteria of Nasdaq Listing Rule 5635(d) such that the terms of the Warrants did not require stockholder approval.</w:t>
      </w:r>
    </w:p>
    <w:p>
      <w:pPr>
        <w:spacing w:after="0" w:line="83"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Because the issuance of shares of our common stock underlying the Notes may trigger our obligation to obtain stockholder approval under Nasdaq Listing Rule 5635(d), the Note holders agreed that the total shares of our common stock that may be issued under the Notes is limited to 19.99% of the total number of</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1" w:name="page42"/>
    <w:bookmarkEnd w:id="4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1" w:lineRule="auto"/>
        <w:rPr>
          <w:sz w:val="20"/>
          <w:szCs w:val="20"/>
          <w:color w:val="auto"/>
        </w:rPr>
      </w:pPr>
      <w:r>
        <w:rPr>
          <w:rFonts w:ascii="Times New Roman" w:cs="Times New Roman" w:eastAsia="Times New Roman" w:hAnsi="Times New Roman"/>
          <w:sz w:val="18"/>
          <w:szCs w:val="18"/>
          <w:color w:val="auto"/>
        </w:rPr>
        <w:t>shares of our common stock outstanding immediately preceding the Offering, until we obtain stockholder approval of the Offering or a waiver of Nasdaq Listing Rule 5635(d). We are permitted to issue up to 5,300,260 shares of our common stock to the Note holders without obtaining stockholder approval under Nasdaq Listing Rule 5635(d).</w:t>
      </w:r>
    </w:p>
    <w:p>
      <w:pPr>
        <w:spacing w:after="0" w:line="72"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We generally have no control over whether the Note holders convert their Notes or whether the Warrant holders exercise their Warrants (other than pursuant to the mandatory exercise feature of the Class B Warrants). Further, we cannot predict the market price of our common stock at any future date, and therefore cannot predict the applicable prices at which the Notes may be converted. For these reasons, we are unable to accurately forecast or predict with any certainty the total amount of shares that may be issued under the Notes or Warrants. Under certain circumstances, however, it is possible, that we may have to issue more than 20% of our outstanding shares of common stock to the Note and Warrant holders under the terms of the Offering. Therefore, we are seeking stockholder approval under this proposal to issue more than 20% of our outstanding shares of common stock, if necessary, to the Note and Warrant holders under the terms of the Offering.</w:t>
      </w:r>
    </w:p>
    <w:p>
      <w:pPr>
        <w:spacing w:after="0" w:line="81"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Any transaction requiring approval by our stockholders under Nasdaq Listing Rule 5635(d) would likely result in a significant increase in the number of shares of our common stock outstanding, and, as a result, our current stockholders will own a smaller percentage of our outstanding shares of common stock.</w:t>
      </w:r>
    </w:p>
    <w:p>
      <w:pPr>
        <w:spacing w:after="0" w:line="6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Future issuances of securities in connection with the Offering, if any, may cause a significant reduction in the percentage interests of our current stockholders in the voting power, any liquidation value, our book and market value, and in any future earnings. Further, the issuance or resale of common stock issued to the Note and Warrant holders could cause the market price of our common stock to decline. In addition to the foregoing, the increase in the number of issued shares of common stock in connection with the Offering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spacing w:after="0" w:line="77"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Under the Nasdaq Listing Rules, we are not permitted (without risk of delisting) to undertake a transaction that could result in a change in control of us, as defined by Nasdaq Listing Rule 5635(b), without seeking and obtaining separate stockholder approval. We are not required to obtain stockholder approval for the Financing Transaction under Nasdaq Listing Rule 5635(b) because the Note and Warrant holders have agreed that, for so long as they hold any shares of our common stock, neither they nor any of their affiliates will acquire shares of our common stock which result in them and their affiliates, collectively, beneficially owning or controlling more than 9.99% of the total outstanding shares of our common stock.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Consequences of Not Approving this Proposal</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After extensive efforts to raise capital on more favorable terms, we believed that the Offering was the only viable financing alternative available to us at the time. If our stockholders do not approve this proposal, we will not be able to issue more than 20% of our outstanding shares of common stock to the Note and Warrant holders in connection with the Offering. As a result, we may be unable to make some of the amortization payments due under the Notes in shares of our common stock or issue sufficient shares upon exercise of the Warrants which will, in lieu of those shares, require that we pay substantial cash amounts to the Note and Warrant holders. We do not anticipate having sufficient funds to make any substantial cash payments to the Note holders.</w:t>
      </w:r>
    </w:p>
    <w:p>
      <w:pPr>
        <w:spacing w:after="0" w:line="81"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Purchase Agreement, the form of Note and the forms of Warrants were filed with the Securities and Exchange Commission in connection with our Quarterly Report on Form 10-Q filed on May 15, 2018.</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Vote Required and Board of Directors’ Recommendation</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Nasdaq Listing Rule 5635(d) generally requires us to obtain stockholder approval prior to issuing more than 20% of our outstanding shares of common stock under the Offering. The approval of Proposal 3 requires the affirmative vote of the holders of a majority of the total votes cast in person or by proxy at the</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2" w:name="page43"/>
    <w:bookmarkEnd w:id="4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1" w:lineRule="auto"/>
        <w:rPr>
          <w:sz w:val="20"/>
          <w:szCs w:val="20"/>
          <w:color w:val="auto"/>
        </w:rPr>
      </w:pPr>
      <w:r>
        <w:rPr>
          <w:rFonts w:ascii="Times New Roman" w:cs="Times New Roman" w:eastAsia="Times New Roman" w:hAnsi="Times New Roman"/>
          <w:sz w:val="18"/>
          <w:szCs w:val="18"/>
          <w:color w:val="auto"/>
        </w:rPr>
        <w:t>annual meeting.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6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APPROVE THE ISSUANCE OF SHARES OF OUR COMMON STOCK UNDERLYING THE CONVERTIBLE NOTES AND WARRANTS, IN AN AMOUNT EQUAL TO OR IN EXCESS OF 20% OF OUR COMMON STOCK OUTSTANDING BEFORE THE ISSUANCE OF SUCH CONVERTIBLE NOTES AND WARRANTS, IN SATISFACTION OF THE NASDAQ LISTING RULE 5635(d), INCLUDING THE APPROVAL OF THE ANTI-DILUTION PROTECTIONS CONTAINED IN SUCH CONVERTIBLE NOTES AND WARRANTS, AND PROXIES SOLICITED BY THE BOARD OF DIRECTORS WILL BE VOTED IN FAVOR OF THE PROPOSAL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3" w:name="page44"/>
    <w:bookmarkEnd w:id="4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PROPOSAL 4: REVERSE STOCK SPLIT</w:t>
      </w:r>
    </w:p>
    <w:p>
      <w:pPr>
        <w:spacing w:after="0" w:line="9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(Notice Item 4)</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jc w:val="both"/>
        <w:ind w:left="1260" w:right="7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At our 2018 annual meeting of stockholders, holders of our common stock are being asked to approve the proposal that our Amended and Restated Certificate of Incorporation be amended to effect a reverse stock split of the issued and outstanding shares of common stock (such split to combine a number of outstanding shares of our common stock between 5-for-1 and 25-for-1, such number consisting of only whole shares, into one (1) share of common stock). The full text of the proposed amendment to our Amended and Restated Certificate of Incorporation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If approved by the stockholders, the reverse stock split would become effective at a time, and at a ratio, to be designated by the Board of Directors. The Board of Directors may effect only one reverse stock split as a result of this authorization. The Board of Directors’ decision as to whether and when to effect the reverse stock split will be based on a number of factors, including market conditions, existing and expected trading prices for our common stock and the continued listing requirements of The Nasdaq Capital Market. Even if the stockholders approve the reverse stock split, we reserve the right not to effect the reverse stock split if the Board of Directors does not deem it to be in the best interests of us and our stockholders to effect the reverse stock split. The reverse stock split, if authorized pursuant to this resolution and if deemed by the Board of Directors to be in the best interests of us and our stockholders, will be effected, if at all, at a time that is not later than March 11, 2019.</w:t>
      </w:r>
    </w:p>
    <w:p>
      <w:pPr>
        <w:spacing w:after="0" w:line="89"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proposed amendment to our Amended and Restated Certificate of Incorporation to effect the reverse stock split, as more fully described below, will effect the reverse stock split but will not change the number of authorized shares of common stock or preferred stock, or the par value of common stock or preferred stock. As of the date of this proxy statement, we do not have any current arrangements or understandings relating to the issuance of any additional shares of common stock following the reverse stock split.</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08"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On July 26, 2018, the Board of Directors approved the proposal authorizing the reverse stock split for the following reasons:</w:t>
      </w:r>
    </w:p>
    <w:p>
      <w:pPr>
        <w:spacing w:after="0" w:line="94" w:lineRule="exact"/>
        <w:rPr>
          <w:sz w:val="20"/>
          <w:szCs w:val="20"/>
          <w:color w:val="auto"/>
        </w:rPr>
      </w:pPr>
    </w:p>
    <w:p>
      <w:pPr>
        <w:jc w:val="both"/>
        <w:ind w:left="1980" w:right="759" w:hanging="352"/>
        <w:spacing w:after="0" w:line="266"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effecting the reverse stock split may be an effective means of regaining compliance with the bid price requirement for continued listing of our common stock on The Nasdaq Capital Market; and</w:t>
      </w:r>
    </w:p>
    <w:p>
      <w:pPr>
        <w:spacing w:after="0" w:line="108" w:lineRule="exact"/>
        <w:rPr>
          <w:rFonts w:ascii="Times New Roman" w:cs="Times New Roman" w:eastAsia="Times New Roman" w:hAnsi="Times New Roman"/>
          <w:sz w:val="18"/>
          <w:szCs w:val="18"/>
          <w:color w:val="auto"/>
        </w:rPr>
      </w:pPr>
    </w:p>
    <w:p>
      <w:pPr>
        <w:ind w:left="1980" w:right="739" w:hanging="352"/>
        <w:spacing w:after="0" w:line="282" w:lineRule="auto"/>
        <w:tabs>
          <w:tab w:leader="none" w:pos="1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believes that a higher stock price may help generate investor interest in us, including interest among institutional investors.</w:t>
      </w:r>
    </w:p>
    <w:p>
      <w:pPr>
        <w:spacing w:after="0" w:line="54"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If the reverse stock split successfully increases the per share price of our common stock and facilitates the continued listing of our common stock on The Nasdaq Capital Market, as to which no assurance can be given, the Board of Directors believes this increase may facilitate future financings, enhance our ability to transact with our securities and increase the appetite of third parties with whom we may be negotiating for purposes of evaluating potential strategic alternatives.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Requirements for Continued Listing</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“XSPA.” One of the requirements for continued listing on The Nasdaq Capital Market is maintenance of a minimum closing bid price of $1.00. On July 25, 2018, the closing market price per share of our common stock was $0.27, as reported by the Nasdaq Capital Market, and the price has been below $1.00 for more than 30 consecutive trading days.</w:t>
      </w:r>
    </w:p>
    <w:p>
      <w:pPr>
        <w:spacing w:after="0" w:line="72"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On March 16, 2018, we received a letter from Nasdaq indicating that for the last 30 consecutive business days, the bid price of our common shares closed below the minimum $1.00 per share requirement pursuant to Nasdaq Listing Rule 5550(a)(2) for continued listing on The Nasdaq Capital Market. In accordance with Nasdaq Listing Rule 5810(c)(3)(A), we have a grace period of 180 calendar days, or until</w:t>
      </w:r>
    </w:p>
    <w:p>
      <w:pPr>
        <w:spacing w:after="0" w:line="23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4" w:name="page45"/>
    <w:bookmarkEnd w:id="4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1" w:lineRule="auto"/>
        <w:rPr>
          <w:sz w:val="20"/>
          <w:szCs w:val="20"/>
          <w:color w:val="auto"/>
        </w:rPr>
      </w:pPr>
      <w:r>
        <w:rPr>
          <w:rFonts w:ascii="Times New Roman" w:cs="Times New Roman" w:eastAsia="Times New Roman" w:hAnsi="Times New Roman"/>
          <w:sz w:val="18"/>
          <w:szCs w:val="18"/>
          <w:color w:val="auto"/>
        </w:rPr>
        <w:t>September 12, 2018, to regain compliance with the minimum bid price requirement. In accordance with Nasdaq Listing Rule 5810(c)(3)(A)(ii), we expect to be granted an additional 180 day period, or until March 11, 2019, to regain compliance with the minimum $1.00 bid price per share requirement for continued listing on The Nasdaq Capital Market.</w:t>
      </w:r>
    </w:p>
    <w:p>
      <w:pPr>
        <w:spacing w:after="0" w:line="72"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plan to regain compliance with the Nasdaq Listing Rules includes effecting the reverse stock split for which we are seeking stockholder approval in this Proposal 4. We cannot assure you that our share price will comply with the requirements for continued listing of our common shares on the Nasdaq Capital Market in the future or that we will comply with the other continued listing requirements. If our common shares lose their status on the Nasdaq Capital Market, our common shares would likely trade in the over-the-counter market.</w:t>
      </w:r>
    </w:p>
    <w:p>
      <w:pPr>
        <w:spacing w:after="0" w:line="76"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If our shares were to trade on the over-the-counter market, selling our common shares could be more difficult because smaller quantities of shares would likely be bought and sold, and transactions could be delayed. In addition, in the event our common stock is delisted, broker-dealers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80"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72"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Increased Investor Interest</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In approving the proposal authorizing the reverse stock split, the Board of Directors considered that our common stock may not appeal to brokerage firms that are reluctant to recommend lower priced securities to their clients. Investors may also be dissuaded from purchasing lower priced stocks because the brokerage commissions, as a percentage of the total transaction, tend to be higher for such stocks. Moreover, the analysts at many brokerage firms do not monitor the trading activity or otherwise provide coverage of lower priced stocks.</w:t>
      </w:r>
    </w:p>
    <w:p>
      <w:pPr>
        <w:spacing w:after="0" w:line="76"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There are risks associated with the reverse stock split, including that the reverse stock split may not result in a sustained increase in the per share price of our common stock.</w:t>
      </w:r>
    </w:p>
    <w:p>
      <w:pPr>
        <w:spacing w:after="0" w:line="5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We cannot predict whether the reverse stock split will increase the market price for our common stock on a sustained basis. The history of similar stock split combinations for companies in like circumstances is varied. There is no assurance that:</w:t>
      </w:r>
    </w:p>
    <w:p>
      <w:pPr>
        <w:spacing w:after="0" w:line="95" w:lineRule="exact"/>
        <w:rPr>
          <w:sz w:val="20"/>
          <w:szCs w:val="20"/>
          <w:color w:val="auto"/>
        </w:rPr>
      </w:pPr>
    </w:p>
    <w:p>
      <w:pPr>
        <w:ind w:left="1980" w:right="759" w:hanging="352"/>
        <w:spacing w:after="0" w:line="282"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common stock after the reverse stock split will rise in proportion to the reduction in the number of shares of our common stock outstanding before the reverse stock split;</w:t>
      </w:r>
    </w:p>
    <w:p>
      <w:pPr>
        <w:spacing w:after="0" w:line="80"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will result in a per share price that will attract brokers and investors who do not trade in lower priced stocks;</w:t>
      </w:r>
    </w:p>
    <w:p>
      <w:pPr>
        <w:spacing w:after="0" w:line="8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future financings will be enhanced; and</w:t>
      </w:r>
    </w:p>
    <w:p>
      <w:pPr>
        <w:spacing w:after="0" w:line="144" w:lineRule="exact"/>
        <w:rPr>
          <w:rFonts w:ascii="Times New Roman" w:cs="Times New Roman" w:eastAsia="Times New Roman" w:hAnsi="Times New Roman"/>
          <w:sz w:val="18"/>
          <w:szCs w:val="18"/>
          <w:color w:val="auto"/>
        </w:rPr>
      </w:pPr>
    </w:p>
    <w:p>
      <w:pPr>
        <w:jc w:val="both"/>
        <w:ind w:left="1980" w:right="739" w:hanging="352"/>
        <w:spacing w:after="0" w:line="266" w:lineRule="auto"/>
        <w:tabs>
          <w:tab w:leader="none" w:pos="1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will either exceed or remain in excess of the $1.00 minimum bid price as required by Nasdaq, or that we will otherwise meet the requirements of Nasdaq for continued inclusion for trading on the Nasdaq Capital Market.</w:t>
      </w:r>
    </w:p>
    <w:p>
      <w:pPr>
        <w:spacing w:after="0" w:line="6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will also be based on our performance and other factors, some of which are unrelated to the number of shares outstanding. If the reverse stock split is effected and the market price of our common stock declines, the percentage decline as an absolute number and as</w:t>
      </w:r>
    </w:p>
    <w:p>
      <w:pPr>
        <w:spacing w:after="0" w:line="24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5" w:name="page46"/>
    <w:bookmarkEnd w:id="4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66" w:lineRule="auto"/>
        <w:rPr>
          <w:sz w:val="20"/>
          <w:szCs w:val="20"/>
          <w:color w:val="auto"/>
        </w:rPr>
      </w:pPr>
      <w:r>
        <w:rPr>
          <w:rFonts w:ascii="Times New Roman" w:cs="Times New Roman" w:eastAsia="Times New Roman" w:hAnsi="Times New Roman"/>
          <w:sz w:val="18"/>
          <w:szCs w:val="18"/>
          <w:color w:val="auto"/>
        </w:rPr>
        <w:t>a percentage of our overall market capitalization may be greater than would occur in the absence of a reverse stock split. Furthermore, the liquidity of our common stock could be adversely affected by the reduced number of shares that would be outstanding after the reverse stock split.</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Effects of the Reverse Stock Split</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If the stockholders approve the proposal to authorize the Board of Directors to implement the reverse stock split and the Board of Directors implements the reverse stock split, we will amend the existing provision of Article Fourth of our Amended and Restated Certificate of Incorporation by adding the following paragraphs:</w:t>
      </w:r>
    </w:p>
    <w:p>
      <w:pPr>
        <w:spacing w:after="0" w:line="68" w:lineRule="exact"/>
        <w:rPr>
          <w:sz w:val="20"/>
          <w:szCs w:val="20"/>
          <w:color w:val="auto"/>
        </w:rPr>
      </w:pPr>
    </w:p>
    <w:p>
      <w:pPr>
        <w:jc w:val="both"/>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“(3) Reverse Stock Split. Effective at 5:00 p.m. (Eastern time), on the date of filing of this Certificate of Amendment of the Amended and Restated Certificate of Incorporation of the Corporation with the Secretary of State of the State of Delaware (the “Effective Time”),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 shares of the Corporation’s issued and outstanding Common Stock immediately prior to the Effective Time are reclassified into one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85" w:lineRule="exact"/>
        <w:rPr>
          <w:sz w:val="20"/>
          <w:szCs w:val="20"/>
          <w:color w:val="auto"/>
        </w:rPr>
      </w:pPr>
    </w:p>
    <w:p>
      <w:pPr>
        <w:jc w:val="both"/>
        <w:ind w:left="1260" w:right="739" w:firstLine="368"/>
        <w:spacing w:after="0" w:line="253" w:lineRule="auto"/>
        <w:tabs>
          <w:tab w:leader="none" w:pos="19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85"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to the extent that the reverse stock split results in any of our stockholders owning a fractional share that would be rounded up to the next highest whole share. Common stock issued pursuant to the reverse stock split will remain fully paid and nonassessable. The reverse stock split will not affect the Company continuing to be subject to the periodic reporting requirements of the Exchange Act. Following the reverse stock split, our common stock will continue to be listed on the Nasdaq Capital Market, under the symbol “XSPA,” although it would receive a new CUSIP number.</w:t>
      </w:r>
    </w:p>
    <w:p>
      <w:pPr>
        <w:spacing w:after="0" w:line="81"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By approving this amendment, stockholders will approve the combination of any whole number of shares of common stock between and including 5 and 25 into one (1) share. The certificate of amendment to be filed with the Secretary of State of the State of Delaware will include only that number determined by the Board of Directors to be in the best interests of the Company and its stockholders. The Board of Directors will not implement any amendment providing for a different split ratio.</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Procedure for Effecting Reverse Stock Split and Exchange of Stock Certificates</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the certificate of amendment is approved by our stockholders, and if at such time the Board of Directors Still believes that a reverse stock split is in the best interests of the Company and its stockholders, the Board of Directors will determine the ratio of the reverse stock split to be implemented. We will file the certificate of amendment with the Secretary of State of the State of Delaware at such time as the Board of</w:t>
      </w:r>
    </w:p>
    <w:p>
      <w:pPr>
        <w:spacing w:after="0" w:line="24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6" w:name="page47"/>
    <w:bookmarkEnd w:id="4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spacing w:after="0" w:line="256" w:lineRule="auto"/>
        <w:rPr>
          <w:sz w:val="20"/>
          <w:szCs w:val="20"/>
          <w:color w:val="auto"/>
        </w:rPr>
      </w:pPr>
      <w:r>
        <w:rPr>
          <w:rFonts w:ascii="Times New Roman" w:cs="Times New Roman" w:eastAsia="Times New Roman" w:hAnsi="Times New Roman"/>
          <w:sz w:val="18"/>
          <w:szCs w:val="18"/>
          <w:color w:val="auto"/>
        </w:rPr>
        <w:t>Directors has determined the appropriate effective time for the reverse stock split. The Board of Directors may delay effecting the reverse stock split, if at all, until a time that is not later than March 11, 2019, without re-soliciting stockholder approval. The reverse stock split will become effective on the date of filing of the certificate of amendment with the Secretary of State of the State of Delaware. Beginning on the effective date of the split, each certificate representing pre-split shares will be deemed for all corporate purposes to evidence ownership of post-split shares.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Shares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Certificated Shares</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As soon as practicable after the effective date of the split, stockholders will be notified that the reverse stock split has been effected. We expect that our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UNTIL REQUESTED TO DO SO.</w:t>
      </w:r>
    </w:p>
    <w:p>
      <w:pPr>
        <w:spacing w:after="0" w:line="16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reverse stock split. Stockholders of record on the effective date of the split who otherwise would be entitled to receive fractional shares because they hold a number of pre-split shares not evenly divisible by the number of pre-split shares for which each post-split share is to be exchanged, will in lieu of a fractional share, be entitled upon surrender to the exchange agent of certificates representing such pre-split shares, to receive one whole share of common stock by virtue of rounding up such fractional share to the next highest whole share. The ownership of such a whole share will give the holder thereof the same voting, dividend, and other rights as are held by other holders of common stock.</w:t>
      </w:r>
    </w:p>
    <w:p>
      <w:pPr>
        <w:spacing w:after="0" w:line="81"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Stockholders should be aware that receipt of a whole share of common stock resulting from the rounding up of a fractional share interest to the next highest whole share may have tax consequences. Each holder should seek advice based on the holder’s particular circumstances from an independent tax advisor.</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Matters</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reverse stock split will not affect the common stock capital account on our balance sheet. However, because the par value of our common stock will remain unchanged on the effective date of the split, the components that make up the common stock capital account will change by offsetting amounts. Depending on the size of the reverse stock split the Board of Directors decides to implement, the stated capital component will be reduced to an amount between $10,654 and $53,269 of its present amount, and the additional paid-in capital component will be increased with the amount by which the stated capital is reduced. The per share net income or loss and net book value of our common stock will be increased because there will be fewer shares of common stock outstanding. Prior periods’ per share amounts will be restated to reflect the reverse stock split.</w:t>
      </w:r>
    </w:p>
    <w:p>
      <w:pPr>
        <w:spacing w:after="0" w:line="25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7" w:name="page48"/>
    <w:bookmarkEnd w:id="4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 on Par Value</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The proposed amendment to our Amended and Restated Certificate of Incorporation will not affect the par value of our common stock, which will remain at $0.01 per share.</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Going Private Transaction</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Anti-Takeover Effect</w:t>
      </w:r>
    </w:p>
    <w:p>
      <w:pPr>
        <w:spacing w:after="0" w:line="108"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Board of Directors or contemplating a tender offer or other transaction for the combination of the Company with another company), the reverse stock split proposal is not being proposed in response to any effort of which we are aware to accumulate shares of our common stock or obtain control of the Company, nor is it part of a plan by management to recommend a series of similar amendments to the Board of Directors and stockholders. Other than the reverse stock split proposal, the Board of Directors does not currently contemplate recommending the adoption of any other actions that could be construed to affect the ability of third parties to take over or change control of the Company.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our stockholders are not entitled to dissenters’ rights with respect to the reverse stock split, and we will not independently provide stockholders with any such right.</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Reverse Stock Split</w:t>
      </w:r>
    </w:p>
    <w:p>
      <w:pPr>
        <w:spacing w:after="0" w:line="108"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The following is not intended as tax or legal advice. Each holder should seek advice based on his, her or its particular circumstances from an independent tax advisor.</w:t>
      </w:r>
    </w:p>
    <w:p>
      <w:pPr>
        <w:spacing w:after="0" w:line="54"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describes the anticipated material United States federal income tax consequences to “U.S. holders” (as defined below) of our capital stock relating to the reverse stock split. This discussion is based upon the Internal Revenue Code of 1986, as amended (the “Code”), Treasury Regulations promulgated thereunder, judicial authorities, published positions of the Internal Revenue Service (“IRS”), and other applicable authorities, all as currently in effect and all of which are subject to change or differing interpretations (possibly with retroactive effect). We have not obtained a ruling from the IRS or an opinion of legal or tax counsel with respect to the tax consequences of the reverse stock split and there can be no assurance the IRS will not challenge the statements set forth below or that a court would not sustain any such challenge. The following discussion is for information purposes only and is not intended as tax or legal advice.</w:t>
      </w:r>
    </w:p>
    <w:p>
      <w:pPr>
        <w:spacing w:after="0" w:line="81"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our capital stock that is for United States federal income tax purposes:</w:t>
      </w:r>
    </w:p>
    <w:p>
      <w:pPr>
        <w:spacing w:after="0" w:line="108" w:lineRule="exact"/>
        <w:rPr>
          <w:sz w:val="20"/>
          <w:szCs w:val="20"/>
          <w:color w:val="auto"/>
        </w:rPr>
      </w:pPr>
    </w:p>
    <w:p>
      <w:pPr>
        <w:ind w:left="1980" w:hanging="352"/>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5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organized under the laws of the United States, any state or the District of Columbia;</w:t>
      </w:r>
    </w:p>
    <w:p>
      <w:pPr>
        <w:spacing w:after="0" w:line="107"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with income subject to United States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980" w:right="739" w:hanging="352"/>
        <w:spacing w:after="0" w:line="266" w:lineRule="auto"/>
        <w:tabs>
          <w:tab w:leader="none" w:pos="1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(a) is subject to primary supervision by a United States court and for which United States persons control all substantial decisions or (b) has a valid election in effect under applicable Treasury Regulations to be treated as a United States person.</w:t>
      </w:r>
    </w:p>
    <w:p>
      <w:pPr>
        <w:spacing w:after="0" w:line="2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8" w:name="page49"/>
    <w:bookmarkEnd w:id="4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This discussion assumes that a U.S. holder holds our capital stock as a capital asset within the meaning of Code Section 1221. This discussion does not address all of the tax consequences that may be relevant to a particular stockholder or to stockholders that are subject to special treatment under United States federal income tax laws including, but not limited to, financial institutions, tax-exempt organizations, insurance companies, regulated investment companies, persons that are broker-dealers, traders in securities who elect the mark-to-market method of accounting for their securities, or stockholders holding their shares of our capital stock as part of a “straddle,” “hedge,” “conversion transaction” or other integrated transaction. In addition, this discussion does not address other United States federal taxes (such as gift or estate taxes or alternative minimum taxes), the tax consequences of the reverse stock split under state, local or foreign tax laws or certain tax reporting requirements that may be applicable with respect to the reverse stock split.</w:t>
      </w:r>
    </w:p>
    <w:p>
      <w:pPr>
        <w:spacing w:after="0" w:line="78"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United States federal income tax purposes) is a stockholder, the tax treatment of a partner in the partnership or any equity owner of such other entity will generally depend upon the status of the person and the activities of the partnership or other entity treated as a partnership for United States federal income tax purposes.</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of the Reverse Stock Split Generally</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believe that the reverse stock split should qualify as a “recapitalization” under Section 368(a)(1)(E) of the Code. Accordingly:</w:t>
      </w:r>
    </w:p>
    <w:p>
      <w:pPr>
        <w:spacing w:after="0" w:line="81" w:lineRule="exact"/>
        <w:rPr>
          <w:sz w:val="20"/>
          <w:szCs w:val="20"/>
          <w:color w:val="auto"/>
        </w:rPr>
      </w:pPr>
    </w:p>
    <w:p>
      <w:pPr>
        <w:ind w:left="1980" w:hanging="352"/>
        <w:spacing w:after="0"/>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will not recognize any gain or loss as a result of the reverse stock split.</w:t>
      </w:r>
    </w:p>
    <w:p>
      <w:pPr>
        <w:spacing w:after="0" w:line="130"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aggregate tax basis in his, her or its post-reverse stock split shares will be equal to the aggregate tax basis in the pre-reverse stock split shares exchanged therefor.</w:t>
      </w:r>
    </w:p>
    <w:p>
      <w:pPr>
        <w:spacing w:after="0" w:line="67"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holder’s holding period for the post-reverse stock split shares will include the period during which such stockholder held the pre-reverse stock split shares surrendered in the reverse stock split.</w:t>
      </w:r>
    </w:p>
    <w:p>
      <w:pPr>
        <w:spacing w:after="0" w:line="54"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Holders of shares of our common stock who acquired their shares on different dates and at different prices should consult their tax advisors regarding the allocation of the tax basis and holding period of such shares among their post-reverse stock split shares.</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w:t>
      </w:r>
    </w:p>
    <w:p>
      <w:pPr>
        <w:spacing w:after="0" w:line="108" w:lineRule="exact"/>
        <w:rPr>
          <w:sz w:val="20"/>
          <w:szCs w:val="20"/>
          <w:color w:val="auto"/>
        </w:rPr>
      </w:pPr>
    </w:p>
    <w:p>
      <w:pPr>
        <w:jc w:val="both"/>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Our directors and executive officers have no substantial interests, directly or indirectly, in the matters set forth in this proposal except to the extent of their ownership of shares of our common stock.</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Reservation of Right to Abandon Reverse Stock Split</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We reserve the right to not file the Certificate of Amendment and to abandon any reverse stock split without further action by our stockholders at any time before the effectiveness of the filing with the Secretary of the State of Delaware of the Certificate of Amendment, even if the authority to effect these amendments is approved by our stockholders at the annual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1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our common stock and Series D Preferred Stock voting on an as-converted basis entitled to vote on the matter either in person or by proxy at the annual meeting is required to approve the amendment to our Amended and Restated Certificate of Incorporation to effect a reverse stock split of our common stock. Abstentions will be treated as votes against this proposal. Brokerage firms have authority to vote customers’ unvoted shares held by the firms in street name on this proposal. If a broker does not exercise this authority, such broker non-votes will have the same effect as a vote against such proposal.</w:t>
      </w:r>
    </w:p>
    <w:p>
      <w:pPr>
        <w:spacing w:after="0" w:line="2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49" w:name="page50"/>
    <w:bookmarkEnd w:id="4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AUTHORIZE THE BOARD OF DIRECTORS IN ITS DISCRETION TO AMEND THE AMENDED AND RESTATED CERTIFICATE OF INCORPORATION TO EFFECT A REVERSE STOCK SPLIT OF THE ISSUED AND OUTSTANDING SHARES OF OUR COMMON STOCK (SUCH SPLIT TO COMBINE A NUMBER OF OUTSTANDING SHARES OF OUR COMMON STOCK BETWEEN 5 AND 25, SUCH NUMBER CONSISTING OF ONLY WHOLE SHARES, INTO ONE (1) SHARE OF OUR COMMON STOCK), AND PROXIES SOLICITED BY THE BOARD OF DIRECTORS WILL BE VOTED IN FAVOR OF THE AMENDMENT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0" w:name="page51"/>
    <w:bookmarkEnd w:id="5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PROPOSAL 5: ADVISORY VOTE ON APPROVAL OF EXECUTIVE COMPENSATION</w:t>
      </w:r>
    </w:p>
    <w:p>
      <w:pPr>
        <w:spacing w:after="0" w:line="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AS DISCLOSED IN THIS PROXY STATEMENT</w:t>
      </w:r>
    </w:p>
    <w:p>
      <w:pPr>
        <w:spacing w:after="0" w:line="6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(Notice Item 5)</w:t>
      </w:r>
    </w:p>
    <w:p>
      <w:pPr>
        <w:spacing w:after="0" w:line="108" w:lineRule="exact"/>
        <w:rPr>
          <w:sz w:val="20"/>
          <w:szCs w:val="20"/>
          <w:color w:val="auto"/>
        </w:rPr>
      </w:pPr>
    </w:p>
    <w:p>
      <w:pPr>
        <w:jc w:val="both"/>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We are seeking your advisory vote as required by Section 14A of the Securities Exchange Act of 1934, as amended, on the approval of the compensation of our named executive officers as described in the Compensation Discussion and Analysis, the compensation tables and related material contained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2019 annual meeting of stockholders.</w:t>
      </w:r>
    </w:p>
    <w:p>
      <w:pPr>
        <w:spacing w:after="0" w:line="77"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76" w:lineRule="exact"/>
        <w:rPr>
          <w:sz w:val="20"/>
          <w:szCs w:val="20"/>
          <w:color w:val="auto"/>
        </w:rPr>
      </w:pPr>
    </w:p>
    <w:p>
      <w:pPr>
        <w:jc w:val="both"/>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131" w:lineRule="exact"/>
        <w:rPr>
          <w:sz w:val="20"/>
          <w:szCs w:val="20"/>
          <w:color w:val="auto"/>
        </w:rPr>
      </w:pPr>
    </w:p>
    <w:p>
      <w:pPr>
        <w:ind w:left="1980" w:right="759" w:hanging="352"/>
        <w:spacing w:after="0" w:line="282"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53"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5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82" w:lineRule="exact"/>
        <w:rPr>
          <w:sz w:val="20"/>
          <w:szCs w:val="20"/>
          <w:color w:val="auto"/>
        </w:rPr>
      </w:pPr>
    </w:p>
    <w:p>
      <w:pPr>
        <w:ind w:left="1980" w:hanging="352"/>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30" w:lineRule="exact"/>
        <w:rPr>
          <w:rFonts w:ascii="Times New Roman" w:cs="Times New Roman" w:eastAsia="Times New Roman" w:hAnsi="Times New Roman"/>
          <w:sz w:val="18"/>
          <w:szCs w:val="18"/>
          <w:color w:val="auto"/>
        </w:rPr>
      </w:pPr>
    </w:p>
    <w:p>
      <w:pPr>
        <w:ind w:left="1980" w:hanging="352"/>
        <w:spacing w:after="0"/>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130"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53" w:lineRule="exact"/>
        <w:rPr>
          <w:rFonts w:ascii="Times New Roman" w:cs="Times New Roman" w:eastAsia="Times New Roman" w:hAnsi="Times New Roman"/>
          <w:sz w:val="18"/>
          <w:szCs w:val="18"/>
          <w:color w:val="auto"/>
        </w:rPr>
      </w:pPr>
    </w:p>
    <w:p>
      <w:pPr>
        <w:ind w:left="1980" w:right="759" w:hanging="352"/>
        <w:spacing w:after="0" w:line="282" w:lineRule="auto"/>
        <w:tabs>
          <w:tab w:leader="none" w:pos="1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54"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the rules of the SEC, the following resolution, commonly known as a “say-on-pay” vote, is being submitted for a stockholder vote at the 2018 annual meeting:</w:t>
      </w:r>
    </w:p>
    <w:p>
      <w:pPr>
        <w:spacing w:after="0" w:line="54"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XpresSpa Group, Inc., as disclosed pursuant to the compensation disclosure rules of the Securities and Exchange Commission, the compensation tables and the related material disclosed in the proxy statement, is hereby APPROVED.”</w:t>
      </w:r>
    </w:p>
    <w:p>
      <w:pPr>
        <w:spacing w:after="0" w:line="1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common stock and Series D Preferred Stock voting on an as-converted basis present and entitled to vote on the matter either in person or by proxy at the annual meeting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w:t>
      </w:r>
    </w:p>
    <w:p>
      <w:pPr>
        <w:spacing w:after="0" w:line="25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1" w:name="page52"/>
    <w:bookmarkEnd w:id="51"/>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60" w:right="739"/>
        <w:spacing w:after="0" w:line="261" w:lineRule="auto"/>
        <w:rPr>
          <w:sz w:val="20"/>
          <w:szCs w:val="20"/>
          <w:color w:val="auto"/>
        </w:rPr>
      </w:pPr>
      <w:r>
        <w:rPr>
          <w:rFonts w:ascii="Times New Roman" w:cs="Times New Roman" w:eastAsia="Times New Roman" w:hAnsi="Times New Roman"/>
          <w:sz w:val="18"/>
          <w:szCs w:val="18"/>
          <w:color w:val="auto"/>
        </w:rPr>
        <w:t>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68" w:lineRule="exact"/>
        <w:rPr>
          <w:sz w:val="20"/>
          <w:szCs w:val="20"/>
          <w:color w:val="auto"/>
        </w:rPr>
      </w:pPr>
    </w:p>
    <w:p>
      <w:pPr>
        <w:jc w:val="both"/>
        <w:ind w:left="1260" w:right="7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TO APPROVE THE COMPENSATION OF OUR NAMED EXECUTIVE OFFICERS, AND PROXIES SOLICITED BY THE BOARD OF DIRECTORS WILL BE VOTED IN FAVOR OF SUCH APPROVAL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2" w:name="page53"/>
    <w:bookmarkEnd w:id="52"/>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1480" w:right="100"/>
        <w:spacing w:after="0" w:line="238" w:lineRule="auto"/>
        <w:rPr>
          <w:sz w:val="20"/>
          <w:szCs w:val="20"/>
          <w:color w:val="auto"/>
        </w:rPr>
      </w:pPr>
      <w:r>
        <w:rPr>
          <w:rFonts w:ascii="Times New Roman" w:cs="Times New Roman" w:eastAsia="Times New Roman" w:hAnsi="Times New Roman"/>
          <w:sz w:val="18"/>
          <w:szCs w:val="18"/>
          <w:b w:val="1"/>
          <w:bCs w:val="1"/>
          <w:color w:val="auto"/>
        </w:rPr>
        <w:t>PROPOSAL 6: APPROVAL OF THE ADJOURNMENT OF THE ANNUAL MEETING, IF NECESSARY, TO SOLICIT ADDITIONAL PROXIES IF THERE ARE NOT SUFFICIENT VOTES IN FAVOR OF PROPOSALS 2 THROUGH 5</w:t>
      </w:r>
    </w:p>
    <w:p>
      <w:pPr>
        <w:spacing w:after="0" w:line="5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(Notice Item 6)</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We are asking our stockholders to vote on a proposal to approve the adjournment of the annual meeting, if necessary, to solicit additional proxies if there are not sufficient votes in favor of Proposals 2 through 5.</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56" w:lineRule="auto"/>
        <w:rPr>
          <w:sz w:val="20"/>
          <w:szCs w:val="20"/>
          <w:color w:val="auto"/>
        </w:rPr>
      </w:pPr>
      <w:r>
        <w:rPr>
          <w:rFonts w:ascii="Times New Roman" w:cs="Times New Roman" w:eastAsia="Times New Roman" w:hAnsi="Times New Roman"/>
          <w:sz w:val="18"/>
          <w:szCs w:val="18"/>
          <w:color w:val="auto"/>
        </w:rPr>
        <w:t>Approval of the adjournment of the annual meeting, if necessary, to solicit additional proxies if there are not sufficient votes in favor of the Proposals 2 through 5 requires the affirmative vote of the holders of a majority of the shares of common stock and Series D Preferred Stock present and entitled to vote either in person or by proxy at the annual meeting. A “broker non-vote” or a failure to submit a proxy or vote at the annual meeting will have no effect on the outcome of the vote for this Proposal 6. For purposes of the vote on this Proposal 6, an abstention will have the same effect as a vote “AGAINST” such proposal.</w:t>
      </w:r>
    </w:p>
    <w:p>
      <w:pPr>
        <w:spacing w:after="0" w:line="76" w:lineRule="exact"/>
        <w:rPr>
          <w:sz w:val="20"/>
          <w:szCs w:val="20"/>
          <w:color w:val="auto"/>
        </w:rPr>
      </w:pPr>
    </w:p>
    <w:p>
      <w:pPr>
        <w:jc w:val="both"/>
        <w:ind w:left="1260" w:right="7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ADJOURNMENT OF THE ANNUAL MEETING, IF NECESSARY, TO SOLICIT ADDITIONAL PROXIES IF THERE ARE NOT SUFFICIENT VOTES IN FAVOR OF PROPOSALS 2 THROUGH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3" w:name="page54"/>
    <w:bookmarkEnd w:id="53"/>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PREFERRED STOCKHOLDER PROPOSAL: ELECTION OF DIRECTORS</w:t>
      </w:r>
    </w:p>
    <w:p>
      <w:pPr>
        <w:spacing w:after="0" w:line="108" w:lineRule="exact"/>
        <w:rPr>
          <w:sz w:val="20"/>
          <w:szCs w:val="20"/>
          <w:color w:val="auto"/>
        </w:rPr>
      </w:pPr>
    </w:p>
    <w:p>
      <w:pPr>
        <w:jc w:val="both"/>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On July 26, 2018 the Board of Directors nominated Andrew R. Heyer for election by the holders of Series D Preferred Stock at the annual meeting. If he is elected, Mr. Heyer will serve on our Board of Directors until the 2019 annual meeting of stockholders and until his successor has been elected and qualified.</w:t>
      </w:r>
    </w:p>
    <w:p>
      <w:pPr>
        <w:spacing w:after="0" w:line="68" w:lineRule="exact"/>
        <w:rPr>
          <w:sz w:val="20"/>
          <w:szCs w:val="20"/>
          <w:color w:val="auto"/>
        </w:rPr>
      </w:pPr>
    </w:p>
    <w:p>
      <w:pPr>
        <w:jc w:val="both"/>
        <w:ind w:left="1260" w:right="7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Unless authority to vote for Mr. Heyer is withheld, the shares represented by the enclosed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as directors of Andrew R. Heyer. In the event that Mr. Heyer becomes unable or unwilling to serve, the shares represented by the enclosed proxy will be voted for the election of such other person as the Board of Directors may recommend in Mr. Heyer’s place. We have no reason to believe that Mr. Heyer will be unable or unwilling to serve as a director.</w:t>
      </w:r>
    </w:p>
    <w:p>
      <w:pPr>
        <w:spacing w:after="0" w:line="1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 and Board of Directors’ Recommendation</w:t>
      </w:r>
    </w:p>
    <w:p>
      <w:pPr>
        <w:spacing w:after="0" w:line="108"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 plurality of the shares voted for each nominee at the annual meeting is required to elect each nominee as a director.</w:t>
      </w:r>
    </w:p>
    <w:p>
      <w:pPr>
        <w:spacing w:after="0" w:line="50" w:lineRule="exact"/>
        <w:rPr>
          <w:sz w:val="20"/>
          <w:szCs w:val="20"/>
          <w:color w:val="auto"/>
        </w:rPr>
      </w:pPr>
    </w:p>
    <w:p>
      <w:pPr>
        <w:jc w:val="both"/>
        <w:ind w:left="1260" w:right="7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DOES NOT MAKE A RECOMMENDATION IN FAVOR OF OR AGAINST THE ELECTION OF ANDREW R. HEYER AS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4" w:name="page55"/>
    <w:bookmarkEnd w:id="54"/>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08" w:lineRule="exact"/>
        <w:rPr>
          <w:sz w:val="20"/>
          <w:szCs w:val="20"/>
          <w:color w:val="auto"/>
        </w:rPr>
      </w:pPr>
    </w:p>
    <w:p>
      <w:pPr>
        <w:jc w:val="both"/>
        <w:ind w:left="1260" w:right="739" w:firstLine="360"/>
        <w:spacing w:after="0" w:line="241"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that applies to all of our employees, including our CEO and chief financial and accounting officers. The text of the code of conduct and ethics is posted on the “Investors — Corporate Governance” section of our website at </w:t>
      </w:r>
      <w:r>
        <w:rPr>
          <w:rFonts w:ascii="Times New Roman" w:cs="Times New Roman" w:eastAsia="Times New Roman" w:hAnsi="Times New Roman"/>
          <w:sz w:val="18"/>
          <w:szCs w:val="18"/>
          <w:i w:val="1"/>
          <w:iCs w:val="1"/>
          <w:color w:val="auto"/>
        </w:rPr>
        <w:t>www.xpresspagroup.com</w:t>
      </w:r>
      <w:r>
        <w:rPr>
          <w:rFonts w:ascii="Times New Roman" w:cs="Times New Roman" w:eastAsia="Times New Roman" w:hAnsi="Times New Roman"/>
          <w:sz w:val="18"/>
          <w:szCs w:val="18"/>
          <w:color w:val="auto"/>
        </w:rPr>
        <w:t>, and will be made available to stockholders without charge, upon request, in writing to the Corporate Secretary at 780 Third Avenue,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Nasdaq Stock Market.</w:t>
      </w:r>
    </w:p>
    <w:p>
      <w:pPr>
        <w:spacing w:after="0" w:line="18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08" w:lineRule="exact"/>
        <w:rPr>
          <w:sz w:val="20"/>
          <w:szCs w:val="20"/>
          <w:color w:val="auto"/>
        </w:rPr>
      </w:pPr>
    </w:p>
    <w:p>
      <w:pPr>
        <w:jc w:val="both"/>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5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DIRECTOR</w:t>
      </w:r>
    </w:p>
    <w:p>
      <w:pPr>
        <w:spacing w:after="0" w:line="108" w:lineRule="exact"/>
        <w:rPr>
          <w:sz w:val="20"/>
          <w:szCs w:val="20"/>
          <w:color w:val="auto"/>
        </w:rPr>
      </w:pPr>
    </w:p>
    <w:p>
      <w:pPr>
        <w:jc w:val="both"/>
        <w:ind w:left="1260" w:right="739" w:firstLine="360"/>
        <w:spacing w:after="0" w:line="270" w:lineRule="auto"/>
        <w:rPr>
          <w:sz w:val="20"/>
          <w:szCs w:val="20"/>
          <w:color w:val="auto"/>
        </w:rPr>
      </w:pPr>
      <w:r>
        <w:rPr>
          <w:rFonts w:ascii="Times New Roman" w:cs="Times New Roman" w:eastAsia="Times New Roman" w:hAnsi="Times New Roman"/>
          <w:sz w:val="17"/>
          <w:szCs w:val="17"/>
          <w:color w:val="auto"/>
        </w:rPr>
        <w:t>To be considered for inclusion in the proxy statement relating to our 2019 annual meeting of stockholders, we must receive stockholder proposals (other than for director nominations) no later than April 3, 2019, which is 120 days prior to the date that is one year from this year’s mailing date. To be considered for presentation at the 2019 annual meeting, although not included in the proxy statement, proposals (including director nominations that are not requested to be included in our proxy statement) must be received no earlier than May 18, 2018, which is 75 days prior to the date that is one year from this year’s mailing date and no later than June 17, 2018, which is 45 days prior to the date that is one year from this year’s mailing date. Proposals that are not received in a timely manner will not be voted on at the 2019 annual meeting. If a proposal is received on time, the proxies that management solicits for the meeting may still exercise discretionary voting authority on the proposal under circumstances consistent with the proxy rules of the SEC. All stockholder proposals should be marked for the attention of Tracy Oats at Broadridge Financial Solutions, Inc., 51 Mercedes Way, Edgewood, New Jersey 11717.</w:t>
      </w:r>
    </w:p>
    <w:p>
      <w:pPr>
        <w:spacing w:after="0" w:line="6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August 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97155</wp:posOffset>
            </wp:positionV>
            <wp:extent cx="5600065" cy="7246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00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40"/>
          </w:cols>
          <w:pgMar w:left="240" w:top="114" w:right="1419" w:bottom="1440" w:gutter="0" w:footer="0" w:header="0"/>
        </w:sectPr>
      </w:pPr>
    </w:p>
    <w:bookmarkStart w:id="56" w:name="page57"/>
    <w:bookmarkEnd w:id="56"/>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523240</wp:posOffset>
            </wp:positionV>
            <wp:extent cx="5600065" cy="7246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00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68345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523240</wp:posOffset>
            </wp:positionV>
            <wp:extent cx="5600065" cy="7246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00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683450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523240</wp:posOffset>
            </wp:positionV>
            <wp:extent cx="5600065" cy="7246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00065" cy="7246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68345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APPENDIX B — TEXT OF CERTIFICATE OF AMENDMENT FOR REVERSE STOCK SPLIT</w:t>
      </w:r>
    </w:p>
    <w:p>
      <w:pPr>
        <w:spacing w:after="0" w:line="198"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FORM OF CERTIFICATE OF AMENDMENT</w:t>
      </w:r>
    </w:p>
    <w:p>
      <w:pPr>
        <w:jc w:val="center"/>
        <w:ind w:right="-520"/>
        <w:spacing w:after="0" w:line="226" w:lineRule="auto"/>
        <w:rPr>
          <w:sz w:val="20"/>
          <w:szCs w:val="20"/>
          <w:color w:val="auto"/>
        </w:rPr>
      </w:pPr>
      <w:r>
        <w:rPr>
          <w:rFonts w:ascii="Times New Roman" w:cs="Times New Roman" w:eastAsia="Times New Roman" w:hAnsi="Times New Roman"/>
          <w:sz w:val="18"/>
          <w:szCs w:val="18"/>
          <w:b w:val="1"/>
          <w:bCs w:val="1"/>
          <w:color w:val="auto"/>
        </w:rPr>
        <w:t>TO THE</w:t>
      </w:r>
    </w:p>
    <w:p>
      <w:pPr>
        <w:jc w:val="center"/>
        <w:ind w:right="-520"/>
        <w:spacing w:after="0" w:line="219"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ind w:right="-520"/>
        <w:spacing w:after="0" w:line="219" w:lineRule="auto"/>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XPRESSPA GROUP, INC.</w:t>
      </w:r>
    </w:p>
    <w:p>
      <w:pPr>
        <w:spacing w:after="0" w:line="17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XPRESSPA GROUP, INC.</w:t>
      </w:r>
      <w:r>
        <w:rPr>
          <w:rFonts w:ascii="Times New Roman" w:cs="Times New Roman" w:eastAsia="Times New Roman" w:hAnsi="Times New Roman"/>
          <w:sz w:val="18"/>
          <w:szCs w:val="18"/>
          <w:color w:val="auto"/>
        </w:rPr>
        <w:t>, a Delaware corporation (the “Corporation”), does hereby certify that:</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Corporation is XPRESSPA GROUP, INC.</w:t>
      </w:r>
    </w:p>
    <w:p>
      <w:pPr>
        <w:spacing w:after="0" w:line="117" w:lineRule="exact"/>
        <w:rPr>
          <w:sz w:val="20"/>
          <w:szCs w:val="20"/>
          <w:color w:val="auto"/>
        </w:rPr>
      </w:pPr>
    </w:p>
    <w:p>
      <w:pPr>
        <w:jc w:val="both"/>
        <w:ind w:left="1260" w:right="7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original Certificate of Incorporation of the Corporation was filed with the Secretary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on January 9, 2006 and the Amended and Restated Certificate of Incorporation of the Corporation was filed with the Secretary of State of the State of Delaware on June 22, 2010, as further amended by the Certificates of Amendment to the Amended and Restated Certificate of Incorporation filed on July 19, 2012, November 24, 2015, November 28, 2016, May 5, 2016 and January 5, 2018, respectively.</w:t>
      </w:r>
    </w:p>
    <w:p>
      <w:pPr>
        <w:spacing w:after="0" w:line="72" w:lineRule="exact"/>
        <w:rPr>
          <w:sz w:val="20"/>
          <w:szCs w:val="20"/>
          <w:color w:val="auto"/>
        </w:rPr>
      </w:pPr>
    </w:p>
    <w:p>
      <w:pPr>
        <w:jc w:val="both"/>
        <w:ind w:left="1260" w:right="7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Board of Directors of the Corporation (the “Board”), acting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Sections 141 and 242 of the General Corporation Law of the State of Delaware (the “DGCL”), adopted resolutions amending the Corporation’s Amended and Restated Certificate of Incorporation as follows:</w:t>
      </w:r>
    </w:p>
    <w:p>
      <w:pPr>
        <w:spacing w:after="0" w:line="67" w:lineRule="exact"/>
        <w:rPr>
          <w:sz w:val="20"/>
          <w:szCs w:val="20"/>
          <w:color w:val="auto"/>
        </w:rPr>
      </w:pPr>
    </w:p>
    <w:p>
      <w:pPr>
        <w:jc w:val="both"/>
        <w:ind w:left="1260" w:right="739" w:firstLine="360"/>
        <w:spacing w:after="0" w:line="282" w:lineRule="auto"/>
        <w:rPr>
          <w:sz w:val="20"/>
          <w:szCs w:val="20"/>
          <w:color w:val="auto"/>
        </w:rPr>
      </w:pPr>
      <w:r>
        <w:rPr>
          <w:rFonts w:ascii="Times New Roman" w:cs="Times New Roman" w:eastAsia="Times New Roman" w:hAnsi="Times New Roman"/>
          <w:sz w:val="18"/>
          <w:szCs w:val="18"/>
          <w:color w:val="auto"/>
        </w:rPr>
        <w:t>Article Fourth of the Corporation’s Amended and Restated Certificate of Incorporation is hereby amended by amending the following Sections (3), (4) and (5) as follows:</w:t>
      </w:r>
    </w:p>
    <w:p>
      <w:pPr>
        <w:spacing w:after="0" w:line="54" w:lineRule="exact"/>
        <w:rPr>
          <w:sz w:val="20"/>
          <w:szCs w:val="20"/>
          <w:color w:val="auto"/>
        </w:rPr>
      </w:pPr>
    </w:p>
    <w:p>
      <w:pPr>
        <w:jc w:val="both"/>
        <w:ind w:left="1260" w:right="739" w:firstLine="360"/>
        <w:spacing w:after="0" w:line="254" w:lineRule="auto"/>
        <w:rPr>
          <w:sz w:val="20"/>
          <w:szCs w:val="20"/>
          <w:color w:val="auto"/>
        </w:rPr>
      </w:pPr>
      <w:r>
        <w:rPr>
          <w:rFonts w:ascii="Times New Roman" w:cs="Times New Roman" w:eastAsia="Times New Roman" w:hAnsi="Times New Roman"/>
          <w:sz w:val="18"/>
          <w:szCs w:val="18"/>
          <w:color w:val="auto"/>
        </w:rPr>
        <w:t>“(3) Reverse Stock Split. Upon the effectiveness of this Certificate of Amendment to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 ]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78" w:lineRule="exact"/>
        <w:rPr>
          <w:sz w:val="20"/>
          <w:szCs w:val="20"/>
          <w:color w:val="auto"/>
        </w:rPr>
      </w:pPr>
    </w:p>
    <w:p>
      <w:pPr>
        <w:jc w:val="both"/>
        <w:ind w:left="1260" w:right="739" w:firstLine="368"/>
        <w:spacing w:after="0" w:line="253" w:lineRule="auto"/>
        <w:tabs>
          <w:tab w:leader="none" w:pos="19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85" w:lineRule="exact"/>
        <w:rPr>
          <w:sz w:val="20"/>
          <w:szCs w:val="20"/>
          <w:color w:val="auto"/>
        </w:rPr>
      </w:pPr>
    </w:p>
    <w:p>
      <w:pPr>
        <w:ind w:left="1620"/>
        <w:spacing w:after="0"/>
        <w:tabs>
          <w:tab w:leader="none" w:pos="6500" w:val="left"/>
          <w:tab w:leader="none" w:pos="8060" w:val="left"/>
        </w:tabs>
        <w:rPr>
          <w:sz w:val="20"/>
          <w:szCs w:val="20"/>
          <w:color w:val="auto"/>
        </w:rPr>
      </w:pPr>
      <w:r>
        <w:rPr>
          <w:rFonts w:ascii="Times New Roman" w:cs="Times New Roman" w:eastAsia="Times New Roman" w:hAnsi="Times New Roman"/>
          <w:sz w:val="18"/>
          <w:szCs w:val="18"/>
          <w:color w:val="auto"/>
        </w:rPr>
        <w:t>(5) This Certificate of Amendment shall be effective on [</w:t>
      </w:r>
      <w:r>
        <w:rPr>
          <w:sz w:val="20"/>
          <w:szCs w:val="20"/>
          <w:color w:val="auto"/>
        </w:rPr>
        <w:tab/>
      </w:r>
      <w:r>
        <w:rPr>
          <w:rFonts w:ascii="Times New Roman" w:cs="Times New Roman" w:eastAsia="Times New Roman" w:hAnsi="Times New Roman"/>
          <w:sz w:val="18"/>
          <w:szCs w:val="18"/>
          <w:color w:val="auto"/>
        </w:rPr>
        <w:t>], 2018 at [</w:t>
      </w:r>
      <w:r>
        <w:rPr>
          <w:sz w:val="20"/>
          <w:szCs w:val="20"/>
          <w:color w:val="auto"/>
        </w:rPr>
        <w:tab/>
      </w:r>
      <w:r>
        <w:rPr>
          <w:rFonts w:ascii="Times New Roman" w:cs="Times New Roman" w:eastAsia="Times New Roman" w:hAnsi="Times New Roman"/>
          <w:sz w:val="18"/>
          <w:szCs w:val="18"/>
          <w:color w:val="auto"/>
        </w:rPr>
        <w:t>], Eastern time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1260" w:right="7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Thereafter, pursuant to a resolution of the Board, this Certificate of Amendment was submitted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stockholders of the Corporation for their approval, and was duly adopted in accordance with the provisions of Sections 222 and 242 of the DGCL.</w:t>
      </w:r>
    </w:p>
    <w:p>
      <w:pPr>
        <w:spacing w:after="0" w:line="2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10219"/>
          </w:cols>
          <w:pgMar w:left="240" w:top="114" w:right="1440" w:bottom="1440" w:gutter="0" w:footer="0" w:header="0"/>
        </w:sectPr>
      </w:pPr>
    </w:p>
    <w:bookmarkStart w:id="60" w:name="page61"/>
    <w:bookmarkEnd w:id="60"/>
    <w:p>
      <w:pPr>
        <w:spacing w:after="0"/>
        <w:rPr>
          <w:rFonts w:ascii="Arial" w:cs="Arial" w:eastAsia="Arial" w:hAnsi="Arial"/>
          <w:sz w:val="14"/>
          <w:szCs w:val="14"/>
          <w:color w:val="003366"/>
        </w:rPr>
      </w:pPr>
      <w:hyperlink w:anchor="page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739"/>
        <w:spacing w:after="0"/>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by Edward Jankowski, its Chief Executive Officer, as of the [</w:t>
            </w:r>
          </w:p>
        </w:tc>
        <w:tc>
          <w:tcPr>
            <w:tcW w:w="1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day of [</w:t>
            </w:r>
          </w:p>
        </w:tc>
        <w:tc>
          <w:tcPr>
            <w:tcW w:w="17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 2018.</w:t>
            </w:r>
          </w:p>
        </w:tc>
      </w:tr>
      <w:tr>
        <w:trPr>
          <w:trHeight w:val="333"/>
        </w:trPr>
        <w:tc>
          <w:tcPr>
            <w:tcW w:w="6440" w:type="dxa"/>
            <w:vAlign w:val="bottom"/>
            <w:gridSpan w:val="2"/>
          </w:tcPr>
          <w:p>
            <w:pPr>
              <w:ind w:left="4340"/>
              <w:spacing w:after="0"/>
              <w:rPr>
                <w:sz w:val="20"/>
                <w:szCs w:val="20"/>
                <w:color w:val="auto"/>
              </w:rPr>
            </w:pPr>
            <w:r>
              <w:rPr>
                <w:rFonts w:ascii="Times New Roman" w:cs="Times New Roman" w:eastAsia="Times New Roman" w:hAnsi="Times New Roman"/>
                <w:sz w:val="18"/>
                <w:szCs w:val="18"/>
                <w:b w:val="1"/>
                <w:bCs w:val="1"/>
                <w:color w:val="auto"/>
                <w:w w:val="99"/>
              </w:rPr>
              <w:t>XPRESSPA GROUP, INC.</w:t>
            </w:r>
          </w:p>
        </w:tc>
        <w:tc>
          <w:tcPr>
            <w:tcW w:w="1780" w:type="dxa"/>
            <w:vAlign w:val="bottom"/>
          </w:tcPr>
          <w:p>
            <w:pPr>
              <w:spacing w:after="0"/>
              <w:rPr>
                <w:sz w:val="24"/>
                <w:szCs w:val="24"/>
                <w:color w:val="auto"/>
              </w:rPr>
            </w:pPr>
          </w:p>
        </w:tc>
      </w:tr>
      <w:tr>
        <w:trPr>
          <w:trHeight w:val="365"/>
        </w:trPr>
        <w:tc>
          <w:tcPr>
            <w:tcW w:w="498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By:</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6"/>
        </w:trPr>
        <w:tc>
          <w:tcPr>
            <w:tcW w:w="4980" w:type="dxa"/>
            <w:vAlign w:val="bottom"/>
          </w:tcPr>
          <w:p>
            <w:pPr>
              <w:ind w:left="4340"/>
              <w:spacing w:after="0" w:line="196" w:lineRule="exact"/>
              <w:rPr>
                <w:sz w:val="20"/>
                <w:szCs w:val="20"/>
                <w:color w:val="auto"/>
              </w:rPr>
            </w:pPr>
            <w:r>
              <w:rPr>
                <w:rFonts w:ascii="Times New Roman" w:cs="Times New Roman" w:eastAsia="Times New Roman" w:hAnsi="Times New Roman"/>
                <w:sz w:val="18"/>
                <w:szCs w:val="18"/>
                <w:color w:val="auto"/>
              </w:rPr>
              <w:t>Name:</w:t>
            </w:r>
          </w:p>
        </w:tc>
        <w:tc>
          <w:tcPr>
            <w:tcW w:w="14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Edward Jankowski</w:t>
            </w:r>
          </w:p>
        </w:tc>
        <w:tc>
          <w:tcPr>
            <w:tcW w:w="1780" w:type="dxa"/>
            <w:vAlign w:val="bottom"/>
          </w:tcPr>
          <w:p>
            <w:pPr>
              <w:spacing w:after="0"/>
              <w:rPr>
                <w:sz w:val="17"/>
                <w:szCs w:val="17"/>
                <w:color w:val="auto"/>
              </w:rPr>
            </w:pPr>
          </w:p>
        </w:tc>
      </w:tr>
      <w:tr>
        <w:trPr>
          <w:trHeight w:val="234"/>
        </w:trPr>
        <w:tc>
          <w:tcPr>
            <w:tcW w:w="4980" w:type="dxa"/>
            <w:vAlign w:val="bottom"/>
          </w:tcPr>
          <w:p>
            <w:pPr>
              <w:ind w:left="4340"/>
              <w:spacing w:after="0"/>
              <w:rPr>
                <w:sz w:val="20"/>
                <w:szCs w:val="20"/>
                <w:color w:val="auto"/>
              </w:rPr>
            </w:pPr>
            <w:r>
              <w:rPr>
                <w:rFonts w:ascii="Times New Roman" w:cs="Times New Roman" w:eastAsia="Times New Roman" w:hAnsi="Times New Roman"/>
                <w:sz w:val="18"/>
                <w:szCs w:val="18"/>
                <w:color w:val="auto"/>
              </w:rPr>
              <w:t>Title:</w:t>
            </w: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245110</wp:posOffset>
            </wp:positionV>
            <wp:extent cx="683450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10219"/>
      </w:cols>
      <w:pgMar w:left="2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lvl w:ilvl="1">
      <w:lvlJc w:val="left"/>
      <w:lvlText w:val="%2)"/>
      <w:numFmt w:val="decimal"/>
      <w:start w:val="1"/>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lowerRoman"/>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9"/>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0"/>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1)"/>
      <w:numFmt w:val="decimal"/>
      <w:start w:val="2"/>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1)"/>
      <w:numFmt w:val="decimal"/>
      <w:start w:val="1"/>
    </w:lvl>
  </w:abstractNum>
  <w:abstractNum w:abstractNumId="27">
    <w:nsid w:val="3804823E"/>
    <w:multiLevelType w:val="hybridMultilevel"/>
    <w:lvl w:ilvl="0">
      <w:lvlJc w:val="left"/>
      <w:lvlText w:val="(%1)"/>
      <w:numFmt w:val="decimal"/>
      <w:start w:val="3"/>
    </w:lvl>
  </w:abstractNum>
  <w:abstractNum w:abstractNumId="28">
    <w:nsid w:val="77465F01"/>
    <w:multiLevelType w:val="hybridMultilevel"/>
    <w:lvl w:ilvl="0">
      <w:lvlJc w:val="left"/>
      <w:lvlText w:val="(%1)"/>
      <w:numFmt w:val="decimal"/>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1)"/>
      <w:numFmt w:val="lowerRoman"/>
      <w:start w:val="2"/>
    </w:lvl>
  </w:abstractNum>
  <w:abstractNum w:abstractNumId="32">
    <w:nsid w:val="5E884ADC"/>
    <w:multiLevelType w:val="hybridMultilevel"/>
    <w:lvl w:ilvl="0">
      <w:lvlJc w:val="left"/>
      <w:lvlText w:val="(%1)"/>
      <w:numFmt w:val="decimal"/>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1)"/>
      <w:numFmt w:val="decimal"/>
      <w:start w:val="4"/>
    </w:lvl>
  </w:abstractNum>
  <w:abstractNum w:abstractNumId="40">
    <w:nsid w:val="2A487CB0"/>
    <w:multiLevelType w:val="hybridMultilevel"/>
    <w:lvl w:ilvl="0">
      <w:lvlJc w:val="left"/>
      <w:lvlText w:val="(%1)"/>
      <w:numFmt w:val="lowerRoman"/>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2019-12-07T10:17:34Z</dcterms:created>
  <dcterms:modified xsi:type="dcterms:W3CDTF">2019-12-07T10:17:34Z</dcterms:modified>
</cp:coreProperties>
</file>