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ectPr>
          <w:pgSz w:w="11900" w:h="16838" w:orient="portrait"/>
          <w:cols w:equalWidth="0" w:num="1">
            <w:col w:w="10500"/>
          </w:cols>
          <w:pgMar w:left="320" w:top="445" w:right="107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N-CEN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25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463" w:lineRule="exact"/>
        <w:rPr>
          <w:sz w:val="24"/>
          <w:szCs w:val="24"/>
          <w:color w:val="auto"/>
        </w:rPr>
      </w:pPr>
    </w:p>
    <w:p>
      <w:pPr>
        <w:sectPr>
          <w:pgSz w:w="11900" w:h="16838" w:orient="portrait"/>
          <w:cols w:equalWidth="0" w:num="9">
            <w:col w:w="1540" w:space="720"/>
            <w:col w:w="1240" w:space="560"/>
            <w:col w:w="1260" w:space="540"/>
            <w:col w:w="160" w:space="80"/>
            <w:col w:w="820" w:space="720"/>
            <w:col w:w="180" w:space="80"/>
            <w:col w:w="820" w:space="720"/>
            <w:col w:w="160" w:space="100"/>
            <w:col w:w="800"/>
          </w:cols>
          <w:pgMar w:left="320" w:top="445" w:right="1079" w:bottom="1440" w:gutter="0" w:footer="0" w:header="0"/>
          <w:type w:val="continuous"/>
        </w:sectPr>
      </w:pPr>
    </w:p>
    <w:p>
      <w:pPr>
        <w:ind w:left="226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June 30, 2020</w:t>
      </w:r>
    </w:p>
    <w:p>
      <w:pPr>
        <w:spacing w:after="0" w:line="225" w:lineRule="exact"/>
        <w:rPr>
          <w:sz w:val="24"/>
          <w:szCs w:val="24"/>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60" w:right="5600" w:firstLine="2"/>
        <w:spacing w:after="0" w:line="288" w:lineRule="auto"/>
        <w:tabs>
          <w:tab w:leader="none" w:pos="255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2994025</wp:posOffset>
            </wp:positionH>
            <wp:positionV relativeFrom="paragraph">
              <wp:posOffset>-49530</wp:posOffset>
            </wp:positionV>
            <wp:extent cx="19424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320" w:top="445" w:right="10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 (b),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117475</wp:posOffset>
            </wp:positionV>
            <wp:extent cx="8255" cy="977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97726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405" w:hanging="405"/>
        <w:spacing w:after="0"/>
        <w:tabs>
          <w:tab w:leader="none" w:pos="40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101" w:lineRule="exact"/>
        <w:rPr>
          <w:rFonts w:ascii="Arial" w:cs="Arial" w:eastAsia="Arial" w:hAnsi="Arial"/>
          <w:sz w:val="17"/>
          <w:szCs w:val="17"/>
          <w:color w:val="auto"/>
        </w:rPr>
      </w:pPr>
    </w:p>
    <w:p>
      <w:pPr>
        <w:jc w:val="both"/>
        <w:ind w:left="405" w:right="60" w:hanging="405"/>
        <w:spacing w:after="0" w:line="259"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51" w:lineRule="exact"/>
        <w:rPr>
          <w:rFonts w:ascii="Arial" w:cs="Arial" w:eastAsia="Arial" w:hAnsi="Arial"/>
          <w:sz w:val="18"/>
          <w:szCs w:val="18"/>
          <w:color w:val="auto"/>
        </w:rPr>
      </w:pPr>
    </w:p>
    <w:p>
      <w:pPr>
        <w:ind w:left="405" w:hanging="405"/>
        <w:spacing w:after="0"/>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0" w:lineRule="exact"/>
        <w:rPr>
          <w:sz w:val="20"/>
          <w:szCs w:val="20"/>
          <w:color w:val="auto"/>
        </w:rPr>
      </w:pPr>
    </w:p>
    <w:p>
      <w:pPr>
        <w:sectPr>
          <w:pgSz w:w="11900" w:h="16838" w:orient="portrait"/>
          <w:cols w:equalWidth="0" w:num="2">
            <w:col w:w="460" w:space="335"/>
            <w:col w:w="10445"/>
          </w:cols>
          <w:pgMar w:left="320" w:top="688"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the reasons why Forms 10-K, 20-F, 11-K, 10-Q, N-CEN, N-CSR, or the transition report or portion thereof, could not be filed within the prescribed time period.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XpresSpa Group, Inc. (the “Company”) cannot timely file its Form 10-Q for the period ended June 30, 2020 (the “Quarterly Report”), originally due on August 14, 2020, due to ongoing disruptions from the unprecedented conditions surrounding the outbreak and spread of the coronavirus pandemic. The Company continues to experience delays in operations and business for the reasons previously disclosed in its Current Reports on Form 8-K filed with the SEC on March 30, 2020 and April 28, 2020, which are hereby incorporated by reference. Such delays were further exacerbated by delays which occurred in connection with the preparation of the Company’s Annual Report on Form 10-K for the year ended December 31, 2019 and its Quarterly Report on Form 10-Q for the period ended March 31, 2020, for the same reasons referred to above. This has, in turn, delayed the Company’s ability to complete its financial reporting process and prepare the Quarterly Report. The delay could not be eliminated by the Company without undue expense and unreasonable effort. The Company will file the subject Quarterly Report no later than August 19,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tcPr>
          <w:p>
            <w:pPr>
              <w:jc w:val="center"/>
              <w:spacing w:after="0"/>
              <w:rPr>
                <w:sz w:val="20"/>
                <w:szCs w:val="20"/>
                <w:color w:val="auto"/>
              </w:rPr>
            </w:pPr>
            <w:r>
              <w:rPr>
                <w:rFonts w:ascii="Arial" w:cs="Arial" w:eastAsia="Arial" w:hAnsi="Arial"/>
                <w:sz w:val="18"/>
                <w:szCs w:val="18"/>
                <w:color w:val="auto"/>
                <w:w w:val="88"/>
              </w:rPr>
              <w:t>Douglas Satzman</w:t>
            </w:r>
          </w:p>
        </w:tc>
        <w:tc>
          <w:tcPr>
            <w:tcW w:w="3020" w:type="dxa"/>
            <w:vAlign w:val="bottom"/>
            <w:gridSpan w:val="2"/>
          </w:tcPr>
          <w:p>
            <w:pPr>
              <w:jc w:val="right"/>
              <w:ind w:right="1130"/>
              <w:spacing w:after="0"/>
              <w:rPr>
                <w:sz w:val="20"/>
                <w:szCs w:val="20"/>
                <w:color w:val="auto"/>
              </w:rPr>
            </w:pPr>
            <w:r>
              <w:rPr>
                <w:rFonts w:ascii="Arial" w:cs="Arial" w:eastAsia="Arial" w:hAnsi="Arial"/>
                <w:sz w:val="18"/>
                <w:szCs w:val="18"/>
                <w:color w:val="auto"/>
              </w:rPr>
              <w:t>(212)</w:t>
            </w:r>
          </w:p>
        </w:tc>
        <w:tc>
          <w:tcPr>
            <w:tcW w:w="3740" w:type="dxa"/>
            <w:vAlign w:val="bottom"/>
            <w:gridSpan w:val="2"/>
          </w:tcPr>
          <w:p>
            <w:pPr>
              <w:jc w:val="right"/>
              <w:ind w:right="1330"/>
              <w:spacing w:after="0"/>
              <w:rPr>
                <w:sz w:val="20"/>
                <w:szCs w:val="20"/>
                <w:color w:val="auto"/>
              </w:rPr>
            </w:pPr>
            <w:r>
              <w:rPr>
                <w:rFonts w:ascii="Arial" w:cs="Arial" w:eastAsia="Arial" w:hAnsi="Arial"/>
                <w:sz w:val="18"/>
                <w:szCs w:val="18"/>
                <w:color w:val="auto"/>
              </w:rPr>
              <w:t>309-7549</w:t>
            </w:r>
          </w:p>
        </w:tc>
      </w:tr>
      <w:tr>
        <w:trPr>
          <w:trHeight w:val="224"/>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0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340" w:right="10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rFonts w:ascii="Arial" w:cs="Arial" w:eastAsia="Arial" w:hAnsi="Arial"/>
          <w:sz w:val="18"/>
          <w:szCs w:val="18"/>
          <w:color w:val="auto"/>
        </w:rPr>
      </w:pPr>
    </w:p>
    <w:p>
      <w:pPr>
        <w:ind w:left="540" w:hanging="195"/>
        <w:spacing w:after="0" w:line="207" w:lineRule="exact"/>
        <w:tabs>
          <w:tab w:leader="none" w:pos="54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0" w:lineRule="exact"/>
        <w:rPr>
          <w:rFonts w:ascii="MS PGothic" w:cs="MS PGothic" w:eastAsia="MS PGothic" w:hAnsi="MS PGothic"/>
          <w:sz w:val="18"/>
          <w:szCs w:val="18"/>
          <w:color w:val="auto"/>
        </w:rPr>
      </w:pPr>
    </w:p>
    <w:p>
      <w:pPr>
        <w:ind w:left="340" w:right="12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ind w:left="540" w:hanging="195"/>
        <w:spacing w:after="0" w:line="207" w:lineRule="exact"/>
        <w:tabs>
          <w:tab w:leader="none" w:pos="54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-550545</wp:posOffset>
            </wp:positionV>
            <wp:extent cx="6917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9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previously disclosed, effective March 24, 2020, the Company temporarily closed all global spa locations, largely due to the categorization of the spa locations by local jurisdictions as “non-essential services”. As a result, the Company expects to report de minimis revenues during the three months ended June 30, 2020 compared to $12.9 million in the corresponding period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80" w:type="dxa"/>
            <w:vAlign w:val="bottom"/>
            <w:gridSpan w:val="3"/>
          </w:tcPr>
          <w:p>
            <w:pPr>
              <w:jc w:val="center"/>
              <w:ind w:right="730"/>
              <w:spacing w:after="0"/>
              <w:rPr>
                <w:sz w:val="20"/>
                <w:szCs w:val="20"/>
                <w:color w:val="auto"/>
              </w:rPr>
            </w:pPr>
            <w:r>
              <w:rPr>
                <w:rFonts w:ascii="Arial" w:cs="Arial" w:eastAsia="Arial" w:hAnsi="Arial"/>
                <w:sz w:val="18"/>
                <w:szCs w:val="18"/>
                <w:color w:val="auto"/>
                <w:w w:val="91"/>
              </w:rPr>
              <w:t>XPRESSPA GROUP, INC.</w:t>
            </w:r>
          </w:p>
        </w:tc>
        <w:tc>
          <w:tcPr>
            <w:tcW w:w="38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36"/>
        </w:trPr>
        <w:tc>
          <w:tcPr>
            <w:tcW w:w="2820" w:type="dxa"/>
            <w:vAlign w:val="bottom"/>
          </w:tcPr>
          <w:p>
            <w:pPr>
              <w:spacing w:after="0"/>
              <w:rPr>
                <w:sz w:val="20"/>
                <w:szCs w:val="20"/>
                <w:color w:val="auto"/>
              </w:rPr>
            </w:pPr>
          </w:p>
        </w:tc>
        <w:tc>
          <w:tcPr>
            <w:tcW w:w="4600" w:type="dxa"/>
            <w:vAlign w:val="bottom"/>
            <w:gridSpan w:val="4"/>
          </w:tcPr>
          <w:p>
            <w:pPr>
              <w:jc w:val="center"/>
              <w:ind w:left="930"/>
              <w:spacing w:after="0"/>
              <w:rPr>
                <w:sz w:val="20"/>
                <w:szCs w:val="20"/>
                <w:color w:val="auto"/>
              </w:rPr>
            </w:pPr>
            <w:r>
              <w:rPr>
                <w:rFonts w:ascii="Arial" w:cs="Arial" w:eastAsia="Arial" w:hAnsi="Arial"/>
                <w:sz w:val="18"/>
                <w:szCs w:val="18"/>
                <w:color w:val="auto"/>
                <w:w w:val="90"/>
              </w:rPr>
              <w:t>(Name of Registrant as Specified in Charter)</w:t>
            </w:r>
          </w:p>
        </w:tc>
        <w:tc>
          <w:tcPr>
            <w:tcW w:w="3820" w:type="dxa"/>
            <w:vAlign w:val="bottom"/>
          </w:tcPr>
          <w:p>
            <w:pPr>
              <w:spacing w:after="0"/>
              <w:rPr>
                <w:sz w:val="20"/>
                <w:szCs w:val="20"/>
                <w:color w:val="auto"/>
              </w:rPr>
            </w:pPr>
          </w:p>
        </w:tc>
      </w:tr>
      <w:tr>
        <w:trPr>
          <w:trHeight w:val="432"/>
        </w:trPr>
        <w:tc>
          <w:tcPr>
            <w:tcW w:w="7420" w:type="dxa"/>
            <w:vAlign w:val="bottom"/>
            <w:gridSpan w:val="5"/>
          </w:tcPr>
          <w:p>
            <w:pPr>
              <w:spacing w:after="0"/>
              <w:rPr>
                <w:sz w:val="20"/>
                <w:szCs w:val="20"/>
                <w:color w:val="auto"/>
              </w:rPr>
            </w:pPr>
            <w:r>
              <w:rPr>
                <w:rFonts w:ascii="Arial" w:cs="Arial" w:eastAsia="Arial" w:hAnsi="Arial"/>
                <w:sz w:val="18"/>
                <w:szCs w:val="18"/>
                <w:color w:val="auto"/>
                <w:w w:val="93"/>
              </w:rPr>
              <w:t>has caused this notification to be signed on its behalf by the undersigned thereunto duly authorized.</w:t>
            </w:r>
          </w:p>
        </w:tc>
        <w:tc>
          <w:tcPr>
            <w:tcW w:w="3820" w:type="dxa"/>
            <w:vAlign w:val="bottom"/>
          </w:tcPr>
          <w:p>
            <w:pPr>
              <w:spacing w:after="0"/>
              <w:rPr>
                <w:sz w:val="24"/>
                <w:szCs w:val="24"/>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 August 14, 2020</w:t>
            </w:r>
          </w:p>
        </w:tc>
        <w:tc>
          <w:tcPr>
            <w:tcW w:w="1820" w:type="dxa"/>
            <w:vAlign w:val="bottom"/>
          </w:tcPr>
          <w:p>
            <w:pPr>
              <w:spacing w:after="0"/>
              <w:rPr>
                <w:sz w:val="24"/>
                <w:szCs w:val="24"/>
                <w:color w:val="auto"/>
              </w:rPr>
            </w:pPr>
          </w:p>
        </w:tc>
        <w:tc>
          <w:tcPr>
            <w:tcW w:w="6600" w:type="dxa"/>
            <w:vAlign w:val="bottom"/>
            <w:gridSpan w:val="4"/>
          </w:tcPr>
          <w:p>
            <w:pPr>
              <w:ind w:left="1880"/>
              <w:spacing w:after="0"/>
              <w:rPr>
                <w:sz w:val="20"/>
                <w:szCs w:val="20"/>
                <w:color w:val="auto"/>
              </w:rPr>
            </w:pPr>
            <w:r>
              <w:rPr>
                <w:rFonts w:ascii="Arial" w:cs="Arial" w:eastAsia="Arial" w:hAnsi="Arial"/>
                <w:sz w:val="18"/>
                <w:szCs w:val="18"/>
                <w:color w:val="auto"/>
              </w:rPr>
              <w:t>By: /s/ Douglas Satzman</w:t>
            </w:r>
          </w:p>
        </w:tc>
      </w:tr>
      <w:tr>
        <w:trPr>
          <w:trHeight w:val="195"/>
        </w:trPr>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Douglas Satzman</w:t>
            </w:r>
          </w:p>
        </w:tc>
      </w:tr>
      <w:tr>
        <w:trPr>
          <w:trHeight w:val="230"/>
        </w:trPr>
        <w:tc>
          <w:tcPr>
            <w:tcW w:w="2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46"/>
        </w:trPr>
        <w:tc>
          <w:tcPr>
            <w:tcW w:w="2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2020-08-14T15:52:56Z</dcterms:created>
  <dcterms:modified xsi:type="dcterms:W3CDTF">2020-08-14T15:52:56Z</dcterms:modified>
</cp:coreProperties>
</file>