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November 15,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1-34785</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18 East 16th Street, 7th Floor</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90"/>
              </w:rPr>
              <w:t>New York, New York</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10003</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November 15, 2010, Vringo, Inc. issued a press release announcing its financial results for the quarter ended September 30, 2010. A copy of the press release is attached hereto as Exhibit 99.1 and is incorporated herein by reference.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15, 2010</w:t>
      </w:r>
    </w:p>
    <w:p>
      <w:pPr>
        <w:sectPr>
          <w:pgSz w:w="11900" w:h="16838" w:orient="portrait"/>
          <w:cols w:equalWidth="0" w:num="1">
            <w:col w:w="11420"/>
          </w:cols>
          <w:pgMar w:left="240" w:top="4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tcPr>
          <w:p>
            <w:pPr>
              <w:spacing w:after="0"/>
              <w:rPr>
                <w:sz w:val="20"/>
                <w:szCs w:val="20"/>
                <w:color w:val="auto"/>
              </w:rPr>
            </w:pPr>
            <w:r>
              <w:rPr>
                <w:rFonts w:ascii="Arial" w:cs="Arial" w:eastAsia="Arial" w:hAnsi="Arial"/>
                <w:sz w:val="18"/>
                <w:szCs w:val="18"/>
                <w:color w:val="auto"/>
              </w:rPr>
              <w:t>Dated: November 15, 2010</w:t>
            </w:r>
          </w:p>
        </w:tc>
        <w:tc>
          <w:tcPr>
            <w:tcW w:w="3640" w:type="dxa"/>
            <w:vAlign w:val="bottom"/>
            <w:gridSpan w:val="2"/>
          </w:tcPr>
          <w:p>
            <w:pPr>
              <w:ind w:left="2080"/>
              <w:spacing w:after="0"/>
              <w:rPr>
                <w:sz w:val="20"/>
                <w:szCs w:val="20"/>
                <w:color w:val="auto"/>
              </w:rPr>
            </w:pPr>
            <w:r>
              <w:rPr>
                <w:rFonts w:ascii="Arial" w:cs="Arial" w:eastAsia="Arial" w:hAnsi="Arial"/>
                <w:sz w:val="18"/>
                <w:szCs w:val="18"/>
                <w:b w:val="1"/>
                <w:bCs w:val="1"/>
                <w:color w:val="auto"/>
              </w:rPr>
              <w:t>VRINGO, INC.</w:t>
            </w:r>
          </w:p>
        </w:tc>
        <w:tc>
          <w:tcPr>
            <w:tcW w:w="3800" w:type="dxa"/>
            <w:vAlign w:val="bottom"/>
          </w:tcPr>
          <w:p>
            <w:pPr>
              <w:spacing w:after="0"/>
              <w:rPr>
                <w:sz w:val="19"/>
                <w:szCs w:val="19"/>
                <w:color w:val="auto"/>
              </w:rPr>
            </w:pPr>
          </w:p>
        </w:tc>
      </w:tr>
      <w:tr>
        <w:trPr>
          <w:trHeight w:val="441"/>
        </w:trPr>
        <w:tc>
          <w:tcPr>
            <w:tcW w:w="3980" w:type="dxa"/>
            <w:vAlign w:val="bottom"/>
          </w:tcPr>
          <w:p>
            <w:pPr>
              <w:spacing w:after="0"/>
              <w:rPr>
                <w:sz w:val="24"/>
                <w:szCs w:val="24"/>
                <w:color w:val="auto"/>
              </w:rPr>
            </w:pPr>
          </w:p>
        </w:tc>
        <w:tc>
          <w:tcPr>
            <w:tcW w:w="364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3800" w:type="dxa"/>
            <w:vAlign w:val="bottom"/>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r>
      <w:tr>
        <w:trPr>
          <w:trHeight w:val="208"/>
        </w:trPr>
        <w:tc>
          <w:tcPr>
            <w:tcW w:w="3980" w:type="dxa"/>
            <w:vAlign w:val="bottom"/>
          </w:tcPr>
          <w:p>
            <w:pPr>
              <w:spacing w:after="0"/>
              <w:rPr>
                <w:sz w:val="18"/>
                <w:szCs w:val="18"/>
                <w:color w:val="auto"/>
              </w:rPr>
            </w:pPr>
          </w:p>
        </w:tc>
        <w:tc>
          <w:tcPr>
            <w:tcW w:w="2560" w:type="dxa"/>
            <w:vAlign w:val="bottom"/>
          </w:tcPr>
          <w:p>
            <w:pPr>
              <w:ind w:left="2080"/>
              <w:spacing w:after="0"/>
              <w:rPr>
                <w:sz w:val="20"/>
                <w:szCs w:val="20"/>
                <w:color w:val="auto"/>
              </w:rPr>
            </w:pPr>
            <w:r>
              <w:rPr>
                <w:rFonts w:ascii="Arial" w:cs="Arial" w:eastAsia="Arial" w:hAnsi="Arial"/>
                <w:sz w:val="18"/>
                <w:szCs w:val="18"/>
                <w:color w:val="auto"/>
                <w:w w:val="86"/>
              </w:rPr>
              <w:t>Name:</w:t>
            </w:r>
          </w:p>
        </w:tc>
        <w:tc>
          <w:tcPr>
            <w:tcW w:w="108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jc w:val="center"/>
              <w:ind w:right="906"/>
              <w:spacing w:after="0"/>
              <w:rPr>
                <w:sz w:val="20"/>
                <w:szCs w:val="20"/>
                <w:color w:val="auto"/>
              </w:rPr>
            </w:pPr>
            <w:r>
              <w:rPr>
                <w:rFonts w:ascii="Arial" w:cs="Arial" w:eastAsia="Arial" w:hAnsi="Arial"/>
                <w:sz w:val="14"/>
                <w:szCs w:val="14"/>
                <w:b w:val="1"/>
                <w:bCs w:val="1"/>
                <w:color w:val="auto"/>
                <w:w w:val="88"/>
              </w:rPr>
              <w:t>Andrew Perlman</w:t>
            </w:r>
          </w:p>
        </w:tc>
      </w:tr>
      <w:tr>
        <w:trPr>
          <w:trHeight w:val="237"/>
        </w:trPr>
        <w:tc>
          <w:tcPr>
            <w:tcW w:w="3980" w:type="dxa"/>
            <w:vAlign w:val="bottom"/>
          </w:tcPr>
          <w:p>
            <w:pPr>
              <w:spacing w:after="0"/>
              <w:rPr>
                <w:sz w:val="20"/>
                <w:szCs w:val="20"/>
                <w:color w:val="auto"/>
              </w:rPr>
            </w:pPr>
          </w:p>
        </w:tc>
        <w:tc>
          <w:tcPr>
            <w:tcW w:w="3640" w:type="dxa"/>
            <w:vAlign w:val="bottom"/>
            <w:gridSpan w:val="2"/>
          </w:tcPr>
          <w:p>
            <w:pPr>
              <w:ind w:left="2080"/>
              <w:spacing w:after="0"/>
              <w:rPr>
                <w:sz w:val="20"/>
                <w:szCs w:val="20"/>
                <w:color w:val="auto"/>
              </w:rPr>
            </w:pPr>
            <w:r>
              <w:rPr>
                <w:rFonts w:ascii="Arial" w:cs="Arial" w:eastAsia="Arial" w:hAnsi="Arial"/>
                <w:sz w:val="18"/>
                <w:szCs w:val="18"/>
                <w:color w:val="auto"/>
              </w:rPr>
              <w:t>Title:</w:t>
            </w:r>
          </w:p>
        </w:tc>
        <w:tc>
          <w:tcPr>
            <w:tcW w:w="3800" w:type="dxa"/>
            <w:vAlign w:val="bottom"/>
          </w:tcPr>
          <w:p>
            <w:pPr>
              <w:jc w:val="center"/>
              <w:ind w:right="906"/>
              <w:spacing w:after="0"/>
              <w:rPr>
                <w:sz w:val="20"/>
                <w:szCs w:val="20"/>
                <w:color w:val="auto"/>
              </w:rPr>
            </w:pPr>
            <w:r>
              <w:rPr>
                <w:rFonts w:ascii="Arial" w:cs="Arial" w:eastAsia="Arial" w:hAnsi="Arial"/>
                <w:sz w:val="14"/>
                <w:szCs w:val="14"/>
                <w:b w:val="1"/>
                <w:bCs w:val="1"/>
                <w:color w:val="auto"/>
                <w:w w:val="84"/>
              </w:rPr>
              <w:t>President</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509395"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26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Investor Relations Firm:</w:t>
            </w:r>
          </w:p>
        </w:tc>
        <w:tc>
          <w:tcPr>
            <w:tcW w:w="0" w:type="dxa"/>
            <w:vAlign w:val="bottom"/>
          </w:tcPr>
          <w:p>
            <w:pPr>
              <w:spacing w:after="0"/>
              <w:rPr>
                <w:sz w:val="1"/>
                <w:szCs w:val="1"/>
                <w:color w:val="auto"/>
              </w:rPr>
            </w:pPr>
          </w:p>
        </w:tc>
      </w:tr>
      <w:tr>
        <w:trPr>
          <w:trHeight w:val="184"/>
        </w:trPr>
        <w:tc>
          <w:tcPr>
            <w:tcW w:w="8340" w:type="dxa"/>
            <w:vAlign w:val="bottom"/>
            <w:gridSpan w:val="3"/>
          </w:tcPr>
          <w:p>
            <w:pPr>
              <w:spacing w:after="0" w:line="184" w:lineRule="exact"/>
              <w:rPr>
                <w:sz w:val="20"/>
                <w:szCs w:val="20"/>
                <w:color w:val="auto"/>
              </w:rPr>
            </w:pPr>
            <w:r>
              <w:rPr>
                <w:rFonts w:ascii="Arial" w:cs="Arial" w:eastAsia="Arial" w:hAnsi="Arial"/>
                <w:sz w:val="18"/>
                <w:szCs w:val="18"/>
                <w:color w:val="auto"/>
              </w:rPr>
              <w:t>Vringo, Inc.</w:t>
            </w:r>
          </w:p>
        </w:tc>
        <w:tc>
          <w:tcPr>
            <w:tcW w:w="26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Jonathan Medved</w:t>
            </w:r>
          </w:p>
        </w:tc>
        <w:tc>
          <w:tcPr>
            <w:tcW w:w="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3"/>
            <w:vMerge w:val="continue"/>
          </w:tcPr>
          <w:p>
            <w:pPr>
              <w:spacing w:after="0"/>
              <w:rPr>
                <w:sz w:val="19"/>
                <w:szCs w:val="19"/>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w w:val="97"/>
              </w:rPr>
              <w:t>Crescendo Communications, LLC</w:t>
            </w:r>
          </w:p>
        </w:tc>
        <w:tc>
          <w:tcPr>
            <w:tcW w:w="0" w:type="dxa"/>
            <w:vAlign w:val="bottom"/>
          </w:tcPr>
          <w:p>
            <w:pPr>
              <w:spacing w:after="0"/>
              <w:rPr>
                <w:sz w:val="1"/>
                <w:szCs w:val="1"/>
                <w:color w:val="auto"/>
              </w:rPr>
            </w:pPr>
          </w:p>
        </w:tc>
      </w:tr>
      <w:tr>
        <w:trPr>
          <w:trHeight w:val="222"/>
        </w:trPr>
        <w:tc>
          <w:tcPr>
            <w:tcW w:w="8340" w:type="dxa"/>
            <w:vAlign w:val="bottom"/>
            <w:gridSpan w:val="3"/>
          </w:tcPr>
          <w:p>
            <w:pPr>
              <w:spacing w:after="0"/>
              <w:rPr>
                <w:sz w:val="20"/>
                <w:szCs w:val="20"/>
                <w:color w:val="auto"/>
              </w:rPr>
            </w:pPr>
            <w:r>
              <w:rPr>
                <w:rFonts w:ascii="Arial" w:cs="Arial" w:eastAsia="Arial" w:hAnsi="Arial"/>
                <w:sz w:val="18"/>
                <w:szCs w:val="18"/>
                <w:color w:val="auto"/>
              </w:rPr>
              <w:t>CEO</w:t>
            </w:r>
          </w:p>
        </w:tc>
        <w:tc>
          <w:tcPr>
            <w:tcW w:w="2640" w:type="dxa"/>
            <w:vAlign w:val="bottom"/>
            <w:gridSpan w:val="4"/>
          </w:tcPr>
          <w:p>
            <w:pPr>
              <w:spacing w:after="0"/>
              <w:rPr>
                <w:sz w:val="20"/>
                <w:szCs w:val="20"/>
                <w:color w:val="auto"/>
              </w:rPr>
            </w:pPr>
            <w:r>
              <w:rPr>
                <w:rFonts w:ascii="Arial" w:cs="Arial" w:eastAsia="Arial" w:hAnsi="Arial"/>
                <w:sz w:val="18"/>
                <w:szCs w:val="18"/>
                <w:b w:val="1"/>
                <w:bCs w:val="1"/>
                <w:color w:val="auto"/>
                <w:w w:val="91"/>
              </w:rPr>
              <w:t>John J. Quirk / David K. Waldman</w:t>
            </w:r>
          </w:p>
        </w:tc>
        <w:tc>
          <w:tcPr>
            <w:tcW w:w="0" w:type="dxa"/>
            <w:vAlign w:val="bottom"/>
          </w:tcPr>
          <w:p>
            <w:pPr>
              <w:spacing w:after="0"/>
              <w:rPr>
                <w:sz w:val="1"/>
                <w:szCs w:val="1"/>
                <w:color w:val="auto"/>
              </w:rPr>
            </w:pPr>
          </w:p>
        </w:tc>
      </w:tr>
      <w:tr>
        <w:trPr>
          <w:trHeight w:val="184"/>
        </w:trPr>
        <w:tc>
          <w:tcPr>
            <w:tcW w:w="8340" w:type="dxa"/>
            <w:vAlign w:val="bottom"/>
            <w:gridSpan w:val="3"/>
          </w:tcPr>
          <w:p>
            <w:pPr>
              <w:spacing w:after="0" w:line="184" w:lineRule="exact"/>
              <w:rPr>
                <w:sz w:val="20"/>
                <w:szCs w:val="20"/>
                <w:color w:val="auto"/>
              </w:rPr>
            </w:pPr>
            <w:r>
              <w:rPr>
                <w:rFonts w:ascii="Arial" w:cs="Arial" w:eastAsia="Arial" w:hAnsi="Arial"/>
                <w:sz w:val="18"/>
                <w:szCs w:val="18"/>
                <w:color w:val="auto"/>
              </w:rPr>
              <w:t>Email: jon@vringo.com</w:t>
            </w:r>
          </w:p>
        </w:tc>
        <w:tc>
          <w:tcPr>
            <w:tcW w:w="2640" w:type="dxa"/>
            <w:vAlign w:val="bottom"/>
            <w:gridSpan w:val="4"/>
          </w:tcPr>
          <w:p>
            <w:pPr>
              <w:spacing w:after="0" w:line="184" w:lineRule="exact"/>
              <w:rPr>
                <w:sz w:val="20"/>
                <w:szCs w:val="20"/>
                <w:color w:val="auto"/>
              </w:rPr>
            </w:pPr>
            <w:r>
              <w:rPr>
                <w:rFonts w:ascii="Arial" w:cs="Arial" w:eastAsia="Arial" w:hAnsi="Arial"/>
                <w:sz w:val="18"/>
                <w:szCs w:val="18"/>
                <w:color w:val="auto"/>
              </w:rPr>
              <w:t>Email: vrng@crescendo-ir.com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40" w:type="dxa"/>
            <w:vAlign w:val="bottom"/>
            <w:gridSpan w:val="3"/>
          </w:tcPr>
          <w:p>
            <w:pPr>
              <w:spacing w:after="0"/>
              <w:rPr>
                <w:sz w:val="20"/>
                <w:szCs w:val="20"/>
                <w:color w:val="auto"/>
              </w:rPr>
            </w:pPr>
            <w:r>
              <w:rPr>
                <w:rFonts w:ascii="Arial" w:cs="Arial" w:eastAsia="Arial" w:hAnsi="Arial"/>
                <w:sz w:val="18"/>
                <w:szCs w:val="18"/>
                <w:color w:val="auto"/>
              </w:rPr>
              <w:t>Phone: +1 646-525-4319 x 2501</w:t>
            </w:r>
          </w:p>
        </w:tc>
        <w:tc>
          <w:tcPr>
            <w:tcW w:w="2640" w:type="dxa"/>
            <w:vAlign w:val="bottom"/>
            <w:gridSpan w:val="4"/>
          </w:tcPr>
          <w:p>
            <w:pPr>
              <w:spacing w:after="0"/>
              <w:rPr>
                <w:sz w:val="20"/>
                <w:szCs w:val="20"/>
                <w:color w:val="auto"/>
              </w:rPr>
            </w:pPr>
            <w:r>
              <w:rPr>
                <w:rFonts w:ascii="Arial" w:cs="Arial" w:eastAsia="Arial" w:hAnsi="Arial"/>
                <w:sz w:val="18"/>
                <w:szCs w:val="18"/>
                <w:color w:val="auto"/>
              </w:rPr>
              <w:t>Phone: +1 212-671-1020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Reports 2010 Third Quarter Results</w:t>
      </w:r>
    </w:p>
    <w:p>
      <w:pPr>
        <w:spacing w:after="0" w:line="17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November 15, 2010 – NEW YORK – Vringo, Inc. (NYSE Amex: VRNG)</w:t>
      </w:r>
      <w:r>
        <w:rPr>
          <w:rFonts w:ascii="Arial" w:cs="Arial" w:eastAsia="Arial" w:hAnsi="Arial"/>
          <w:sz w:val="18"/>
          <w:szCs w:val="18"/>
          <w:color w:val="auto"/>
        </w:rPr>
        <w:t>, a provider of video ringtones and personalization solutions for mobile devices,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financial results for the third quarter ended September 30, 2010.</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Third Quarter Highlights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revenues of $54,000, compared to $9,000 in the third quarter of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subscribers in commercial launches now exceeds 150,000</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agreement with Everything Everywhere Limited, the company which operates the Orange UK and T-Mobile UK mobile services – first tier-1 carrier deal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Carrier agreement signed with StarHub, a mobile carrier in Singapore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Major content agreements closed with Muhammad Ali Enterprises and superstar DJ Tiesto to support launches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Jon Medved, Chief Executive Officer, commented, “We are pleased with Vringo’s 2010 third quarter results and operational accomplishments. Following our successful IPO at the end of the second quarter, we were able to put the funds raised in our IPO to work to fully fund our operations, which has resulted in important new carrier and content agreements during the quarter while we continue to grow our paid subscriber base and set the stage for continuing growth. Specifically, I would point to milestone agreements including the plans to launch with Orange in the UK, StarHub in Singapore, Verizon in the US, and Vodafone across eight European countries as strong evidence that Vringo is coming in a big way to major Western and advanced mobile markets.”</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believe we will see tangible top-line results beginning in the first half of 2011 as a result of these launches which will significantly expand our addressable market,” said Medved.</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Andrew Perlman, President, said, “This past quarter we focused on setting our business up to launch in the U.K. – our first tier-1 market. As we move into 2011, the penetration and adoption by users in new major market launches will be a key driver of our financial performance. We believe subscriber growth will be robust as a result of the planned launch agreements that we have recently announced. Our recent crossing of the 100,000 subscriber mark in Malaysia with Maxis underscored the potential for our upcoming launches. Since we reached the critical one percent penetration of mobile subscribers with</w:t>
      </w:r>
    </w:p>
    <w:p>
      <w:pPr>
        <w:sectPr>
          <w:pgSz w:w="11900" w:h="16838" w:orient="portrait"/>
          <w:cols w:equalWidth="0" w:num="1">
            <w:col w:w="11420"/>
          </w:cols>
          <w:pgMar w:left="240" w:top="13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Maxis in less than one year, we are optimistic about reaching similar success with our new carrier partners.”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Perlman continued, “In addition, we believe the planned launch of our new T-Pain application, scheduled for release in the near future, has the potential to be very successful and also demonstrates the robustness of the Vringo application platform. T-Pain’s first application for the iPhone was one of the most successful app launches ever, and we have high expectations for this new joint app launch.”</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Revenue for the three months ended September 30, 2010, was $54,000 as compared to $9,000 for the three months ended September 30, 2009, a 500 percent increase. Revenue for the quarter increased 22.7 percent sequentially compared to $44,000 for the three months ended June 30, 2010. Operating loss for the three months ended September 30, 2010, was $1.7 million, as compared to $1.1 million for the three months ended September 30, 2009. The increase in operating loss was primarily due to an increase in general &amp; administrative expenses as the company experienced its first complete quarter as a public company as well as the hiring of additional personnel to support increased geographical coverage of its service. In addition, research and development expenses increased as the Vringo application platform was made compatible with the next generation of cellular phones. To a lesser extent, sales and marketing expenses increased as we raised awareness among end-users of the Vringo service and launched our service in new markets. Net loss for the three months ended September 30, 2010, was $2.8 million, or $0.50 per share, compared to a net loss of $1.2 million, or $3.38 per share, for the three months ended September 30, 2009, based on 5,574,992 and 366,782 weighted average shares of common stock, respectively.</w:t>
      </w:r>
    </w:p>
    <w:p>
      <w:pPr>
        <w:spacing w:after="0" w:line="120"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Revenue for the nine months ended September 30, 2010, was $128,000, as compared to $9,000 for the nine months ended September 30, 2009, an increase of 1,322 percent. Operating loss for the nine months ended September 30, 2010, was $4.7 million, as compared to $3.6 million for the nine months ended September 30, 2009. Net loss for the nine months ended September 30, 2010, was $9.4 million, or $4.14 per share, as compared to a net loss of $4.1 million, or $11.20 per share, for the nine months ended September 30, 2009, based on 2,276,447 and 366,782 weighted average shares of common stock,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2010, the company had cash and cash equivalents of $7.4 million, working capital of $5.6 million and stockholders’ equity of $76,000.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Operational Highlights</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During the third quarter, Vringo signed agreements with (i) Everything Everywhere Limited, the company which operates the T-Mobile UK and Orange UK mobile services, to launch a commercial service initially with Orange in the UK, and (ii) with StarHub to launch a commercial service in Singapore.</w:t>
      </w:r>
    </w:p>
    <w:p>
      <w:pPr>
        <w:spacing w:after="0" w:line="8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Vringo initiated a billing agreement earlier in the quarter with Retromedya to support expansion in Turkey to all mobile customers. In addition, Vringo signed content agreements during the third quarter with FusionSports Marketing Group, Muhammad Ali Enterprises and Tiesto.</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Vringo also initiated a marketing program with partner RTL Belgium, a unit of Bertelsmann, to highlight the launch of the Vringo mobile personalization platform through new video advertisements for television use and on the Web through PlugRTL.</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Post-Quarter Operational Highlights</w:t>
      </w:r>
    </w:p>
    <w:p>
      <w:pPr>
        <w:spacing w:after="0" w:line="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Following the end of the quarter, Vringo signed an agreement with Vodaphone to launch a free trial download service, and expected to shortly offer a paid commercial service, via the Vodaphone App Store in eight countries: Germany, Greece, Ireland, Italy, Netherlands, Portugal, Spain and the UK. Vringo also commenced paid content distribution via Nokia’s Ovi store in the UK.</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Vringo further enhanced its UK launch capabilities with an agreement with Bango, a mobile billing service provider, to provide direct billing functionality for all UK mobile operators.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Vringo will host a conference call today (Monday, November 15, 2010) at 4:30 p.m. ET. During the call, management will discuss the Company’s quarterly performance and financial results. The telephone number for the conference call is +1-866-353-3323 (U.S. callers) or +1-706-643-6902 (international callers); reference conference ID 23574359.</w:t>
      </w:r>
    </w:p>
    <w:p>
      <w:pPr>
        <w:spacing w:after="0" w:line="140"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 xml:space="preserve">A live webcast of the call will also be available on the Company’s website at </w:t>
      </w:r>
      <w:r>
        <w:rPr>
          <w:rFonts w:ascii="Arial" w:cs="Arial" w:eastAsia="Arial" w:hAnsi="Arial"/>
          <w:sz w:val="16"/>
          <w:szCs w:val="16"/>
          <w:u w:val="single" w:color="auto"/>
          <w:color w:val="auto"/>
        </w:rPr>
        <w:t>http://ir.vringo.com</w:t>
      </w:r>
      <w:r>
        <w:rPr>
          <w:rFonts w:ascii="Arial" w:cs="Arial" w:eastAsia="Arial" w:hAnsi="Arial"/>
          <w:sz w:val="16"/>
          <w:szCs w:val="16"/>
          <w:color w:val="auto"/>
        </w:rPr>
        <w:t>. To listen to the live call online, please visit the site at least 10 minutes early to register, download and install any necessary audio software. A webcast archive will be available for 90 days on the Company’s website, and a telephone replay of the call will be available beginning approximately two hours following the call through 11:59 p.m. Tuesday, February 15, 2011, and can be accessed by calling +1-800-642-1687 (U.S. callers) or +1-706-645-9291 (International callers) and entering conference ID 23574359.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results of new information, future events or otherwise, except as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Founded in 2006, Vringo (NYSE Amex: VRNG) is bringing about the evolution of ringtones. With its award-winning video ringtone application and mobile software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Vringo’s patented VringForward™ technology allows users to share video clips with friends with a simple call. Vringo has launched its service with various international mobile operators and dozens of content partners, and maintains a library of more than 5,000 video ringtones. For more information, </w:t>
      </w:r>
      <w:r>
        <w:rPr>
          <w:rFonts w:ascii="Arial" w:cs="Arial" w:eastAsia="Arial" w:hAnsi="Arial"/>
          <w:sz w:val="18"/>
          <w:szCs w:val="18"/>
          <w:u w:val="single" w:color="auto"/>
          <w:color w:val="auto"/>
        </w:rPr>
        <w:t>visit http://ir.vringo.com</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www.vringo.com/p_video_ringtones.html</w:t>
      </w:r>
      <w:r>
        <w:rPr>
          <w:rFonts w:ascii="Arial" w:cs="Arial" w:eastAsia="Arial" w:hAnsi="Arial"/>
          <w:sz w:val="18"/>
          <w:szCs w:val="18"/>
          <w:color w:val="auto"/>
        </w:rPr>
        <w:t>.</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end of text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financial tables follow –</w:t>
      </w:r>
    </w:p>
    <w:p>
      <w:pPr>
        <w:sectPr>
          <w:pgSz w:w="11900" w:h="16838" w:orient="portrait"/>
          <w:cols w:equalWidth="0" w:num="1">
            <w:col w:w="11420"/>
          </w:cols>
          <w:pgMar w:left="240" w:top="42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2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rPr>
              <w:t>September 30,</w:t>
            </w:r>
          </w:p>
        </w:tc>
        <w:tc>
          <w:tcPr>
            <w:tcW w:w="200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329"/>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1,736</w:t>
            </w:r>
          </w:p>
        </w:tc>
        <w:tc>
          <w:tcPr>
            <w:tcW w:w="640" w:type="dxa"/>
            <w:vAlign w:val="bottom"/>
          </w:tcPr>
          <w:p>
            <w:pPr>
              <w:jc w:val="right"/>
              <w:spacing w:after="0"/>
              <w:rPr>
                <w:sz w:val="20"/>
                <w:szCs w:val="20"/>
                <w:color w:val="auto"/>
              </w:rPr>
            </w:pPr>
            <w:r>
              <w:rPr>
                <w:rFonts w:ascii="Arial" w:cs="Arial" w:eastAsia="Arial" w:hAnsi="Arial"/>
                <w:sz w:val="18"/>
                <w:szCs w:val="18"/>
                <w:color w:val="auto"/>
              </w:rPr>
              <w:t>1,493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558</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1,413</w:t>
            </w:r>
          </w:p>
        </w:tc>
        <w:tc>
          <w:tcPr>
            <w:tcW w:w="640" w:type="dxa"/>
            <w:vAlign w:val="bottom"/>
          </w:tcPr>
          <w:p>
            <w:pPr>
              <w:jc w:val="right"/>
              <w:spacing w:after="0"/>
              <w:rPr>
                <w:sz w:val="20"/>
                <w:szCs w:val="20"/>
                <w:color w:val="auto"/>
              </w:rPr>
            </w:pPr>
            <w:r>
              <w:rPr>
                <w:rFonts w:ascii="Arial" w:cs="Arial" w:eastAsia="Arial" w:hAnsi="Arial"/>
                <w:sz w:val="18"/>
                <w:szCs w:val="18"/>
                <w:color w:val="auto"/>
              </w:rPr>
              <w:t>819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5,843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4,795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24,164</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loss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c>
          <w:tcPr>
            <w:tcW w:w="3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1,081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4,667</w:t>
            </w:r>
          </w:p>
        </w:tc>
        <w:tc>
          <w:tcPr>
            <w:tcW w:w="640" w:type="dxa"/>
            <w:vAlign w:val="bottom"/>
          </w:tcPr>
          <w:p>
            <w:pPr>
              <w:jc w:val="right"/>
              <w:spacing w:after="0"/>
              <w:rPr>
                <w:sz w:val="20"/>
                <w:szCs w:val="20"/>
                <w:color w:val="auto"/>
              </w:rPr>
            </w:pPr>
            <w:r>
              <w:rPr>
                <w:rFonts w:ascii="Arial" w:cs="Arial" w:eastAsia="Arial" w:hAnsi="Arial"/>
                <w:sz w:val="18"/>
                <w:szCs w:val="18"/>
                <w:color w:val="auto"/>
              </w:rPr>
              <w:t>3,588</w:t>
            </w: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24,016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4,164</w:t>
            </w:r>
          </w:p>
        </w:tc>
        <w:tc>
          <w:tcPr>
            <w:tcW w:w="640" w:type="dxa"/>
            <w:vAlign w:val="bottom"/>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9,389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29,520</w:t>
            </w:r>
          </w:p>
        </w:tc>
        <w:tc>
          <w:tcPr>
            <w:tcW w:w="0" w:type="dxa"/>
            <w:vAlign w:val="bottom"/>
          </w:tcPr>
          <w:p>
            <w:pPr>
              <w:spacing w:after="0"/>
              <w:rPr>
                <w:sz w:val="1"/>
                <w:szCs w:val="1"/>
                <w:color w:val="auto"/>
              </w:rPr>
            </w:pPr>
          </w:p>
        </w:tc>
      </w:tr>
      <w:tr>
        <w:trPr>
          <w:trHeight w:val="323"/>
        </w:trPr>
        <w:tc>
          <w:tcPr>
            <w:tcW w:w="64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52</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1,214</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9,441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29,566</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6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(0.50)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(11.20)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shares used in computing basic and dilutive net loss per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5,574,992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2,276,447</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668,308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7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366,782</w:t>
            </w:r>
          </w:p>
        </w:tc>
        <w:tc>
          <w:tcPr>
            <w:tcW w:w="1060" w:type="dxa"/>
            <w:vAlign w:val="bottom"/>
            <w:gridSpan w:val="2"/>
            <w:vMerge w:val="continue"/>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366,782</w:t>
            </w:r>
          </w:p>
        </w:tc>
        <w:tc>
          <w:tcPr>
            <w:tcW w:w="3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right="24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recorded for the three and six months ended September 30, 2010, and 2009, and the cumulative period from inception include $147, $297, $45, $120 and $843, respectively, to related parties.</w:t>
      </w:r>
    </w:p>
    <w:p>
      <w:pPr>
        <w:spacing w:after="0" w:line="50" w:lineRule="exact"/>
        <w:rPr>
          <w:rFonts w:ascii="Arial" w:cs="Arial" w:eastAsia="Arial" w:hAnsi="Arial"/>
          <w:sz w:val="18"/>
          <w:szCs w:val="18"/>
          <w:color w:val="auto"/>
        </w:rPr>
      </w:pPr>
    </w:p>
    <w:p>
      <w:pPr>
        <w:ind w:left="240" w:right="680"/>
        <w:spacing w:after="0" w:line="268" w:lineRule="auto"/>
        <w:rPr>
          <w:rFonts w:ascii="Arial" w:cs="Arial" w:eastAsia="Arial" w:hAnsi="Arial"/>
          <w:sz w:val="18"/>
          <w:szCs w:val="18"/>
          <w:color w:val="auto"/>
        </w:rPr>
      </w:pPr>
      <w:r>
        <w:rPr>
          <w:rFonts w:ascii="Arial" w:cs="Arial" w:eastAsia="Arial" w:hAnsi="Arial"/>
          <w:sz w:val="18"/>
          <w:szCs w:val="18"/>
          <w:color w:val="auto"/>
        </w:rPr>
        <w:t>The notes in the Company’s Form 10-Q filed with the U.S. Securities and Exchange Commission form an integral part of these consolidated financial statements.</w:t>
      </w:r>
    </w:p>
    <w:p>
      <w:pPr>
        <w:sectPr>
          <w:pgSz w:w="11900" w:h="16838" w:orient="portrait"/>
          <w:cols w:equalWidth="0" w:num="1">
            <w:col w:w="11420"/>
          </w:cols>
          <w:pgMar w:left="240" w:top="28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September 30,</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7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U.S.$</w:t>
            </w:r>
          </w:p>
        </w:tc>
        <w:tc>
          <w:tcPr>
            <w:tcW w:w="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7,394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Accounts receivable</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91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short-term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7,704</w:t>
            </w:r>
          </w:p>
        </w:tc>
        <w:tc>
          <w:tcPr>
            <w:tcW w:w="70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w w:val="98"/>
              </w:rPr>
              <w:t>Property and equipment</w:t>
            </w:r>
            <w:r>
              <w:rPr>
                <w:rFonts w:ascii="Arial" w:cs="Arial" w:eastAsia="Arial" w:hAnsi="Arial"/>
                <w:sz w:val="18"/>
                <w:szCs w:val="18"/>
                <w:color w:val="auto"/>
                <w:w w:val="98"/>
              </w:rPr>
              <w:t>, at cost, net of $372 and $306 accumulated depreciation as of September 30, 2010, and</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181</w:t>
            </w:r>
          </w:p>
        </w:tc>
        <w:tc>
          <w:tcPr>
            <w:tcW w:w="700" w:type="dxa"/>
            <w:vAlign w:val="bottom"/>
            <w:vMerge w:val="restart"/>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December 31, 2009, respectively</w:t>
            </w:r>
          </w:p>
        </w:tc>
        <w:tc>
          <w:tcPr>
            <w:tcW w:w="8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 long-term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7,982</w:t>
            </w:r>
          </w:p>
        </w:tc>
        <w:tc>
          <w:tcPr>
            <w:tcW w:w="7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524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342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maturities of venture loan</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1,210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Bridge notes</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2,076</w:t>
            </w:r>
          </w:p>
        </w:tc>
        <w:tc>
          <w:tcPr>
            <w:tcW w:w="7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Accrued severance pay</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343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2,247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Derivative liabilities on account of warrants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3,240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Amounts recorded as of September 30, 2010, and December 31, 2009, include $55 and $46 to a related party, respectively.</w:t>
      </w:r>
    </w:p>
    <w:p>
      <w:pPr>
        <w:sectPr>
          <w:pgSz w:w="11900" w:h="16838" w:orient="portrait"/>
          <w:cols w:equalWidth="0" w:num="1">
            <w:col w:w="11420"/>
          </w:cols>
          <w:pgMar w:left="240" w:top="42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6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Temporary equity</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w w:val="95"/>
              </w:rPr>
              <w:t>Series B convertible and redeemable preferred stock, $0.01 par value per share; 4,900,000 authorized; 765,465 shares</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issued and outstanding as of September 30, 2010, (liquidation preference of, and redeemable at, the greater fair value</w:t>
            </w:r>
          </w:p>
        </w:tc>
        <w:tc>
          <w:tcPr>
            <w:tcW w:w="146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 $15.831 per share, or $12.1 million, plus declared but unpaid dividends, if any)</w:t>
            </w:r>
          </w:p>
        </w:tc>
        <w:tc>
          <w:tcPr>
            <w:tcW w:w="146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329"/>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$0.01 par value per share 28,000,000 and 14,000,000 authorized; 5,109,407 and 366,782 (post-split)</w:t>
            </w:r>
          </w:p>
        </w:tc>
        <w:tc>
          <w:tcPr>
            <w:tcW w:w="146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as of September 30, 2010, and December 31, 2009, respectively</w:t>
            </w:r>
          </w:p>
        </w:tc>
        <w:tc>
          <w:tcPr>
            <w:tcW w:w="146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6"/>
        </w:trPr>
        <w:tc>
          <w:tcPr>
            <w:tcW w:w="9060" w:type="dxa"/>
            <w:vAlign w:val="bottom"/>
            <w:gridSpan w:val="2"/>
          </w:tcPr>
          <w:p>
            <w:pPr>
              <w:spacing w:after="0"/>
              <w:rPr>
                <w:sz w:val="20"/>
                <w:szCs w:val="20"/>
                <w:color w:val="auto"/>
              </w:rPr>
            </w:pPr>
            <w:r>
              <w:rPr>
                <w:rFonts w:ascii="Arial" w:cs="Arial" w:eastAsia="Arial" w:hAnsi="Arial"/>
                <w:sz w:val="18"/>
                <w:szCs w:val="18"/>
                <w:color w:val="auto"/>
              </w:rPr>
              <w:t>Series A convertible preferred stock, $0.01 par value per share; 2,353,887 authorized; 0 and 392,314 issued and</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w w:val="98"/>
              </w:rPr>
              <w:t>outstanding as of September 30, 2010, and December 31, 2009, respectively (liquidation preference of $6.00 per</w:t>
            </w:r>
          </w:p>
        </w:tc>
        <w:tc>
          <w:tcPr>
            <w:tcW w:w="1460" w:type="dxa"/>
            <w:vAlign w:val="bottom"/>
            <w:gridSpan w:val="2"/>
            <w:vMerge w:val="restart"/>
          </w:tcPr>
          <w:p>
            <w:pPr>
              <w:jc w:val="right"/>
              <w:ind w:right="7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share, or $2.35 million, plus declared but unpaid dividends, if any)</w:t>
            </w:r>
          </w:p>
        </w:tc>
        <w:tc>
          <w:tcPr>
            <w:tcW w:w="146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29,591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323"/>
        </w:trPr>
        <w:tc>
          <w:tcPr>
            <w:tcW w:w="906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(29,566)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7,982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The notes in the Company’s Form 10-Q filed with the U.S. Securities and Exchange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60" w:type="dxa"/>
            <w:vAlign w:val="bottom"/>
            <w:gridSpan w:val="2"/>
          </w:tcPr>
          <w:p>
            <w:pPr>
              <w:spacing w:after="0"/>
              <w:rPr>
                <w:sz w:val="20"/>
                <w:szCs w:val="20"/>
                <w:color w:val="auto"/>
              </w:rPr>
            </w:pPr>
            <w:r>
              <w:rPr>
                <w:rFonts w:ascii="Arial" w:cs="Arial" w:eastAsia="Arial" w:hAnsi="Arial"/>
                <w:sz w:val="18"/>
                <w:szCs w:val="18"/>
                <w:color w:val="auto"/>
              </w:rPr>
              <w:t>Commission form an integral part of these consolidated financial statements.</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60" w:type="dxa"/>
            <w:vAlign w:val="bottom"/>
            <w:gridSpan w:val="2"/>
          </w:tcPr>
          <w:p>
            <w:pPr>
              <w:ind w:left="5540"/>
              <w:spacing w:after="0"/>
              <w:rPr>
                <w:sz w:val="20"/>
                <w:szCs w:val="20"/>
                <w:color w:val="auto"/>
              </w:rPr>
            </w:pPr>
            <w:r>
              <w:rPr>
                <w:rFonts w:ascii="Arial" w:cs="Arial" w:eastAsia="Arial" w:hAnsi="Arial"/>
                <w:sz w:val="18"/>
                <w:szCs w:val="18"/>
                <w:color w:val="auto"/>
              </w:rPr>
              <w:t># # #</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2019-12-11T04:48:15Z</dcterms:created>
  <dcterms:modified xsi:type="dcterms:W3CDTF">2019-12-11T04:48:15Z</dcterms:modified>
</cp:coreProperties>
</file>