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xwel-20241231x10ka.htm"/>
        <w:bookmarkStart w:id="1" w:name="ksxwel20241231x10k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bookmarkStart w:id="2" w:name="_4e7ab56c_b11b_4aab_abb9_cf40f212adbc"/>
      <w:bookmarkEnd w:id="2"/>
      <w:r>
        <w:rPr/>
        <w:t>​</w:t>
      </w:r>
    </w:p>
    <w:p>
      <w:pPr>
        <w:pStyle w:val="TextBody"/>
        <w:bidi w:val="0"/>
        <w:spacing w:before="60" w:after="0"/>
        <w:ind w:left="0" w:right="0" w:hanging="0"/>
        <w:jc w:val="center"/>
        <w:rPr>
          <w:rFonts w:ascii="Times New Roman;Times;serif" w:hAnsi="Times New Roman;Times;serif"/>
          <w:b/>
          <w:sz w:val="16"/>
        </w:rPr>
      </w:pPr>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 10-K/A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(Amendment No. 1)</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4qSxPSIu3k-aObxx-CqzUQ_2_2"/>
      <w:bookmarkStart w:id="4" w:name="Tc_Pek0Bsy3ZEiGPaF1vEmHsw_1_2"/>
      <w:bookmarkStart w:id="5" w:name="_f33538bb_fbdf_4c5a_b9de_bc35c847d095"/>
      <w:bookmarkStart w:id="6" w:name="Tc_4qSxPSIu3k-aObxx-CqzUQ_2_2"/>
      <w:bookmarkStart w:id="7" w:name="Tc_Pek0Bsy3ZEiGPaF1vEmHsw_1_2"/>
      <w:bookmarkStart w:id="8" w:name="_f33538bb_fbdf_4c5a_b9de_bc35c847d095"/>
      <w:bookmarkEnd w:id="6"/>
      <w:bookmarkEnd w:id="7"/>
      <w:bookmarkEnd w:id="8"/>
    </w:p>
    <w:tbl>
      <w:tblPr>
        <w:tblW w:w="8818" w:type="dxa"/>
        <w:jc w:val="left"/>
        <w:tblInd w:w="0" w:type="dxa"/>
        <w:tblLayout w:type="fixed"/>
        <w:tblCellMar>
          <w:top w:w="0" w:type="dxa"/>
          <w:left w:w="0" w:type="dxa"/>
          <w:bottom w:w="0" w:type="dxa"/>
          <w:right w:w="0" w:type="dxa"/>
        </w:tblCellMar>
      </w:tblPr>
      <w:tblGrid>
        <w:gridCol w:w="161"/>
        <w:gridCol w:w="316"/>
        <w:gridCol w:w="834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834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834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(Mark One)</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 w:name="Tc_5AFwo5BGX0eHIszjDgpS1A_1_2"/>
      <w:bookmarkStart w:id="10" w:name="_92c4bd6b_18ff_47c1_8144_e8312035257d"/>
      <w:bookmarkStart w:id="11" w:name="Tc_5AFwo5BGX0eHIszjDgpS1A_1_2"/>
      <w:bookmarkStart w:id="12" w:name="_92c4bd6b_18ff_47c1_8144_e8312035257d"/>
      <w:bookmarkEnd w:id="11"/>
      <w:bookmarkEnd w:id="12"/>
    </w:p>
    <w:tbl>
      <w:tblPr>
        <w:tblW w:w="9148" w:type="dxa"/>
        <w:jc w:val="left"/>
        <w:tblInd w:w="0" w:type="dxa"/>
        <w:tblLayout w:type="fixed"/>
        <w:tblCellMar>
          <w:top w:w="0" w:type="dxa"/>
          <w:left w:w="0" w:type="dxa"/>
          <w:bottom w:w="0" w:type="dxa"/>
          <w:right w:w="0" w:type="dxa"/>
        </w:tblCellMar>
      </w:tblPr>
      <w:tblGrid>
        <w:gridCol w:w="161"/>
        <w:gridCol w:w="316"/>
        <w:gridCol w:w="867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867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867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___ to ___</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Commission file number 001-34785</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b/>
          <w:sz w:val="16"/>
        </w:rPr>
        <w:t>XWELL, Inc.</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KjptDdPQwUGvGvOEl8ScdQ_5_1"/>
      <w:bookmarkStart w:id="14" w:name="Tc_8pOXqcINSUuaO1TOH2pelg_5_0"/>
      <w:bookmarkStart w:id="15" w:name="Tc_lDQKcy9aC0eSmSJJvW3EFQ_4_0"/>
      <w:bookmarkStart w:id="16" w:name="Tc_4mNEg5-WZkSxFfIy9Gycyw_2_1"/>
      <w:bookmarkStart w:id="17" w:name="Tc_PQn8-1UkakmPQHrGRjp1dQ_2_0"/>
      <w:bookmarkStart w:id="18" w:name="_7b8cbe04_7a8c_463b_8a8a_ff6ab53c065c"/>
      <w:bookmarkStart w:id="19" w:name="Tc_KjptDdPQwUGvGvOEl8ScdQ_5_1"/>
      <w:bookmarkStart w:id="20" w:name="Tc_8pOXqcINSUuaO1TOH2pelg_5_0"/>
      <w:bookmarkStart w:id="21" w:name="Tc_lDQKcy9aC0eSmSJJvW3EFQ_4_0"/>
      <w:bookmarkStart w:id="22" w:name="Tc_4mNEg5-WZkSxFfIy9Gycyw_2_1"/>
      <w:bookmarkStart w:id="23" w:name="Tc_PQn8-1UkakmPQHrGRjp1dQ_2_0"/>
      <w:bookmarkStart w:id="24" w:name="_7b8cbe04_7a8c_463b_8a8a_ff6ab53c065c"/>
      <w:bookmarkEnd w:id="19"/>
      <w:bookmarkEnd w:id="20"/>
      <w:bookmarkEnd w:id="21"/>
      <w:bookmarkEnd w:id="22"/>
      <w:bookmarkEnd w:id="23"/>
      <w:bookmarkEnd w:id="24"/>
    </w:p>
    <w:tbl>
      <w:tblPr>
        <w:tblW w:w="5987" w:type="dxa"/>
        <w:jc w:val="left"/>
        <w:tblInd w:w="0" w:type="dxa"/>
        <w:tblLayout w:type="fixed"/>
        <w:tblCellMar>
          <w:top w:w="0" w:type="dxa"/>
          <w:left w:w="0" w:type="dxa"/>
          <w:bottom w:w="0" w:type="dxa"/>
          <w:right w:w="0" w:type="dxa"/>
        </w:tblCellMar>
      </w:tblPr>
      <w:tblGrid>
        <w:gridCol w:w="3316"/>
        <w:gridCol w:w="2671"/>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p>
        </w:tc>
        <w:tc>
          <w:tcPr>
            <w:tcW w:w="267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20-4988129</w:t>
            </w:r>
          </w:p>
        </w:tc>
      </w:tr>
      <w:tr>
        <w:trPr/>
        <w:tc>
          <w:tcPr>
            <w:tcW w:w="33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organization)</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3316" w:type="dxa"/>
            <w:tcBorders/>
            <w:vAlign w:val="center"/>
          </w:tcPr>
          <w:p>
            <w:pPr>
              <w:pStyle w:val="TableContents"/>
              <w:bidi w:val="0"/>
              <w:spacing w:before="0" w:after="0"/>
              <w:ind w:left="0" w:right="0" w:hanging="0"/>
              <w:jc w:val="center"/>
              <w:rPr/>
            </w:pPr>
            <w:r>
              <w:rPr/>
              <w:t> </w:t>
            </w:r>
          </w:p>
        </w:tc>
        <w:tc>
          <w:tcPr>
            <w:tcW w:w="2671" w:type="dxa"/>
            <w:tcBorders/>
            <w:vAlign w:val="center"/>
          </w:tcPr>
          <w:p>
            <w:pPr>
              <w:pStyle w:val="TableContents"/>
              <w:bidi w:val="0"/>
              <w:spacing w:before="0" w:after="0"/>
              <w:ind w:left="0" w:right="0" w:hanging="0"/>
              <w:jc w:val="center"/>
              <w:rPr/>
            </w:pPr>
            <w:r>
              <w:rPr/>
              <w:t> </w:t>
            </w:r>
          </w:p>
        </w:tc>
      </w:tr>
      <w:tr>
        <w:trPr/>
        <w:tc>
          <w:tcPr>
            <w:tcW w:w="3316"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6"/>
              </w:rPr>
              <w:t>254 West 31</w:t>
            </w:r>
            <w:r>
              <w:rPr>
                <w:rFonts w:ascii="Times New Roman;Times;serif" w:hAnsi="Times New Roman;Times;serif"/>
                <w:b/>
                <w:sz w:val="12"/>
              </w:rPr>
              <w:t xml:space="preserve">st </w:t>
            </w:r>
            <w:r>
              <w:rPr>
                <w:rFonts w:ascii="Times New Roman;Times;serif" w:hAnsi="Times New Roman;Times;serif"/>
                <w:b/>
                <w:sz w:val="16"/>
              </w:rPr>
              <w:t>Street, 11</w:t>
            </w:r>
            <w:r>
              <w:rPr>
                <w:rFonts w:ascii="Times New Roman;Times;serif" w:hAnsi="Times New Roman;Times;serif"/>
                <w:b/>
                <w:sz w:val="12"/>
              </w:rPr>
              <w:t>th</w:t>
            </w:r>
            <w:r>
              <w:rPr>
                <w:rFonts w:ascii="Times New Roman;Times;serif" w:hAnsi="Times New Roman;Times;serif"/>
                <w:sz w:val="20"/>
              </w:rPr>
              <w:t xml:space="preserve"> </w:t>
            </w:r>
            <w:r>
              <w:rPr>
                <w:rFonts w:ascii="Times New Roman;Times;serif" w:hAnsi="Times New Roman;Times;serif"/>
                <w:b/>
                <w:sz w:val="16"/>
              </w:rPr>
              <w:t>Floor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New York, NY</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10001</w:t>
            </w:r>
          </w:p>
        </w:tc>
      </w:tr>
      <w:tr>
        <w:trPr/>
        <w:tc>
          <w:tcPr>
            <w:tcW w:w="33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(212)-750-9595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wtBWLmFYuE6k36T88_ZfEQ_2_4"/>
      <w:bookmarkStart w:id="26" w:name="Tc_WXSloPlcyUawdtf6dFkwMg_1_4"/>
      <w:bookmarkStart w:id="27" w:name="Tc_oMezxr3HuEqVCKb8shLxtg_1_2"/>
      <w:bookmarkStart w:id="28" w:name="Tc_toIafG9GB0mKFsLoMUWhjQ_1_0"/>
      <w:bookmarkStart w:id="29" w:name="_0a6bed99_ad96_49ce_8ceb_58d3a905c139"/>
      <w:bookmarkStart w:id="30" w:name="Tc_wtBWLmFYuE6k36T88_ZfEQ_2_4"/>
      <w:bookmarkStart w:id="31" w:name="Tc_WXSloPlcyUawdtf6dFkwMg_1_4"/>
      <w:bookmarkStart w:id="32" w:name="Tc_oMezxr3HuEqVCKb8shLxtg_1_2"/>
      <w:bookmarkStart w:id="33" w:name="Tc_toIafG9GB0mKFsLoMUWhjQ_1_0"/>
      <w:bookmarkStart w:id="34" w:name="_0a6bed99_ad96_49ce_8ceb_58d3a905c139"/>
      <w:bookmarkEnd w:id="30"/>
      <w:bookmarkEnd w:id="31"/>
      <w:bookmarkEnd w:id="32"/>
      <w:bookmarkEnd w:id="33"/>
      <w:bookmarkEnd w:id="34"/>
    </w:p>
    <w:tbl>
      <w:tblPr>
        <w:tblW w:w="8305" w:type="dxa"/>
        <w:jc w:val="left"/>
        <w:tblInd w:w="0" w:type="dxa"/>
        <w:tblLayout w:type="fixed"/>
        <w:tblCellMar>
          <w:top w:w="0" w:type="dxa"/>
          <w:left w:w="0" w:type="dxa"/>
          <w:bottom w:w="0" w:type="dxa"/>
          <w:right w:w="0" w:type="dxa"/>
        </w:tblCellMar>
      </w:tblPr>
      <w:tblGrid>
        <w:gridCol w:w="3061"/>
        <w:gridCol w:w="326"/>
        <w:gridCol w:w="1276"/>
        <w:gridCol w:w="326"/>
        <w:gridCol w:w="3316"/>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26" w:type="dxa"/>
            <w:tcBorders/>
            <w:vAlign w:val="center"/>
          </w:tcPr>
          <w:p>
            <w:pPr>
              <w:pStyle w:val="TableContents"/>
              <w:bidi w:val="0"/>
              <w:spacing w:before="0" w:after="0"/>
              <w:ind w:left="0" w:right="0" w:hanging="0"/>
              <w:jc w:val="left"/>
              <w:rPr/>
            </w:pPr>
            <w:r>
              <w:rPr/>
              <w:t>    </w:t>
            </w:r>
          </w:p>
        </w:tc>
        <w:tc>
          <w:tcPr>
            <w:tcW w:w="331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par value $0.01 per share</w:t>
            </w:r>
          </w:p>
        </w:tc>
        <w:tc>
          <w:tcPr>
            <w:tcW w:w="326" w:type="dxa"/>
            <w:tcBorders/>
            <w:vAlign w:val="center"/>
          </w:tcPr>
          <w:p>
            <w:pPr>
              <w:pStyle w:val="TableContents"/>
              <w:bidi w:val="0"/>
              <w:spacing w:before="0" w:after="240"/>
              <w:ind w:left="0" w:right="0" w:hanging="0"/>
              <w:jc w:val="left"/>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XWEL</w:t>
            </w:r>
          </w:p>
        </w:tc>
        <w:tc>
          <w:tcPr>
            <w:tcW w:w="32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bl>
    <w:p>
      <w:pPr>
        <w:pStyle w:val="TextBody"/>
        <w:bidi w:val="0"/>
        <w:spacing w:before="0" w:after="240"/>
        <w:ind w:left="0" w:right="0" w:hanging="0"/>
        <w:jc w:val="both"/>
        <w:rPr/>
      </w:pPr>
      <w:r>
        <w:rPr/>
        <w:t>​</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12(g) of the Act: None</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w:t>
      </w:r>
      <w:r>
        <w:rPr>
          <w:rFonts w:ascii="Times New Roman;Times;serif" w:hAnsi="Times New Roman;Times;serif"/>
          <w:i/>
          <w:sz w:val="16"/>
        </w:rPr>
        <w:t>large accelerated filer,</w:t>
      </w:r>
      <w:r>
        <w:rPr>
          <w:rFonts w:ascii="Times New Roman;Times;serif" w:hAnsi="Times New Roman;Times;serif"/>
          <w:sz w:val="16"/>
        </w:rPr>
        <w:t>” “</w:t>
      </w:r>
      <w:r>
        <w:rPr>
          <w:rFonts w:ascii="Times New Roman;Times;serif" w:hAnsi="Times New Roman;Times;serif"/>
          <w:i/>
          <w:sz w:val="16"/>
        </w:rPr>
        <w:t>accelerated filer,</w:t>
      </w:r>
      <w:r>
        <w:rPr>
          <w:rFonts w:ascii="Times New Roman;Times;serif" w:hAnsi="Times New Roman;Times;serif"/>
          <w:sz w:val="16"/>
        </w:rPr>
        <w:t>” “</w:t>
      </w:r>
      <w:r>
        <w:rPr>
          <w:rFonts w:ascii="Times New Roman;Times;serif" w:hAnsi="Times New Roman;Times;serif"/>
          <w:i/>
          <w:sz w:val="16"/>
        </w:rPr>
        <w:t>smaller reporting company,</w:t>
      </w:r>
      <w:r>
        <w:rPr>
          <w:rFonts w:ascii="Times New Roman;Times;serif" w:hAnsi="Times New Roman;Times;serif"/>
          <w:sz w:val="16"/>
        </w:rPr>
        <w:t>” and “</w:t>
      </w:r>
      <w:r>
        <w:rPr>
          <w:rFonts w:ascii="Times New Roman;Times;serif" w:hAnsi="Times New Roman;Times;serif"/>
          <w:i/>
          <w:sz w:val="16"/>
        </w:rPr>
        <w:t>emerging growth company</w:t>
      </w:r>
      <w:r>
        <w:rPr>
          <w:rFonts w:ascii="Times New Roman;Times;serif" w:hAnsi="Times New Roman;Times;serif"/>
          <w:sz w:val="16"/>
        </w:rPr>
        <w:t>”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5" w:name="Tc_rp7096oQLUu9OBpNl9yXdg_3_3"/>
      <w:bookmarkStart w:id="36" w:name="Tc_R8h09J-szUKdcxYcKyULRA_2_3"/>
      <w:bookmarkStart w:id="37" w:name="Tc_P7g3BLj2vkCCL_rspCbvgw_2_1"/>
      <w:bookmarkStart w:id="38" w:name="Tc_5aC9OQtGbkW15qdlNIoGlA_1_4"/>
      <w:bookmarkStart w:id="39" w:name="Tc_LVuQJsv--UeKYU4GB0bJwg_1_3"/>
      <w:bookmarkStart w:id="40" w:name="Tc_7mZxK8AjpE2LirsAvc2OjA_1_1"/>
      <w:bookmarkStart w:id="41" w:name="Tc_pETV6KlkMUanopQt2xAtuQ_1_0"/>
      <w:bookmarkStart w:id="42" w:name="_5c525c2d_9bab_462e_89e4_657d2d48096d"/>
      <w:bookmarkStart w:id="43" w:name="Tc_rp7096oQLUu9OBpNl9yXdg_3_3"/>
      <w:bookmarkStart w:id="44" w:name="Tc_R8h09J-szUKdcxYcKyULRA_2_3"/>
      <w:bookmarkStart w:id="45" w:name="Tc_P7g3BLj2vkCCL_rspCbvgw_2_1"/>
      <w:bookmarkStart w:id="46" w:name="Tc_5aC9OQtGbkW15qdlNIoGlA_1_4"/>
      <w:bookmarkStart w:id="47" w:name="Tc_LVuQJsv--UeKYU4GB0bJwg_1_3"/>
      <w:bookmarkStart w:id="48" w:name="Tc_7mZxK8AjpE2LirsAvc2OjA_1_1"/>
      <w:bookmarkStart w:id="49" w:name="Tc_pETV6KlkMUanopQt2xAtuQ_1_0"/>
      <w:bookmarkStart w:id="50" w:name="_5c525c2d_9bab_462e_89e4_657d2d48096d"/>
      <w:bookmarkEnd w:id="43"/>
      <w:bookmarkEnd w:id="44"/>
      <w:bookmarkEnd w:id="45"/>
      <w:bookmarkEnd w:id="46"/>
      <w:bookmarkEnd w:id="47"/>
      <w:bookmarkEnd w:id="48"/>
      <w:bookmarkEnd w:id="49"/>
      <w:bookmarkEnd w:id="50"/>
    </w:p>
    <w:tbl>
      <w:tblPr>
        <w:tblW w:w="4478" w:type="dxa"/>
        <w:jc w:val="left"/>
        <w:tblInd w:w="0" w:type="dxa"/>
        <w:tblLayout w:type="fixed"/>
        <w:tblCellMar>
          <w:top w:w="0" w:type="dxa"/>
          <w:left w:w="0" w:type="dxa"/>
          <w:bottom w:w="0" w:type="dxa"/>
          <w:right w:w="0" w:type="dxa"/>
        </w:tblCellMar>
      </w:tblPr>
      <w:tblGrid>
        <w:gridCol w:w="1666"/>
        <w:gridCol w:w="316"/>
        <w:gridCol w:w="109"/>
        <w:gridCol w:w="2026"/>
        <w:gridCol w:w="361"/>
      </w:tblGrid>
      <w:tr>
        <w:trPr/>
        <w:tc>
          <w:tcPr>
            <w:tcW w:w="1666" w:type="dxa"/>
            <w:tcBorders/>
            <w:vAlign w:val="center"/>
          </w:tcPr>
          <w:p>
            <w:pPr>
              <w:pStyle w:val="TableContents"/>
              <w:bidi w:val="0"/>
              <w:spacing w:before="0" w:after="0"/>
              <w:ind w:left="0" w:right="0" w:hanging="0"/>
              <w:jc w:val="left"/>
              <w:rPr/>
            </w:pPr>
            <w:r>
              <w:rPr/>
              <w:t>​</w:t>
            </w:r>
          </w:p>
        </w:tc>
        <w:tc>
          <w:tcPr>
            <w:tcW w:w="425" w:type="dxa"/>
            <w:gridSpan w:val="2"/>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60"/>
        <w:ind w:left="0" w:right="0" w:hanging="0"/>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60"/>
        <w:ind w:left="0" w:right="0" w:hanging="0"/>
        <w:jc w:val="both"/>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hanging="0"/>
        <w:jc w:val="both"/>
        <w:rPr>
          <w:rFonts w:ascii="Times New Roman;Times;serif" w:hAnsi="Times New Roman;Times;serif"/>
          <w:sz w:val="16"/>
        </w:rPr>
      </w:pPr>
      <w:r>
        <w:rPr>
          <w:rFonts w:ascii="Times New Roman;Times;serif" w:hAnsi="Times New Roman;Times;serif"/>
          <w:sz w:val="16"/>
        </w:rPr>
        <w:t>The aggregate market value of the registrant’s voting common stock held by non-affiliates of the registrant, as of June 30, 2024, the last business day of the registrant’s most recently completed second quarter, was $7,535,583 computed by reference to the closing sale price of $1.80 per share on the Nasdaq Stock Market LLC on June 30, 2024. The registrant does not have any non-voting common stock.</w:t>
      </w:r>
    </w:p>
    <w:p>
      <w:pPr>
        <w:pStyle w:val="TextBody"/>
        <w:bidi w:val="0"/>
        <w:spacing w:before="0" w:after="60"/>
        <w:ind w:left="0" w:right="0" w:hanging="0"/>
        <w:jc w:val="both"/>
        <w:rPr>
          <w:rFonts w:ascii="Times New Roman;Times;serif" w:hAnsi="Times New Roman;Times;serif"/>
          <w:sz w:val="16"/>
        </w:rPr>
      </w:pPr>
      <w:r>
        <w:rPr>
          <w:rFonts w:ascii="Times New Roman;Times;serif" w:hAnsi="Times New Roman;Times;serif"/>
          <w:sz w:val="16"/>
        </w:rPr>
        <w:t>As of April 25, 2025, 5,261,024 shares of the registrant’s common stock are outstanding.</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DOCUMENTS INCORPORATED BY REFERENCE</w:t>
      </w:r>
    </w:p>
    <w:p>
      <w:pPr>
        <w:pStyle w:val="TextBody"/>
        <w:bidi w:val="0"/>
        <w:spacing w:before="0" w:after="60"/>
        <w:ind w:left="0" w:right="0" w:hanging="0"/>
        <w:jc w:val="both"/>
        <w:rPr>
          <w:rFonts w:ascii="Times New Roman;Times;serif" w:hAnsi="Times New Roman;Times;serif"/>
          <w:sz w:val="16"/>
        </w:rPr>
      </w:pPr>
      <w:r>
        <w:rPr>
          <w:rFonts w:ascii="Times New Roman;Times;serif" w:hAnsi="Times New Roman;Times;serif"/>
          <w:sz w:val="16"/>
        </w:rPr>
        <w:t>None.</w:t>
      </w:r>
    </w:p>
    <w:tbl>
      <w:tblPr>
        <w:tblW w:w="6228" w:type="dxa"/>
        <w:jc w:val="left"/>
        <w:tblInd w:w="0" w:type="dxa"/>
        <w:tblLayout w:type="fixed"/>
        <w:tblCellMar>
          <w:top w:w="0" w:type="dxa"/>
          <w:left w:w="0" w:type="dxa"/>
          <w:bottom w:w="0" w:type="dxa"/>
          <w:right w:w="0" w:type="dxa"/>
        </w:tblCellMar>
      </w:tblPr>
      <w:tblGrid>
        <w:gridCol w:w="2131"/>
        <w:gridCol w:w="2446"/>
        <w:gridCol w:w="1651"/>
      </w:tblGrid>
      <w:tr>
        <w:trPr/>
        <w:tc>
          <w:tcPr>
            <w:tcW w:w="213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Auditor Name: Marcum LLP</w:t>
            </w:r>
          </w:p>
        </w:tc>
        <w:tc>
          <w:tcPr>
            <w:tcW w:w="244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Auditor Location: New York, NY</w:t>
            </w:r>
          </w:p>
        </w:tc>
        <w:tc>
          <w:tcPr>
            <w:tcW w:w="165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Auditor Firm ID: 688</w:t>
            </w:r>
          </w:p>
        </w:tc>
      </w:tr>
    </w:tbl>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51" w:name="TOC"/>
      <w:bookmarkStart w:id="52" w:name="_9ef2967a_377d_4d7c_a45b_7526569744f0"/>
      <w:bookmarkEnd w:id="51"/>
      <w:bookmarkEnd w:id="52"/>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844"/>
        <w:gridCol w:w="361"/>
      </w:tblGrid>
      <w:tr>
        <w:trPr/>
        <w:tc>
          <w:tcPr>
            <w:tcW w:w="9844" w:type="dxa"/>
            <w:tcBorders/>
            <w:vAlign w:val="center"/>
          </w:tcPr>
          <w:p>
            <w:pPr>
              <w:pStyle w:val="TableContents"/>
              <w:bidi w:val="0"/>
              <w:spacing w:lineRule="auto" w:line="302" w:before="0" w:after="0"/>
              <w:ind w:left="0" w:right="0" w:hanging="0"/>
              <w:jc w:val="left"/>
              <w:rPr/>
            </w:pPr>
            <w:hyperlink w:anchor="ExplanatoryNote_484417">
              <w:r>
                <w:rPr>
                  <w:rStyle w:val="InternetLink"/>
                  <w:rFonts w:ascii="Times New Roman;Times;serif" w:hAnsi="Times New Roman;Times;serif"/>
                  <w:b w:val="false"/>
                  <w:i w:val="false"/>
                  <w:caps w:val="false"/>
                  <w:smallCaps w:val="false"/>
                  <w:sz w:val="20"/>
                </w:rPr>
                <w:t>EXPLANATORY NOTE</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844" w:type="dxa"/>
            <w:tcBorders/>
            <w:vAlign w:val="center"/>
          </w:tcPr>
          <w:p>
            <w:pPr>
              <w:pStyle w:val="TableContents"/>
              <w:bidi w:val="0"/>
              <w:spacing w:lineRule="auto" w:line="302" w:before="0" w:after="0"/>
              <w:ind w:left="0" w:right="0" w:hanging="0"/>
              <w:jc w:val="left"/>
              <w:rPr/>
            </w:pPr>
            <w:r>
              <w:rPr/>
              <w:t>​</w:t>
            </w:r>
          </w:p>
        </w:tc>
        <w:tc>
          <w:tcPr>
            <w:tcW w:w="361" w:type="dxa"/>
            <w:tcBorders/>
            <w:vAlign w:val="center"/>
          </w:tcPr>
          <w:p>
            <w:pPr>
              <w:pStyle w:val="TableContents"/>
              <w:bidi w:val="0"/>
              <w:spacing w:lineRule="auto" w:line="302" w:before="0" w:after="0"/>
              <w:ind w:left="0" w:right="0" w:hanging="0"/>
              <w:jc w:val="right"/>
              <w:rPr>
                <w:shd w:fill="FFFF00" w:val="clear"/>
              </w:rPr>
            </w:pPr>
            <w:r>
              <w:rPr>
                <w:shd w:fill="FFFF00" w:val="clear"/>
              </w:rPr>
              <w:t>​</w:t>
            </w:r>
          </w:p>
        </w:tc>
      </w:tr>
      <w:tr>
        <w:trPr/>
        <w:tc>
          <w:tcPr>
            <w:tcW w:w="9844" w:type="dxa"/>
            <w:tcBorders/>
            <w:vAlign w:val="center"/>
          </w:tcPr>
          <w:p>
            <w:pPr>
              <w:pStyle w:val="TableContents"/>
              <w:bidi w:val="0"/>
              <w:spacing w:lineRule="auto" w:line="302" w:before="0" w:after="0"/>
              <w:ind w:left="0" w:right="0" w:hanging="0"/>
              <w:jc w:val="left"/>
              <w:rPr/>
            </w:pPr>
            <w:hyperlink w:anchor="CAUTIONARYNOTEREGARDING_392203">
              <w:r>
                <w:rPr>
                  <w:rStyle w:val="InternetLink"/>
                  <w:rFonts w:ascii="Times New Roman;Times;serif" w:hAnsi="Times New Roman;Times;serif"/>
                  <w:b w:val="false"/>
                  <w:i w:val="false"/>
                  <w:caps w:val="false"/>
                  <w:smallCaps w:val="false"/>
                  <w:sz w:val="20"/>
                </w:rPr>
                <w:t>CAUTIONARY NOTE REGARDING FORWARD-LOOKING STATEMENTS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844" w:type="dxa"/>
            <w:tcBorders/>
            <w:vAlign w:val="center"/>
          </w:tcPr>
          <w:p>
            <w:pPr>
              <w:pStyle w:val="TableContents"/>
              <w:bidi w:val="0"/>
              <w:spacing w:lineRule="auto" w:line="302" w:before="0" w:after="0"/>
              <w:ind w:left="0" w:right="0" w:hanging="0"/>
              <w:jc w:val="left"/>
              <w:rPr/>
            </w:pPr>
            <w:r>
              <w:rPr/>
              <w:t>​</w:t>
            </w:r>
          </w:p>
        </w:tc>
        <w:tc>
          <w:tcPr>
            <w:tcW w:w="361" w:type="dxa"/>
            <w:tcBorders/>
            <w:vAlign w:val="center"/>
          </w:tcPr>
          <w:p>
            <w:pPr>
              <w:pStyle w:val="TableContents"/>
              <w:bidi w:val="0"/>
              <w:spacing w:lineRule="auto" w:line="302"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PARTIII_963396">
              <w:r>
                <w:rPr>
                  <w:rStyle w:val="InternetLink"/>
                  <w:rFonts w:ascii="Times New Roman;Times;serif" w:hAnsi="Times New Roman;Times;serif"/>
                  <w:b w:val="false"/>
                  <w:i w:val="false"/>
                  <w:caps w:val="false"/>
                  <w:smallCaps w:val="false"/>
                  <w:sz w:val="20"/>
                </w:rPr>
                <w:t>PART III</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844" w:type="dxa"/>
            <w:tcBorders/>
            <w:vAlign w:val="center"/>
          </w:tcPr>
          <w:p>
            <w:pPr>
              <w:pStyle w:val="TableContents"/>
              <w:bidi w:val="0"/>
              <w:spacing w:lineRule="auto" w:line="302" w:before="0" w:after="0"/>
              <w:ind w:left="0" w:right="0" w:hanging="0"/>
              <w:jc w:val="left"/>
              <w:rPr/>
            </w:pPr>
            <w:r>
              <w:rPr/>
              <w:t>​</w:t>
            </w:r>
          </w:p>
        </w:tc>
        <w:tc>
          <w:tcPr>
            <w:tcW w:w="361" w:type="dxa"/>
            <w:tcBorders/>
            <w:vAlign w:val="center"/>
          </w:tcPr>
          <w:p>
            <w:pPr>
              <w:pStyle w:val="TableContents"/>
              <w:bidi w:val="0"/>
              <w:spacing w:lineRule="auto" w:line="302"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844" w:type="dxa"/>
            <w:tcBorders/>
            <w:vAlign w:val="center"/>
          </w:tcPr>
          <w:p>
            <w:pPr>
              <w:pStyle w:val="TableContents"/>
              <w:bidi w:val="0"/>
              <w:spacing w:lineRule="auto" w:line="302" w:before="0" w:after="0"/>
              <w:ind w:left="0" w:right="0" w:hanging="0"/>
              <w:jc w:val="left"/>
              <w:rPr/>
            </w:pPr>
            <w:r>
              <w:rPr/>
              <w:t>​</w:t>
            </w:r>
          </w:p>
        </w:tc>
        <w:tc>
          <w:tcPr>
            <w:tcW w:w="361" w:type="dxa"/>
            <w:tcBorders/>
            <w:vAlign w:val="center"/>
          </w:tcPr>
          <w:p>
            <w:pPr>
              <w:pStyle w:val="TableContents"/>
              <w:bidi w:val="0"/>
              <w:spacing w:lineRule="auto" w:line="302"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11EXECUTIVECOMPENSATION_56225">
              <w:r>
                <w:rPr>
                  <w:rStyle w:val="InternetLink"/>
                  <w:rFonts w:ascii="Times New Roman;Times;serif" w:hAnsi="Times New Roman;Times;serif"/>
                  <w:b w:val="false"/>
                  <w:i w:val="false"/>
                  <w:caps w:val="false"/>
                  <w:smallCaps w:val="false"/>
                  <w:sz w:val="20"/>
                </w:rPr>
                <w:t>ITEM 11. EXECUTIVE COMPENSATION</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844" w:type="dxa"/>
            <w:tcBorders/>
            <w:vAlign w:val="center"/>
          </w:tcPr>
          <w:p>
            <w:pPr>
              <w:pStyle w:val="TableContents"/>
              <w:bidi w:val="0"/>
              <w:spacing w:lineRule="auto" w:line="302" w:before="0" w:after="0"/>
              <w:ind w:left="0" w:right="0" w:hanging="0"/>
              <w:jc w:val="left"/>
              <w:rPr/>
            </w:pPr>
            <w:r>
              <w:rPr/>
              <w:t>​</w:t>
            </w:r>
          </w:p>
        </w:tc>
        <w:tc>
          <w:tcPr>
            <w:tcW w:w="361" w:type="dxa"/>
            <w:tcBorders/>
            <w:vAlign w:val="center"/>
          </w:tcPr>
          <w:p>
            <w:pPr>
              <w:pStyle w:val="TableContents"/>
              <w:bidi w:val="0"/>
              <w:spacing w:lineRule="auto" w:line="302"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844" w:type="dxa"/>
            <w:tcBorders/>
            <w:vAlign w:val="center"/>
          </w:tcPr>
          <w:p>
            <w:pPr>
              <w:pStyle w:val="TableContents"/>
              <w:bidi w:val="0"/>
              <w:spacing w:lineRule="auto" w:line="302" w:before="0" w:after="0"/>
              <w:ind w:left="0" w:right="0" w:hanging="0"/>
              <w:jc w:val="left"/>
              <w:rPr/>
            </w:pPr>
            <w:r>
              <w:rPr/>
              <w:t>​</w:t>
            </w:r>
          </w:p>
        </w:tc>
        <w:tc>
          <w:tcPr>
            <w:tcW w:w="361" w:type="dxa"/>
            <w:tcBorders/>
            <w:vAlign w:val="center"/>
          </w:tcPr>
          <w:p>
            <w:pPr>
              <w:pStyle w:val="TableContents"/>
              <w:bidi w:val="0"/>
              <w:spacing w:lineRule="auto" w:line="302"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844" w:type="dxa"/>
            <w:tcBorders/>
            <w:vAlign w:val="center"/>
          </w:tcPr>
          <w:p>
            <w:pPr>
              <w:pStyle w:val="TableContents"/>
              <w:bidi w:val="0"/>
              <w:spacing w:lineRule="auto" w:line="302" w:before="0" w:after="0"/>
              <w:ind w:left="0" w:right="0" w:hanging="0"/>
              <w:jc w:val="left"/>
              <w:rPr/>
            </w:pPr>
            <w:r>
              <w:rPr/>
              <w:t>​</w:t>
            </w:r>
          </w:p>
        </w:tc>
        <w:tc>
          <w:tcPr>
            <w:tcW w:w="361" w:type="dxa"/>
            <w:tcBorders/>
            <w:vAlign w:val="center"/>
          </w:tcPr>
          <w:p>
            <w:pPr>
              <w:pStyle w:val="TableContents"/>
              <w:bidi w:val="0"/>
              <w:spacing w:lineRule="auto" w:line="302"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 PRINCIPAL ACCOUNTANT FEES AND SERVICES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844" w:type="dxa"/>
            <w:tcBorders/>
            <w:vAlign w:val="center"/>
          </w:tcPr>
          <w:p>
            <w:pPr>
              <w:pStyle w:val="TableContents"/>
              <w:bidi w:val="0"/>
              <w:spacing w:lineRule="auto" w:line="302" w:before="0" w:after="0"/>
              <w:ind w:left="0" w:right="0" w:hanging="0"/>
              <w:jc w:val="left"/>
              <w:rPr/>
            </w:pPr>
            <w:r>
              <w:rPr/>
              <w:t>​</w:t>
            </w:r>
          </w:p>
        </w:tc>
        <w:tc>
          <w:tcPr>
            <w:tcW w:w="361" w:type="dxa"/>
            <w:tcBorders/>
            <w:vAlign w:val="center"/>
          </w:tcPr>
          <w:p>
            <w:pPr>
              <w:pStyle w:val="TableContents"/>
              <w:bidi w:val="0"/>
              <w:spacing w:lineRule="auto" w:line="302"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PARTIV_400112">
              <w:r>
                <w:rPr>
                  <w:rStyle w:val="InternetLink"/>
                  <w:rFonts w:ascii="Times New Roman;Times;serif" w:hAnsi="Times New Roman;Times;serif"/>
                  <w:b w:val="false"/>
                  <w:i w:val="false"/>
                  <w:caps w:val="false"/>
                  <w:smallCaps w:val="false"/>
                  <w:sz w:val="20"/>
                </w:rPr>
                <w:t>PART IV</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844" w:type="dxa"/>
            <w:tcBorders/>
            <w:vAlign w:val="center"/>
          </w:tcPr>
          <w:p>
            <w:pPr>
              <w:pStyle w:val="TableContents"/>
              <w:bidi w:val="0"/>
              <w:spacing w:lineRule="auto" w:line="302" w:before="0" w:after="0"/>
              <w:ind w:left="0" w:right="0" w:hanging="0"/>
              <w:jc w:val="left"/>
              <w:rPr/>
            </w:pPr>
            <w:r>
              <w:rPr/>
              <w:t>​</w:t>
            </w:r>
          </w:p>
        </w:tc>
        <w:tc>
          <w:tcPr>
            <w:tcW w:w="361" w:type="dxa"/>
            <w:tcBorders/>
            <w:vAlign w:val="center"/>
          </w:tcPr>
          <w:p>
            <w:pPr>
              <w:pStyle w:val="TableContents"/>
              <w:bidi w:val="0"/>
              <w:spacing w:lineRule="auto" w:line="302"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15_592887">
              <w:r>
                <w:rPr>
                  <w:rStyle w:val="InternetLink"/>
                  <w:rFonts w:ascii="Times New Roman;Times;serif" w:hAnsi="Times New Roman;Times;serif"/>
                  <w:b w:val="false"/>
                  <w:i w:val="false"/>
                  <w:caps w:val="false"/>
                  <w:smallCaps w:val="false"/>
                  <w:sz w:val="20"/>
                </w:rPr>
                <w:t>ITEM 15. EXHIBITS, FINANCIAL STATEMENT SCHEDULES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844" w:type="dxa"/>
            <w:tcBorders/>
            <w:vAlign w:val="center"/>
          </w:tcPr>
          <w:p>
            <w:pPr>
              <w:pStyle w:val="TableContents"/>
              <w:bidi w:val="0"/>
              <w:spacing w:lineRule="auto" w:line="302" w:before="0" w:after="0"/>
              <w:ind w:left="0" w:right="0" w:hanging="0"/>
              <w:jc w:val="left"/>
              <w:rPr/>
            </w:pPr>
            <w:r>
              <w:rPr/>
              <w:t>​</w:t>
            </w:r>
          </w:p>
        </w:tc>
        <w:tc>
          <w:tcPr>
            <w:tcW w:w="361" w:type="dxa"/>
            <w:tcBorders/>
            <w:vAlign w:val="center"/>
          </w:tcPr>
          <w:p>
            <w:pPr>
              <w:pStyle w:val="TableContents"/>
              <w:bidi w:val="0"/>
              <w:spacing w:lineRule="auto" w:line="302"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SIGNATURES_457177">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3" w:name="ExplanatoryNote_484417"/>
      <w:bookmarkStart w:id="54" w:name="_f18fbae5_d0a0_4570_bd14_ae573e3d3f45"/>
      <w:bookmarkEnd w:id="53"/>
      <w:bookmarkEnd w:id="54"/>
      <w:r>
        <w:rPr>
          <w:rFonts w:ascii="Times New Roman;Times;serif" w:hAnsi="Times New Roman;Times;serif"/>
          <w:b/>
          <w:sz w:val="20"/>
        </w:rPr>
        <w:t>Explanatory Note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This Amendment No. 1 on Form 10-K/A (this “Form 10-K/A”) amends the Annual Report on Form 10-K of XWELL, Inc. (“XWELL” or the “Company”) for the fiscal year ended December 31, 2024 as originally filed with the Securities and Exchange Commission (the “SEC”) on April 15, 2025, (the “Original Filing”). This Form 10-K/A amends the Original Filing to include the information required by Part III of the Original Filing because the Company has not filed and will not file a definitive proxy statement within 120 days after the end of its 2024 fiscal year. In addition, this Form 10-K/A amends Item 15 of Part IV of the Original Filing to include new certifications by our principal executive officer and principal financial and accounting officer under Section 302 of the Sarbanes-Oxley Act of 2002, as required by Rule 12b-15 under the Securities Exchange Act of 1934, as amended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Except for the foregoing, we have not modified or updated disclosures presented in the Original Filing in this Form 10-K/A. Accordingly, this Form 10-K/A does not modify or update the disclosures in the Original Filing to reflect subsequent events, results or developments or facts that have become known to us after the date of the Original Filing. Information not affected by this Form 10-K/A remains unchanged and reflects the disclosures made at the time the Original Filing was filed. Therefore, this Form 10-K/A should be read in conjunction with any documents incorporated by reference therein and our filings made with the SEC subsequent to the Original Filing.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5" w:name="CAUTIONARYNOTEREGARDING_392203"/>
      <w:bookmarkStart w:id="56" w:name="_e7ae9f10_81cc_4428_bb30_83559261e8ee"/>
      <w:bookmarkEnd w:id="55"/>
      <w:bookmarkEnd w:id="56"/>
      <w:r>
        <w:rPr>
          <w:rFonts w:ascii="Times New Roman;Times;serif" w:hAnsi="Times New Roman;Times;serif"/>
          <w:b/>
          <w:sz w:val="20"/>
        </w:rPr>
        <w:t>CAUTIONARY NOTE REGARDING FORWARD-LOOKING STATEMENTS</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Form 10-K/A contains “forward-looking statements” within the meaning of the Private Securities Litigation Reform Act of 1995. Such statements are based on management’s expectations and are subject to certain factors, risks and uncertainties that may cause actual results, outcome of events, timing and performance to differ materially from those expressed or implied by such forward-looking statements. Forward-looking statements should be evaluated together with the many uncertainties that affect our business, particularly those mentioned in the Risk Factors in Item 1A of our Original Filing and in our Quarterly Reports on Form 10-Q and Current Reports on Form 8-K.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references in this Form 10-K/A to “we,” “us” and “our” refer to XWELL, Inc., a Delaware corporation, and its consolidated subsidiaries unless the context requires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57" w:name="PARTIII_963396"/>
      <w:bookmarkStart w:id="58" w:name="_b109fea9_71e2_4b62_b171_16b5b0cadc85"/>
      <w:bookmarkEnd w:id="57"/>
      <w:bookmarkEnd w:id="58"/>
      <w:r>
        <w:rPr>
          <w:rFonts w:ascii="Times New Roman;Times;serif" w:hAnsi="Times New Roman;Times;serif"/>
          <w:b/>
          <w:sz w:val="20"/>
        </w:rPr>
        <w:t>PART III</w:t>
      </w:r>
    </w:p>
    <w:p>
      <w:pPr>
        <w:pStyle w:val="TextBody"/>
        <w:bidi w:val="0"/>
        <w:spacing w:before="0" w:after="240"/>
        <w:ind w:left="0" w:right="0" w:hanging="0"/>
        <w:jc w:val="both"/>
        <w:rPr>
          <w:rFonts w:ascii="Times New Roman;Times;serif" w:hAnsi="Times New Roman;Times;serif"/>
          <w:b/>
          <w:sz w:val="20"/>
        </w:rPr>
      </w:pPr>
      <w:bookmarkStart w:id="59" w:name="ITEM10DIRECTORSEXECUTIVEOFFICERSANDCORPO"/>
      <w:bookmarkStart w:id="60" w:name="_Toc163832294"/>
      <w:bookmarkStart w:id="61" w:name="_ITEM_10._DIRECTORS"/>
      <w:bookmarkEnd w:id="59"/>
      <w:bookmarkEnd w:id="60"/>
      <w:bookmarkEnd w:id="61"/>
      <w:r>
        <w:rPr>
          <w:rFonts w:ascii="Times New Roman;Times;serif" w:hAnsi="Times New Roman;Times;serif"/>
          <w:b/>
          <w:sz w:val="20"/>
        </w:rPr>
        <w:t>ITEM 10. DIRECTORS, EXECUTIVE OFFICERS AND CORPORATE GOVERNANCE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(the “Board of Directors” or the “Board”)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Set forth below are the names of our directors and executive officers, their ages (as of the filing date of this Form 10-K/A),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Additionally, information about the specific experience, qualifications, attributes or skills that led to our Board of Directors’ conclusion that each person listed below as a director should serve as a director is set forth below:</w:t>
      </w:r>
    </w:p>
    <w:tbl>
      <w:tblPr>
        <w:tblW w:w="8485" w:type="dxa"/>
        <w:jc w:val="left"/>
        <w:tblInd w:w="0" w:type="dxa"/>
        <w:tblLayout w:type="fixed"/>
        <w:tblCellMar>
          <w:top w:w="0" w:type="dxa"/>
          <w:left w:w="0" w:type="dxa"/>
          <w:bottom w:w="0" w:type="dxa"/>
          <w:right w:w="0" w:type="dxa"/>
        </w:tblCellMar>
      </w:tblPr>
      <w:tblGrid>
        <w:gridCol w:w="2401"/>
        <w:gridCol w:w="326"/>
        <w:gridCol w:w="391"/>
        <w:gridCol w:w="326"/>
        <w:gridCol w:w="504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524635" cy="175260"/>
                      <wp:effectExtent l="0" t="0" r="0" b="0"/>
                      <wp:wrapNone/>
                      <wp:docPr id="1" name="Frame1"/>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48285" cy="175260"/>
                      <wp:effectExtent l="0" t="0" r="0" b="0"/>
                      <wp:wrapNone/>
                      <wp:docPr id="3" name="Frame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01035" cy="175260"/>
                      <wp:effectExtent l="0" t="0" r="0" b="0"/>
                      <wp:wrapNone/>
                      <wp:docPr id="5" name="Frame5"/>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left"/>
              <w:rPr/>
            </w:pPr>
            <w:r>
              <w:rPr/>
              <w:t>    </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vAlign w:val="center"/>
          </w:tcPr>
          <w:p>
            <w:pPr>
              <w:pStyle w:val="TableContents"/>
              <w:bidi w:val="0"/>
              <w:spacing w:before="0" w:after="1"/>
              <w:ind w:left="0" w:right="0" w:hanging="0"/>
              <w:jc w:val="left"/>
              <w:rPr/>
            </w:pPr>
            <w:r>
              <w:rPr/>
              <w:t>    </w:t>
            </w:r>
          </w:p>
        </w:tc>
        <w:tc>
          <w:tcPr>
            <w:tcW w:w="50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Position(s) with the Company</w:t>
            </w:r>
          </w:p>
        </w:tc>
      </w:tr>
      <w:tr>
        <w:trPr/>
        <w:tc>
          <w:tcPr>
            <w:tcW w:w="240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Bruce T. Bernstein*</w:t>
            </w:r>
            <w:r>
              <w:rPr>
                <w:rFonts w:ascii="Times New Roman;Times;serif" w:hAnsi="Times New Roman;Times;serif"/>
                <w:sz w:val="15"/>
              </w:rPr>
              <w:t>(1)(2)(3)(4)</w:t>
            </w:r>
          </w:p>
        </w:tc>
        <w:tc>
          <w:tcPr>
            <w:tcW w:w="32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1"/>
              <w:ind w:left="0" w:right="0" w:hanging="0"/>
              <w:jc w:val="left"/>
              <w:rPr/>
            </w:pPr>
            <w:r>
              <w:rPr/>
              <w:t> </w:t>
            </w:r>
          </w:p>
        </w:tc>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240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Robert Weinstein*</w:t>
            </w:r>
            <w:r>
              <w:rPr>
                <w:rFonts w:ascii="Times New Roman;Times;serif" w:hAnsi="Times New Roman;Times;serif"/>
                <w:sz w:val="15"/>
              </w:rPr>
              <w:t>(1)(2)(3)(4)</w:t>
            </w:r>
          </w:p>
        </w:tc>
        <w:tc>
          <w:tcPr>
            <w:tcW w:w="326"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1"/>
              <w:ind w:left="0" w:right="0" w:hanging="0"/>
              <w:jc w:val="left"/>
              <w:rPr/>
            </w:pPr>
            <w:r>
              <w:rPr/>
              <w:t> </w:t>
            </w:r>
          </w:p>
        </w:tc>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0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Michael Lebowitz* </w:t>
            </w:r>
            <w:r>
              <w:rPr>
                <w:rFonts w:ascii="Times New Roman;Times;serif" w:hAnsi="Times New Roman;Times;serif"/>
                <w:sz w:val="15"/>
              </w:rPr>
              <w:t>(3)(4)</w:t>
            </w:r>
          </w:p>
        </w:tc>
        <w:tc>
          <w:tcPr>
            <w:tcW w:w="32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1"/>
              <w:ind w:left="0" w:right="0" w:hanging="0"/>
              <w:jc w:val="left"/>
              <w:rPr/>
            </w:pPr>
            <w:r>
              <w:rPr/>
              <w:t> </w:t>
            </w:r>
          </w:p>
        </w:tc>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0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Gaëlle Wizenberg*</w:t>
            </w:r>
            <w:r>
              <w:rPr>
                <w:rFonts w:ascii="Times New Roman;Times;serif" w:hAnsi="Times New Roman;Times;serif"/>
                <w:sz w:val="15"/>
              </w:rPr>
              <w:t>(1)(2)</w:t>
            </w:r>
          </w:p>
        </w:tc>
        <w:tc>
          <w:tcPr>
            <w:tcW w:w="326"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1"/>
              <w:ind w:left="0" w:right="0" w:hanging="0"/>
              <w:jc w:val="left"/>
              <w:rPr/>
            </w:pPr>
            <w:r>
              <w:rPr/>
              <w:t> </w:t>
            </w:r>
          </w:p>
        </w:tc>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Thomas Ian Brown</w:t>
            </w:r>
          </w:p>
        </w:tc>
        <w:tc>
          <w:tcPr>
            <w:tcW w:w="32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1"/>
              <w:ind w:left="0" w:right="0" w:hanging="0"/>
              <w:jc w:val="left"/>
              <w:rPr/>
            </w:pPr>
            <w:r>
              <w:rPr/>
              <w:t> </w:t>
            </w:r>
          </w:p>
        </w:tc>
        <w:tc>
          <w:tcPr>
            <w:tcW w:w="5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Ezra T. Ernst</w:t>
            </w:r>
          </w:p>
        </w:tc>
        <w:tc>
          <w:tcPr>
            <w:tcW w:w="326"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1"/>
              <w:ind w:left="0" w:right="0" w:hanging="0"/>
              <w:jc w:val="left"/>
              <w:rPr/>
            </w:pPr>
            <w:r>
              <w:rPr/>
              <w:t> </w:t>
            </w:r>
          </w:p>
        </w:tc>
        <w:tc>
          <w:tcPr>
            <w:tcW w:w="5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President &amp; Chief Executive Officer of XWELL and Director</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Independent director under the rules of The Nasdaq Stock Market (“Nasdaq”)</w:t>
      </w:r>
    </w:p>
    <w:tbl>
      <w:tblPr>
        <w:tblW w:w="4187" w:type="dxa"/>
        <w:jc w:val="left"/>
        <w:tblInd w:w="0" w:type="dxa"/>
        <w:tblLayout w:type="fixed"/>
        <w:tblCellMar>
          <w:top w:w="0" w:type="dxa"/>
          <w:left w:w="0" w:type="dxa"/>
          <w:bottom w:w="0" w:type="dxa"/>
          <w:right w:w="0" w:type="dxa"/>
        </w:tblCellMar>
      </w:tblPr>
      <w:tblGrid>
        <w:gridCol w:w="346"/>
        <w:gridCol w:w="38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member of Compensation Committee</w:t>
            </w:r>
          </w:p>
        </w:tc>
      </w:tr>
    </w:tbl>
    <w:tbl>
      <w:tblPr>
        <w:tblW w:w="3467" w:type="dxa"/>
        <w:jc w:val="left"/>
        <w:tblInd w:w="0" w:type="dxa"/>
        <w:tblLayout w:type="fixed"/>
        <w:tblCellMar>
          <w:top w:w="0" w:type="dxa"/>
          <w:left w:w="0" w:type="dxa"/>
          <w:bottom w:w="0" w:type="dxa"/>
          <w:right w:w="0" w:type="dxa"/>
        </w:tblCellMar>
      </w:tblPr>
      <w:tblGrid>
        <w:gridCol w:w="346"/>
        <w:gridCol w:w="312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member of Audit Committee</w:t>
            </w:r>
          </w:p>
        </w:tc>
      </w:tr>
    </w:tbl>
    <w:tbl>
      <w:tblPr>
        <w:tblW w:w="6197" w:type="dxa"/>
        <w:jc w:val="left"/>
        <w:tblInd w:w="0" w:type="dxa"/>
        <w:tblLayout w:type="fixed"/>
        <w:tblCellMar>
          <w:top w:w="0" w:type="dxa"/>
          <w:left w:w="0" w:type="dxa"/>
          <w:bottom w:w="0" w:type="dxa"/>
          <w:right w:w="0" w:type="dxa"/>
        </w:tblCellMar>
      </w:tblPr>
      <w:tblGrid>
        <w:gridCol w:w="346"/>
        <w:gridCol w:w="58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member of Nominating and Corporate Governance Committee</w:t>
            </w:r>
          </w:p>
        </w:tc>
      </w:tr>
    </w:tbl>
    <w:tbl>
      <w:tblPr>
        <w:tblW w:w="4307" w:type="dxa"/>
        <w:jc w:val="left"/>
        <w:tblInd w:w="0" w:type="dxa"/>
        <w:tblLayout w:type="fixed"/>
        <w:tblCellMar>
          <w:top w:w="0" w:type="dxa"/>
          <w:left w:w="0" w:type="dxa"/>
          <w:bottom w:w="0" w:type="dxa"/>
          <w:right w:w="0" w:type="dxa"/>
        </w:tblCellMar>
      </w:tblPr>
      <w:tblGrid>
        <w:gridCol w:w="346"/>
        <w:gridCol w:w="39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member of Strategic Affairs Committee</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2023, the Board of Directors elected Gaëlle Wizenberg to be a member of the Board of Directors, effective as of January 1, 2024.</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Nasdaq</w:t>
      </w:r>
      <w:r>
        <w:rPr>
          <w:rFonts w:ascii="Times New Roman;Times;serif" w:hAnsi="Times New Roman;Times;serif"/>
          <w:b/>
          <w:sz w:val="20"/>
        </w:rPr>
        <w:t>:</w:t>
      </w:r>
      <w:r>
        <w:rPr>
          <w:rFonts w:ascii="Times New Roman;Times;serif" w:hAnsi="Times New Roman;Times;serif"/>
          <w:sz w:val="20"/>
        </w:rPr>
        <w:t xml:space="preserve"> Bruce T. Bernstein, Gaelle Wizenberg, Robert Weinstein, and Michael Lebowitz.</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Bruce T. Bernstein </w:t>
      </w:r>
      <w:r>
        <w:rPr>
          <w:rFonts w:ascii="Times New Roman;Times;serif" w:hAnsi="Times New Roman;Times;serif"/>
          <w:sz w:val="20"/>
        </w:rPr>
        <w:t xml:space="preserve">joined our Board of Directors in February 2016 and has served as the Chairman of our Board of Directors since February 2018. Mr. Bernstein has over thirty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served as Senior Vice President in the bank’s Global Securities Arbitrage business unit of Fortis Investments, Inc., specializing in equity structured products and equity arbitrage and then President in charge of the bank’s proprietary investment business in the United States. Prior to Fortis Investments, Mr. Bernstein was Director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Synaptogenix, Inc. (formerly Neurotrope Bioscience, Inc.), Mr. Bernstein is also a member of the board of Summit Digital Health, a laser-based blood glucose monitor distributor, based in New Jersey. Mr. Bernstein holds a B.B.A. from City University of New York (Baruch).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Bernstein’s extensive experience in the securities industry qualifies him to serve as the Chairman of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Robert Weinstein </w:t>
      </w:r>
      <w:r>
        <w:rPr>
          <w:rFonts w:ascii="Times New Roman;Times;serif" w:hAnsi="Times New Roman;Times;serif"/>
          <w:sz w:val="20"/>
        </w:rPr>
        <w:t>joined our Board of Directors in February 2020. Mr. Weinstein has extensive accounting and finance experience, spanning more than thirty years, as a public accountant, investment banker, healthcare private equity fund principal and chief financial officer. Since October 2013, Mr. Weinstein has been the Chief Financial Officer of Synaptogenix, Inc. (formerly Neurotrope Bioscience, Inc.), a publicly-traded biotechnology company. From 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Weinstein’s extensive financial expertise and healthcare experience qualifies him to serve on our Board of Directors and as a member and the chairperson of the audit committee of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Michael Lebowitz </w:t>
      </w:r>
      <w:r>
        <w:rPr>
          <w:rFonts w:ascii="Times New Roman;Times;serif" w:hAnsi="Times New Roman;Times;serif"/>
          <w:sz w:val="20"/>
        </w:rPr>
        <w:t>joined our Board of Directors in April 2020. An expert in customer experience strategy and innovation, Mr. Lebowitz has a twenty-five year track 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Lebowitz’s extensive experience in the area of creative brand strategy qualifies him to serve on our Board of Directors.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Gaëlle Wizenberg</w:t>
      </w:r>
      <w:r>
        <w:rPr>
          <w:rFonts w:ascii="Times New Roman;Times;serif" w:hAnsi="Times New Roman;Times;serif"/>
          <w:sz w:val="20"/>
        </w:rPr>
        <w:t xml:space="preserve"> joined XWELL’s Board of Directors in January 2024. An expert in branding, manufacturing, global distribution of consumer goods and serial entrepreneur, Ms. Wizenberg founded Objects of Magic SAV de CV in October 2024,  Objects of Magic LLC, a wellness brand offering a full line of products, team building and wellness retreats, in August 2022, and she has served as Chief Executive Officer since the founding of the company. Prior to this, she founded Charlie Banana Consulting, LLC, a consulting firm, in July 2019 and served as Director and Chief Executive Officer from July 2019 to March 2025. Additionally, she founded Charlie Banana USA, LLC, a USA based ecommerce of global brand baby products in 2013 and served as Chief Executive Officer until 2020 when it was acquired by Proctor &amp; Gamble. After Proctor &amp; Gamble, a multinational consumer goods corporation, acquired all her companies, Ms. Wizenberg began consulting for Procter &amp; Gamble from January 2020 to June 2023. Before that, Ms. Wizenberg founded Winc Design Limited, a Hong Kong company, makers of eco friendly products and a global cloth diaper manufacturer, in 2007 and served as CEO until 2020.</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Officers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Ezra T. Ernst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Ezra T. Ernst joined the Company in January 2022 and has served as our Chief Executive Officer and as a member of our Board of Directors since September 2024. Prior to September 2024, Mr. Ernst served as Executive Vice President of the Company and Chief Executive Officer of our subsidiary XpresTest, Inc. since our January 2022 acquisition of gcg Connect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LLC d/b/a HyperPointe. He also has served as President and Chief Executive Officer of HyperPointe since March, 2020. Prior to HyperPointe, he previously served as Chief Executive Officer of Physicians Weekly, LLC, a provider of medical news and education for healthcare professionals, from August 2015 to March 2020, Chief Commercial Officer of Treato, a health-related data analytics company, from September 2013 to August 2015 and General Manager at WebMD, an online publisher of health and medical news and information, from December 2008 to January 2013.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Thomas Ian Brown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Ian Brown has more than 25 years of experience in operational finance. He has expertise in systems transformation, financial operations, and back-office process improvement. From 2022 to 2025, Mr. Brown was a Managing Director of the Strategic FP&amp;A Group at Accordion. Prior to that role, he served at FTI Consulting in their Technology Transformation group from 2014 to 2022. Prior, he was Senior Director Business Planning, Customer Operations at Charter Communications, and a Director of Operational Finance for Insight Communications. Before this, Ian was the CFO of two early-stage companies, was a colleague of Ezra Ernst at Wolters Kluwer, and also worked in media investment banking. He holds an M.B.A from The Tuck School of Business at Dartmouth and a B.A. from Vassar College.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 and Meetings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Meeting Attendance. </w:t>
      </w:r>
      <w:r>
        <w:rPr>
          <w:rFonts w:ascii="Times New Roman;Times;serif" w:hAnsi="Times New Roman;Times;serif"/>
          <w:sz w:val="20"/>
        </w:rPr>
        <w:t>During the fiscal year ended December 31, 2024, there were fifteen meetings of our Board of Directors as well as nine unanimous written consents of the Board of Directors. The various committees of the Board of Directors met a total of ten times, collectively. Other than Michael Lebowitz, all other directors attended more than 75 percent of the aggregate of the total number of meetings of the Board of Directors. Each director serving on a committee attended more than 75 percent of the total number of meetings held by an applicable committee(s) of the Board of Directors on which such director served during the year ended December 31, 2024. The Board of Directors has adopted a policy under which each member of the Board of Directors is strongly encouraged, but not required, to attend each annual meeting of our stockholders. All five of our 2024 directors attended our 2024 annual meeting of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Audit Committee. </w:t>
      </w:r>
      <w:r>
        <w:rPr>
          <w:rFonts w:ascii="Times New Roman;Times;serif" w:hAnsi="Times New Roman;Times;serif"/>
          <w:sz w:val="20"/>
        </w:rPr>
        <w:t>Our Audit Committee (the “Audit Committee”) met four times during the year ended December 31, 2024. The Audit Committee currently has three members: Robert Weinstein (Chairman), Bruce T. Bernstein and Gaëlle Wizenberg. Effective as of January 1, 2024, Donald E. Stout ceased to be a member of the Board of Directors and all committees thereto, including the Audit Committee. As of January 30, 2024, Gaëlle Wizenberg was elected to be a member of the Audit Committee.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Board determined that all members of the Audit Committee qualify as independent under the listing standards promulgated by the SEC and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 Corporate Governance” section of our website at </w:t>
      </w:r>
      <w:r>
        <w:rPr>
          <w:rFonts w:ascii="Times New Roman;Times;serif" w:hAnsi="Times New Roman;Times;serif"/>
          <w:i/>
          <w:sz w:val="20"/>
        </w:rPr>
        <w:t>www.xwell.com/corporate-governance</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Compensation Committee. </w:t>
      </w:r>
      <w:r>
        <w:rPr>
          <w:rFonts w:ascii="Times New Roman;Times;serif" w:hAnsi="Times New Roman;Times;serif"/>
          <w:sz w:val="20"/>
        </w:rPr>
        <w:t>Our Compensation Committee (the “Compensation Committee”) met two times during the year ended December 31, 2024. This committee currently has three members: Bruce T. Bernstein (Chairman), Robert Weinstein and Gaëlle Wizenberg. Effective as of January 1, 2024, Donald E. Stout ceased to be a member of the Board of Directors and all committees thereof, including the Compensation Committee. As of January 30, 2024, Gaëlle Wizenberg was elected to be a member of the Compensation Committee.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conducts its decision-making process with respect to that issue without the Chief Executive Officer present, (2) the determination of the compensation of the executive officers of the Company other than 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In March of 2025, the Compensation Committee did engage a third-party compensation consultant, StreeterWyatt Analytics, to review the Board’s compensation structure as well as benchmark it against the Company’s peer group.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Board determined all members of the Compensation Committee qualify as independent under the Nasdaq listing standards. A copy of the Compensation Committee’s written charter is publicly available through the “Investors — Corporate Governance” section of our website at </w:t>
      </w:r>
      <w:r>
        <w:rPr>
          <w:rFonts w:ascii="Times New Roman;Times;serif" w:hAnsi="Times New Roman;Times;serif"/>
          <w:i/>
          <w:sz w:val="20"/>
        </w:rPr>
        <w:t>www.xwell.com/corporate-governance</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Nominating and Corporate Governance Committee</w:t>
      </w:r>
      <w:r>
        <w:rPr>
          <w:rFonts w:ascii="Times New Roman;Times;serif" w:hAnsi="Times New Roman;Times;serif"/>
          <w:sz w:val="20"/>
        </w:rPr>
        <w:t>. Our Nominating and Corporate Governance Committee (the “Nominating and Corporate Governance Committee”) met one time during the year ended December 31, 2024. This committee currently has three members: Robert Weinstein (Chairman), Michael Lebowitz and Bruce T. Bernstein. Effective as of January 1, 2024, Donald E. Stout ceased to be a member of the Board of Directors and all committees thereof, including the Nominating and Corporate Governance Committee. As of January 30, 2024, Michael Lebowitz was elected to be a member of the Nominating and Corporate Governance Committee. The Nominating and Corporate Governance Committee’s role and responsibilities are set forth in the Nominating and Corporate Governance Committee’s written charter and include authority to:</w:t>
      </w:r>
    </w:p>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and nominate members of the Board of Directors;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the evaluation of the Board of Directors and management;</w:t>
            </w:r>
          </w:p>
        </w:tc>
      </w:tr>
    </w:tbl>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recommend corporate governance guidelines to the Board of Directors;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performance of the members of the Board of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recommendations to the Board of Directors as to the structure, composition and functioning of the Board of Directors and its committees.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Board determined that all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Times New Roman;Times;serif" w:hAnsi="Times New Roman;Times;serif"/>
          <w:i/>
          <w:sz w:val="20"/>
        </w:rPr>
        <w:t>www.xwell.com/corporate-governance</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The Strategic Affairs Committee. </w:t>
      </w:r>
      <w:r>
        <w:rPr>
          <w:rFonts w:ascii="Times New Roman;Times;serif" w:hAnsi="Times New Roman;Times;serif"/>
          <w:sz w:val="20"/>
        </w:rPr>
        <w:t>The Strategic Affairs Committee (the “Strategic Affairs Committee”) met one time during the year ended December 31, 2024. This committee was formed in September 2021 to assist the Board in reviewing, analyzing, considering and assessing, potential acquisitions, joint ventures, strategic investments, divestitures and other strategic transactions. The Strategic Affairs Committee currently has three members: Bruce T. Bernstein (Chairman), Robert Weinstein and Michael Lebowitz. The Strategic Affairs Committee’s responsibilities include,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management with the identification of potential acquisition, joint venture, strategic investment, divestiture and other strategic transaction opportunities and review transaction candidates with management, when and as appropriate;</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strategic transactions received by the Company or proposed by management;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Subcommittee for Financial Planning.</w:t>
      </w:r>
      <w:r>
        <w:rPr>
          <w:rFonts w:ascii="Times New Roman;Times;serif" w:hAnsi="Times New Roman;Times;serif"/>
          <w:sz w:val="20"/>
        </w:rPr>
        <w:t xml:space="preserve"> The Subcommittee for Financial Planning (the “Finance Subcommittee”) met one time during the year ended December 31, 2024. This committee was formed in June 2024 to discuss potential financing strategies for the Company. The Finance Subcommittee currently had four members: Bruce T. Bernstein (Chairman), Robert Weinstein, Gaelle Wizenberg and Scott Milford.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Board Leadership Structure and Role in Risk Oversight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as of February 5, 2018, the Board appointed Bruce T. Bernstein as the non-executive Chairman of the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different areas of our business risks and our risk mitigation practices.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Company’s Policies and Practices Related to the Grant of Certain Equity Awards Close in Time to the Release of Material Nonpublic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does not have any formal policy that requires it to grant, or avoid granting, equity-based compensation to our executive officers at certain times. Consistent with our annual compensation cycle, the Compensation, Corporate Governance and Nominating Committee has for several years granted annual equity awards to its executive officers and directors at the start of the new fiscal year. The timing of any equity grants to executive officers in connection with new hires, promotions, or other non-routine grants is tied to the event giving rise to the award (such as an executive officer’s commencement of employment or promotion effective date). As a result, in all cases, the timing of grants of equity awards,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including stock options, occurs independent of the release of any material nonpublic information, and we do not time the disclosure of material nonpublic information for the purpose of affecting the value of equity-based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stock options were issued to executive officers in fiscal year 2024 during any period beginning four business days before the filing of a periodic report or current report disclosing material non-public information and ending one business day after the filing or furnishing of such report with the SEC.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Involvement in Certain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 of our directors or executive officers has been involved in any of the following events during the past ten years: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bankruptcy petition filed by or against any business of which such person was a general partner or executive officer either at the time of the bankruptcy or within two years prior to that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conviction in a criminal proceeding or being subject to a pending criminal proceeding (excluding traffic violations and other minor offences);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found by a court of competent jurisdiction (in a civil action), the SEC or the Commodity Futures Trading Commission to have violated a federal or state securities or commodities law, and the judgment has not been reversed, suspended, or vacated.</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Family Relationships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no family relationships among our directors and executive officers.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Delinquent Section 16(a) Reports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Section 16(a) of the Exchange Act requires our directors and officers, and persons who own more than ten percent of our common stock, to file with the SEC initial reports of ownership and reports of changes in ownership of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26, 2024, Gaelle Wizenberg purchased 100 shares of Common Stock, and on May 7, 2024, Ms. Wizenberg purchased 199 shares of Common Stock. Such transactions were reported with the SEC on July 22, 2024, in a Form 4 filing.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our knowledge, based solely on our records and a review of the copies of such reports furnished to us, during the fiscal year ended December 31, 2024, other than above, we believe that all reports applicable to our officers, directors and greater than ten percent stockholders which were required to be filed pursuant to Section 16(a) of the Exchange Act were filed on a timely basis.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Code of Conduct and Ethics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adopted a Code of Conduct and Ethics that applies to all of our employees, including our principal executive officer and principal financial and accounting officer. The text of the Code of Conduct and Ethics is posted on the “Investors — Corporate Governance” section of our website at </w:t>
      </w:r>
      <w:r>
        <w:rPr>
          <w:rFonts w:ascii="Times New Roman;Times;serif" w:hAnsi="Times New Roman;Times;serif"/>
          <w:i/>
          <w:sz w:val="20"/>
        </w:rPr>
        <w:t>www.xwell.com/corporate-governance</w:t>
      </w:r>
      <w:r>
        <w:rPr>
          <w:rFonts w:ascii="Times New Roman;Times;serif" w:hAnsi="Times New Roman;Times;serif"/>
          <w:sz w:val="20"/>
        </w:rPr>
        <w:t>, and will be made available to stockholders without charge, upon request, in writing to the Corporate Secretary at 254 West 31st Street 11</w:t>
      </w:r>
      <w:r>
        <w:rPr>
          <w:rFonts w:ascii="Times New Roman;Times;serif" w:hAnsi="Times New Roman;Times;serif"/>
          <w:sz w:val="20"/>
        </w:rPr>
        <w:t>th</w:t>
      </w:r>
      <w:r>
        <w:rPr>
          <w:rFonts w:ascii="Times New Roman;Times;serif" w:hAnsi="Times New Roman;Times;serif"/>
          <w:sz w:val="20"/>
        </w:rPr>
        <w:t xml:space="preserve">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Insider Trading Policy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adopted an insider trading policy governing the purchase, sale, and/or other dispositions of our securities by our directors, officers and employees. The insider trading policy is designed to promote compliance with respect to insider trading laws, rules and regulations. Since the adoption of our insider trading policy, the policy administrator has not granted any such exemptions to the policy’s general prohibition on hedging or pledging. While the Company is not subject to the insider trading policy, the Company does not trade in its securities when it is in possession of material nonpublic information other than pursuant to previously adopted Rule 10b5-1 trading plans.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62" w:name="ITEM11EXECUTIVECOMPENSATION_56225"/>
      <w:bookmarkStart w:id="63" w:name="_ac1eae61_def7_4f22_a4c6_dd940c92eb23"/>
      <w:bookmarkStart w:id="64" w:name="_ITEM_11._EXECUTIVE"/>
      <w:bookmarkEnd w:id="62"/>
      <w:bookmarkEnd w:id="63"/>
      <w:bookmarkEnd w:id="64"/>
      <w:r>
        <w:rPr>
          <w:rFonts w:ascii="Times New Roman;Times;serif" w:hAnsi="Times New Roman;Times;serif"/>
          <w:b/>
          <w:sz w:val="20"/>
        </w:rPr>
        <w:t>ITEM 11. EXECUTIVE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Compensation Table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total compensation awarded or paid by us during the years ended December 31, 2024 and 2023 to (i) our principal executive officer, (ii) the two most highly compensated executive officers other than the principal executive officer who were serving as executive officers at December 31, 2024, and (iii) up to two additional individuals for whom disclosure would have been provided under clause (ii) but for the fact that the person was not serving as an executive officer at the end of the year ended December 31, 2024 (collectively, the “named executive officers”).</w:t>
      </w:r>
    </w:p>
    <w:tbl>
      <w:tblPr>
        <w:tblW w:w="10205" w:type="dxa"/>
        <w:jc w:val="left"/>
        <w:tblInd w:w="0" w:type="dxa"/>
        <w:tblLayout w:type="fixed"/>
        <w:tblCellMar>
          <w:top w:w="0" w:type="dxa"/>
          <w:left w:w="0" w:type="dxa"/>
          <w:bottom w:w="0" w:type="dxa"/>
          <w:right w:w="0" w:type="dxa"/>
        </w:tblCellMar>
      </w:tblPr>
      <w:tblGrid>
        <w:gridCol w:w="1481"/>
        <w:gridCol w:w="326"/>
        <w:gridCol w:w="526"/>
        <w:gridCol w:w="326"/>
        <w:gridCol w:w="781"/>
        <w:gridCol w:w="326"/>
        <w:gridCol w:w="1141"/>
        <w:gridCol w:w="326"/>
        <w:gridCol w:w="676"/>
        <w:gridCol w:w="326"/>
        <w:gridCol w:w="1291"/>
        <w:gridCol w:w="326"/>
        <w:gridCol w:w="1141"/>
        <w:gridCol w:w="326"/>
        <w:gridCol w:w="886"/>
      </w:tblGrid>
      <w:tr>
        <w:trPr/>
        <w:tc>
          <w:tcPr>
            <w:tcW w:w="1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40435" cy="175260"/>
                      <wp:effectExtent l="0" t="0" r="0" b="0"/>
                      <wp:wrapNone/>
                      <wp:docPr id="6" name="Frame6"/>
                      <a:graphic xmlns:a="http://schemas.openxmlformats.org/drawingml/2006/main">
                        <a:graphicData uri="http://schemas.microsoft.com/office/word/2010/wordprocessingShape">
                          <wps:wsp>
                            <wps:cNvSpPr txBox="1"/>
                            <wps:spPr>
                              <a:xfrm>
                                <a:off x="0" y="0"/>
                                <a:ext cx="94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34010" cy="175260"/>
                      <wp:effectExtent l="0" t="0" r="0" b="0"/>
                      <wp:wrapNone/>
                      <wp:docPr id="8" name="Frame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95935" cy="175260"/>
                      <wp:effectExtent l="0" t="0" r="0" b="0"/>
                      <wp:wrapNone/>
                      <wp:docPr id="10" name="Frame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24535" cy="175260"/>
                      <wp:effectExtent l="0" t="0" r="0" b="0"/>
                      <wp:wrapNone/>
                      <wp:docPr id="12" name="Frame1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29260" cy="175260"/>
                      <wp:effectExtent l="0" t="0" r="0" b="0"/>
                      <wp:wrapNone/>
                      <wp:docPr id="14" name="Frame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819785" cy="175260"/>
                      <wp:effectExtent l="0" t="0" r="0" b="0"/>
                      <wp:wrapNone/>
                      <wp:docPr id="16" name="Frame16"/>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24535" cy="175260"/>
                      <wp:effectExtent l="0" t="0" r="0" b="0"/>
                      <wp:wrapNone/>
                      <wp:docPr id="18" name="Frame1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62610" cy="175260"/>
                      <wp:effectExtent l="0" t="0" r="0" b="0"/>
                      <wp:wrapNone/>
                      <wp:docPr id="20" name="Frame2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Non-Equity</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Stock</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 Awards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26" w:type="dxa"/>
            <w:tcBorders/>
            <w:vAlign w:val="center"/>
          </w:tcPr>
          <w:p>
            <w:pPr>
              <w:pStyle w:val="TableContents"/>
              <w:bidi w:val="0"/>
              <w:spacing w:before="0" w:after="1"/>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(5)</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14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Scott R. Milford</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409,615</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15,100</w:t>
            </w:r>
          </w:p>
        </w:tc>
        <w:tc>
          <w:tcPr>
            <w:tcW w:w="32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424,715</w:t>
            </w:r>
          </w:p>
        </w:tc>
      </w:tr>
      <w:tr>
        <w:trPr/>
        <w:tc>
          <w:tcPr>
            <w:tcW w:w="1481"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425,000</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52,379</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39,150</w:t>
            </w:r>
          </w:p>
        </w:tc>
        <w:tc>
          <w:tcPr>
            <w:tcW w:w="3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516,529</w:t>
            </w:r>
          </w:p>
        </w:tc>
      </w:tr>
      <w:tr>
        <w:trPr/>
        <w:tc>
          <w:tcPr>
            <w:tcW w:w="14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14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Suzanne A. Scrabis</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300,000</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15,100</w:t>
            </w:r>
          </w:p>
        </w:tc>
        <w:tc>
          <w:tcPr>
            <w:tcW w:w="3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390,100</w:t>
            </w:r>
          </w:p>
        </w:tc>
      </w:tr>
      <w:tr>
        <w:trPr/>
        <w:tc>
          <w:tcPr>
            <w:tcW w:w="148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Former Chief Financial Officer</w:t>
            </w:r>
          </w:p>
        </w:tc>
        <w:tc>
          <w:tcPr>
            <w:tcW w:w="32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135,367</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6,525</w:t>
            </w:r>
          </w:p>
        </w:tc>
        <w:tc>
          <w:tcPr>
            <w:tcW w:w="32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22,800</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165,476</w:t>
            </w:r>
          </w:p>
        </w:tc>
      </w:tr>
      <w:tr>
        <w:trPr/>
        <w:tc>
          <w:tcPr>
            <w:tcW w:w="1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14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Ezra T. Ernst</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375,000</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60,400</w:t>
            </w:r>
          </w:p>
        </w:tc>
        <w:tc>
          <w:tcPr>
            <w:tcW w:w="32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535,400</w:t>
            </w:r>
          </w:p>
        </w:tc>
      </w:tr>
      <w:tr>
        <w:trPr/>
        <w:tc>
          <w:tcPr>
            <w:tcW w:w="1481"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President &amp; Chief Executive Officer of XWELL and Director</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375,000</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27,379</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8,700</w:t>
            </w:r>
          </w:p>
        </w:tc>
        <w:tc>
          <w:tcPr>
            <w:tcW w:w="3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411,079</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Amounts represent the aggregate grant date fair value in accordance with FASB ASC </w:t>
            </w:r>
            <w:r>
              <w:rPr>
                <w:rFonts w:ascii="Times New Roman;Times;serif" w:hAnsi="Times New Roman;Times;serif"/>
                <w:b w:val="false"/>
                <w:i/>
                <w:sz w:val="20"/>
              </w:rPr>
              <w:t>Topic 718</w:t>
            </w:r>
            <w:r>
              <w:rPr>
                <w:rFonts w:ascii="Times New Roman;Times;serif" w:hAnsi="Times New Roman;Times;serif"/>
                <w:b w:val="false"/>
                <w:i w:val="false"/>
                <w:caps w:val="false"/>
                <w:smallCaps w:val="false"/>
                <w:sz w:val="20"/>
              </w:rPr>
              <w:t>. For the assumptions made in the valuation of our equity awards see Notes 2 and 15 to our consolidated financial statements included in the Original Filing.</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Milford was our former Chief Executive Officer, effective as of January 19, 2022. Prior to that, he served as our Chief Operating Officer since December 14, 2020. Compensation for the year ended December 31, 2023 includes equity awards of stock options. Compensation for the year ended December 31, 2022 includes equity awards of stock options and restricted stock.</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Scrabis was our former Chief Financial Officer, effective as of July 10, 2023. Compensation for the year ended December 31, 2023 includes equity awards of stock options and restricted stock.</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Ernst is currently our Chief Executive Officer, effective as of September 4, 2024. Prior to that, he served as the Executive Vice President and the Chief Executive Officer of XpresTest Inc. since January 9, 2022. Compensation for the year ended December 31, 2023 includes equity awards of stock options. Compensation for the year ended December 31, 2022 includes equity awards of stock options.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Narrative Disclosure to Summary Compensation Table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Scott R. Milford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8, 2019, we entered into an employment agreement with Mr. Milford, pursuant to which he agreed to serve as our Chief People Officer for an annual base salary of $280,000 and $300,000, for the year ended July 31, 2020 and the year ending on July 31, 2021, respectively. After July 31, 2021, Mr. Milford continued to be employed by the Company as an ‘at will’ employee, subject to annual review by the Compensation Committee. Mr. Milford was also entitled to a one-time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at that time in connection with the promotion.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March 28, 2022, the Company and Mr. Milford entered into an executive employment agreement (the “Milford Employment Agreement”), effective as of January 19, 2022, the date of Mr. Milford’s assumption of the role of Chief Executive Officer. The Milford Employment Agreement had a term of two years from its effective date of January 19,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2022, and terminated on January 19, 2024. The Milford Employment Agreement entitled Mr. Milford to receive an annual base salary of $425,000. Mr. Milford continues to be employed by the Company as an “at will” employee.  He is also eligible to participate in any annual bonus and other incentive compensation program that the Company may adopt from time to time for its executive officers. Prior to January 19, 2024, Mr. Milford was eligible to earn an annual bonus, the target amount of which is up to one hundred percent (100%) of his base salary, based upon the achievement of performance goals and metrics established by the Board at its sole discretion. Any applicable bonus was determined as soon as reasonably practicable after our annual financial statements were finalized and was split 50/50 between cash and a grant of restricted stock units (“RSUs”) with respect to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January 19, 2024, in the event the Milford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  In addition, the agreement contained non-solicitation and non-competition provisions that applied during the term of Mr. Milford’s employment and for six months thereafter. As of January 19, 2024, the Milford Employment Agreement is no longer in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September 4, 2024, Mr. Milford stepped down as the President and Chief Executive Officer of the Company and entered into a Transition and Severance Agreement (the “Milford Transition Agreement”). Under the Milford Transition Agreement, Mr. Milford served as a consultant through December 31, 2024 earning $31,250 per month. Mr. Milford received $425,000 in severance payments and also receive up to 12 months of COBRA premium reimbursement.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Suzanne A. Scrabis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her service as Chief Financial Officer, pursuant to an offer letter, dated as of June 26, 2023, by and between us and Ms. Scrabis (the “Scrabis Offer Letter”), Ms. Scrabis received an annual base salary of $300,000, subject to review by the Compensation Committee. Ms. Scrabis was eligible to receive an annual cash bonus with a target of 50% of her base salary. Ms. Scrabis was additionally eligible to participate in Company’s long-term incentive plan with the potential to receive stock options valued at up to 1.75 times her annual base salary (pro-rated for 2023). Ms. Scrabis received (i) non-qualified stock options to purchase 3,750 shares of common stock with an exercise price of $4.60, and (ii) 5,000 RSUs, with each grant made as of July 10, 2023 and vesting in four quarterly installments on the first, second, third and fourth quarters after the grant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 2025, Ms. Scrabis entered into a Resignation, Separation Agreement and Release (the “Scrabis Release Agreement”), by and between the Company and Suzanne Scrabis, which became effective as of January 8, 2025 (the “Scrabis Separation Date”), in connection with Ms. Scrabis’s resignation as the Chief Financial Officer of the Company. Pursuant to the terms of the Scrabis Release Agreement, in consideration for performing certain transition services and entering into the Scrabis Release Agreement, Ms. Scrabis will receive within 30 days from the Separation Date, a regular bi-weekly salary in the amount of $11,538.46 for a period of six months, less all applicable deductions and withholdings. The Company has additionally agreed to reimburse the portion of Consolidated Omnibus Budget Reconciliation Act of 1985, as amended, premiums paid by Ms. Scrabis for the continuation of health coverage under the Company’s group benefit plans, for up to six months and subject to certain exceptions.”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Ezra T. Ernst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September 4, 2024, Ezra T. Ernst was appointed as the President and Chief Executive Officer of the Company pursuant to the terms of an Executive Employment Agreement (the “Ernst Employment Agreement”), by and between the Company and Ezra T. Ernst The Ernst Employment Agreement supersedes and replaces any previous employment agreements between the Company and Mr. Ernst, including but not limited to, that certain Executive Employment Agreement, dated January 9, 2022, by and between Mr. Ernst and XpresSpa Group, Inc. Pursuant to the terms of the Ernst Employment Agreement, Mr. Ernst will receive an annual base salary of $425,000 (the “Base Salary”) and is eligible for an annual bonus of up to 100% of the Base Salary, split 50/50 between cash and a grant of restricted stock units with respect to the Company’s common stock, par value $0.01 per share (the “Common Stock”). Additionally, Mr. Ernst was granted (A) stock options to purchase up to 30,000 shares of Common Stock at an exercise price of $1.86 per share, with (i) 25% of the shares to vest on the grant date; (ii) 18.75% of shares to vest on December 31, 2024; (iii) 18.75% of the shares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vest on March 31, 2025; (iv) 18.75% of shares to vest on June 30, 2025; and (v) the remaining shares to vest on September 30, 2025, in each case rounded down for any fractional shares and (B) 30,000 restricted shares of Common Stock, which such shares shall vest in approximately three equal annual installments.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Ernst Employment Agreement has a three-year term with automatic one-year renewals unless terminated by either Mr. Ernst or the Company with 30 days’ written notice.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the Ernst Employment Agreement is terminated for good reason by Mr. Ernst, or by the Company without cause and Mr. Ernst provided the Company with a release of claims, Mr. Ernst is entitled to receive a cash severance payment in the amount of one hundred percent (100%) of his then current base salary and one year of COBRA continuation coverage.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Equity Awards at 2024 Fiscal Year End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regarding grants of stock options and unvested stock awards outstanding on the last day of the fiscal year ended December 31, 2024, to each of our named executive officers.</w:t>
      </w:r>
    </w:p>
    <w:tbl>
      <w:tblPr>
        <w:tblW w:w="10205" w:type="dxa"/>
        <w:jc w:val="left"/>
        <w:tblInd w:w="0" w:type="dxa"/>
        <w:tblLayout w:type="fixed"/>
        <w:tblCellMar>
          <w:top w:w="0" w:type="dxa"/>
          <w:left w:w="0" w:type="dxa"/>
          <w:bottom w:w="0" w:type="dxa"/>
          <w:right w:w="0" w:type="dxa"/>
        </w:tblCellMar>
      </w:tblPr>
      <w:tblGrid>
        <w:gridCol w:w="2866"/>
        <w:gridCol w:w="326"/>
        <w:gridCol w:w="1006"/>
        <w:gridCol w:w="326"/>
        <w:gridCol w:w="856"/>
        <w:gridCol w:w="326"/>
        <w:gridCol w:w="631"/>
        <w:gridCol w:w="326"/>
        <w:gridCol w:w="1202"/>
        <w:gridCol w:w="326"/>
        <w:gridCol w:w="698"/>
        <w:gridCol w:w="336"/>
        <w:gridCol w:w="357"/>
        <w:gridCol w:w="623"/>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819910" cy="175260"/>
                      <wp:effectExtent l="0" t="0" r="0" b="0"/>
                      <wp:wrapNone/>
                      <wp:docPr id="21" name="Frame21"/>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38810" cy="175260"/>
                      <wp:effectExtent l="0" t="0" r="0" b="0"/>
                      <wp:wrapNone/>
                      <wp:docPr id="23" name="Frame2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43560" cy="175260"/>
                      <wp:effectExtent l="0" t="0" r="0" b="0"/>
                      <wp:wrapNone/>
                      <wp:docPr id="25" name="Frame2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00685" cy="175260"/>
                      <wp:effectExtent l="0" t="0" r="0" b="0"/>
                      <wp:wrapNone/>
                      <wp:docPr id="27" name="Frame2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63270" cy="175260"/>
                      <wp:effectExtent l="0" t="0" r="0" b="0"/>
                      <wp:wrapNone/>
                      <wp:docPr id="29" name="Frame29"/>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43230" cy="175260"/>
                      <wp:effectExtent l="0" t="0" r="0" b="0"/>
                      <wp:wrapNone/>
                      <wp:docPr id="31" name="Frame31"/>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3360" cy="175260"/>
                      <wp:effectExtent l="0" t="0" r="0" b="0"/>
                      <wp:wrapNone/>
                      <wp:docPr id="32" name="Frame32"/>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26695" cy="175260"/>
                      <wp:effectExtent l="0" t="0" r="0" b="0"/>
                      <wp:wrapNone/>
                      <wp:docPr id="33" name="Frame33"/>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95605" cy="175260"/>
                      <wp:effectExtent l="0" t="0" r="0" b="0"/>
                      <wp:wrapNone/>
                      <wp:docPr id="34" name="Frame34"/>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67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Option Awards</w:t>
            </w:r>
          </w:p>
        </w:tc>
        <w:tc>
          <w:tcPr>
            <w:tcW w:w="326" w:type="dxa"/>
            <w:tcBorders/>
            <w:vAlign w:val="center"/>
          </w:tcPr>
          <w:p>
            <w:pPr>
              <w:pStyle w:val="TableContents"/>
              <w:bidi w:val="0"/>
              <w:spacing w:before="0" w:after="1"/>
              <w:ind w:left="0" w:right="0" w:hanging="0"/>
              <w:jc w:val="left"/>
              <w:rPr/>
            </w:pPr>
            <w:r>
              <w:rPr/>
              <w:t>    </w:t>
            </w:r>
          </w:p>
        </w:tc>
        <w:tc>
          <w:tcPr>
            <w:tcW w:w="20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Restricted Stock Unit Awards</w:t>
            </w:r>
          </w:p>
        </w:tc>
      </w:tr>
      <w:tr>
        <w:trPr/>
        <w:tc>
          <w:tcPr>
            <w:tcW w:w="28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Number</w:t>
            </w:r>
          </w:p>
        </w:tc>
        <w:tc>
          <w:tcPr>
            <w:tcW w:w="336" w:type="dxa"/>
            <w:tcBorders/>
            <w:vAlign w:val="center"/>
          </w:tcPr>
          <w:p>
            <w:pPr>
              <w:pStyle w:val="TableContents"/>
              <w:bidi w:val="0"/>
              <w:spacing w:before="0" w:after="1"/>
              <w:ind w:left="0" w:right="0" w:hanging="0"/>
              <w:jc w:val="left"/>
              <w:rPr/>
            </w:pPr>
            <w:r>
              <w:rPr/>
              <w:t>​</w:t>
            </w:r>
          </w:p>
        </w:tc>
        <w:tc>
          <w:tcPr>
            <w:tcW w:w="980"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Market</w: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Number</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of shares</w:t>
            </w:r>
          </w:p>
        </w:tc>
        <w:tc>
          <w:tcPr>
            <w:tcW w:w="336" w:type="dxa"/>
            <w:tcBorders/>
            <w:vAlign w:val="center"/>
          </w:tcPr>
          <w:p>
            <w:pPr>
              <w:pStyle w:val="TableContents"/>
              <w:bidi w:val="0"/>
              <w:spacing w:before="0" w:after="1"/>
              <w:ind w:left="0" w:right="0" w:hanging="0"/>
              <w:jc w:val="left"/>
              <w:rPr/>
            </w:pPr>
            <w:r>
              <w:rPr/>
              <w:t>​</w:t>
            </w:r>
          </w:p>
        </w:tc>
        <w:tc>
          <w:tcPr>
            <w:tcW w:w="980"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value</w: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Number</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of securities</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of units</w:t>
            </w:r>
          </w:p>
        </w:tc>
        <w:tc>
          <w:tcPr>
            <w:tcW w:w="336" w:type="dxa"/>
            <w:tcBorders/>
            <w:vAlign w:val="center"/>
          </w:tcPr>
          <w:p>
            <w:pPr>
              <w:pStyle w:val="TableContents"/>
              <w:bidi w:val="0"/>
              <w:spacing w:before="0" w:after="1"/>
              <w:ind w:left="0" w:right="0" w:hanging="0"/>
              <w:jc w:val="left"/>
              <w:rPr/>
            </w:pPr>
            <w:r>
              <w:rPr/>
              <w:t>​</w:t>
            </w:r>
          </w:p>
        </w:tc>
        <w:tc>
          <w:tcPr>
            <w:tcW w:w="980"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of shares</w: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of securities</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underlying</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of stock</w:t>
            </w:r>
          </w:p>
        </w:tc>
        <w:tc>
          <w:tcPr>
            <w:tcW w:w="336" w:type="dxa"/>
            <w:tcBorders/>
            <w:vAlign w:val="center"/>
          </w:tcPr>
          <w:p>
            <w:pPr>
              <w:pStyle w:val="TableContents"/>
              <w:bidi w:val="0"/>
              <w:spacing w:before="0" w:after="1"/>
              <w:ind w:left="0" w:right="0" w:hanging="0"/>
              <w:jc w:val="left"/>
              <w:rPr/>
            </w:pPr>
            <w:r>
              <w:rPr/>
              <w:t>​</w:t>
            </w:r>
          </w:p>
        </w:tc>
        <w:tc>
          <w:tcPr>
            <w:tcW w:w="980"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of units</w: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underlying</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unexercised</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that</w:t>
            </w:r>
          </w:p>
        </w:tc>
        <w:tc>
          <w:tcPr>
            <w:tcW w:w="336" w:type="dxa"/>
            <w:tcBorders/>
            <w:vAlign w:val="center"/>
          </w:tcPr>
          <w:p>
            <w:pPr>
              <w:pStyle w:val="TableContents"/>
              <w:bidi w:val="0"/>
              <w:spacing w:before="0" w:after="1"/>
              <w:ind w:left="0" w:right="0" w:hanging="0"/>
              <w:jc w:val="left"/>
              <w:rPr/>
            </w:pPr>
            <w:r>
              <w:rPr/>
              <w:t>​</w:t>
            </w:r>
          </w:p>
        </w:tc>
        <w:tc>
          <w:tcPr>
            <w:tcW w:w="980"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of stock</w: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unexercised</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options</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Option</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Option</w:t>
            </w:r>
          </w:p>
        </w:tc>
        <w:tc>
          <w:tcPr>
            <w:tcW w:w="326"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have not</w:t>
            </w:r>
          </w:p>
        </w:tc>
        <w:tc>
          <w:tcPr>
            <w:tcW w:w="336" w:type="dxa"/>
            <w:tcBorders/>
            <w:vAlign w:val="center"/>
          </w:tcPr>
          <w:p>
            <w:pPr>
              <w:pStyle w:val="TableContents"/>
              <w:bidi w:val="0"/>
              <w:spacing w:before="0" w:after="1"/>
              <w:ind w:left="0" w:right="0" w:hanging="0"/>
              <w:jc w:val="left"/>
              <w:rPr/>
            </w:pPr>
            <w:r>
              <w:rPr/>
              <w:t>​</w:t>
            </w:r>
          </w:p>
        </w:tc>
        <w:tc>
          <w:tcPr>
            <w:tcW w:w="980"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that</w: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options</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un-</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exercise</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expiration</w:t>
            </w:r>
          </w:p>
        </w:tc>
        <w:tc>
          <w:tcPr>
            <w:tcW w:w="326"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vested</w:t>
            </w:r>
          </w:p>
        </w:tc>
        <w:tc>
          <w:tcPr>
            <w:tcW w:w="336" w:type="dxa"/>
            <w:tcBorders/>
            <w:vAlign w:val="center"/>
          </w:tcPr>
          <w:p>
            <w:pPr>
              <w:pStyle w:val="TableContents"/>
              <w:bidi w:val="0"/>
              <w:spacing w:before="0" w:after="1"/>
              <w:ind w:left="0" w:right="0" w:hanging="0"/>
              <w:jc w:val="left"/>
              <w:rPr/>
            </w:pPr>
            <w:r>
              <w:rPr/>
              <w:t>​</w:t>
            </w:r>
          </w:p>
        </w:tc>
        <w:tc>
          <w:tcPr>
            <w:tcW w:w="980"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have not</w:t>
            </w:r>
          </w:p>
        </w:tc>
      </w:tr>
      <w:tr>
        <w:trPr/>
        <w:tc>
          <w:tcPr>
            <w:tcW w:w="28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Name</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exercisable</w:t>
            </w:r>
          </w:p>
        </w:tc>
        <w:tc>
          <w:tcPr>
            <w:tcW w:w="326" w:type="dxa"/>
            <w:tcBorders/>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exercisable</w:t>
            </w:r>
          </w:p>
        </w:tc>
        <w:tc>
          <w:tcPr>
            <w:tcW w:w="326" w:type="dxa"/>
            <w:tcBorders/>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price ($)</w:t>
            </w:r>
          </w:p>
        </w:tc>
        <w:tc>
          <w:tcPr>
            <w:tcW w:w="326" w:type="dxa"/>
            <w:tcBorders/>
            <w:vAlign w:val="center"/>
          </w:tcPr>
          <w:p>
            <w:pPr>
              <w:pStyle w:val="TableContents"/>
              <w:bidi w:val="0"/>
              <w:spacing w:before="0" w:after="1"/>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date</w:t>
            </w:r>
          </w:p>
        </w:tc>
        <w:tc>
          <w:tcPr>
            <w:tcW w:w="326" w:type="dxa"/>
            <w:tcBorders/>
            <w:vAlign w:val="center"/>
          </w:tcPr>
          <w:p>
            <w:pPr>
              <w:pStyle w:val="TableContents"/>
              <w:bidi w:val="0"/>
              <w:spacing w:before="0" w:after="1"/>
              <w:ind w:left="0" w:right="0" w:hanging="0"/>
              <w:jc w:val="left"/>
              <w:rPr/>
            </w:pPr>
            <w:r>
              <w:rPr/>
              <w:t>    </w:t>
            </w:r>
          </w:p>
        </w:tc>
        <w:tc>
          <w:tcPr>
            <w:tcW w:w="69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w:t>
            </w:r>
          </w:p>
        </w:tc>
        <w:tc>
          <w:tcPr>
            <w:tcW w:w="336" w:type="dxa"/>
            <w:tcBorders/>
            <w:vAlign w:val="center"/>
          </w:tcPr>
          <w:p>
            <w:pPr>
              <w:pStyle w:val="TableContents"/>
              <w:bidi w:val="0"/>
              <w:spacing w:before="0" w:after="1"/>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vested ($)</w:t>
            </w:r>
          </w:p>
        </w:tc>
      </w:tr>
      <w:tr>
        <w:trPr/>
        <w:tc>
          <w:tcPr>
            <w:tcW w:w="28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Scott R. Milford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8" w:type="dxa"/>
            <w:tcBorders/>
            <w:shd w:fill="CCEEFF" w:val="clear"/>
            <w:vAlign w:val="center"/>
          </w:tcPr>
          <w:p>
            <w:pPr>
              <w:pStyle w:val="TableContents"/>
              <w:bidi w:val="0"/>
              <w:spacing w:before="0" w:after="1"/>
              <w:ind w:left="0" w:right="0" w:hanging="0"/>
              <w:jc w:val="right"/>
              <w:rPr/>
            </w:pPr>
            <w:r>
              <w:rPr/>
              <w:t>—</w:t>
            </w:r>
          </w:p>
        </w:tc>
        <w:tc>
          <w:tcPr>
            <w:tcW w:w="336" w:type="dxa"/>
            <w:tcBorders/>
            <w:shd w:fill="CCEEFF" w:val="clear"/>
            <w:vAlign w:val="center"/>
          </w:tcPr>
          <w:p>
            <w:pPr>
              <w:pStyle w:val="TableContents"/>
              <w:bidi w:val="0"/>
              <w:spacing w:before="0" w:after="1"/>
              <w:ind w:left="0" w:right="0" w:hanging="0"/>
              <w:jc w:val="left"/>
              <w:rPr/>
            </w:pPr>
            <w:r>
              <w:rPr/>
              <w:t> </w:t>
            </w:r>
          </w:p>
        </w:tc>
        <w:tc>
          <w:tcPr>
            <w:tcW w:w="357" w:type="dxa"/>
            <w:tcBorders/>
            <w:shd w:fill="CCEEFF" w:val="clear"/>
            <w:vAlign w:val="center"/>
          </w:tcPr>
          <w:p>
            <w:pPr>
              <w:pStyle w:val="TableContents"/>
              <w:bidi w:val="0"/>
              <w:spacing w:before="0" w:after="1"/>
              <w:ind w:left="0" w:right="0" w:hanging="0"/>
              <w:jc w:val="right"/>
              <w:rPr/>
            </w:pPr>
            <w:r>
              <w:rPr/>
              <w:t>—</w:t>
            </w:r>
          </w:p>
        </w:tc>
        <w:tc>
          <w:tcPr>
            <w:tcW w:w="623" w:type="dxa"/>
            <w:tcBorders/>
            <w:shd w:fill="CCEEFF" w:val="clear"/>
            <w:vAlign w:val="center"/>
          </w:tcPr>
          <w:p>
            <w:pPr>
              <w:pStyle w:val="TableContents"/>
              <w:bidi w:val="0"/>
              <w:spacing w:before="0" w:after="1"/>
              <w:ind w:left="0" w:right="0" w:hanging="0"/>
              <w:jc w:val="right"/>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2020 Non-Qualified Stock Options from the 2012 Plan</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2,916</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30.60</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April 20, 2030</w:t>
            </w:r>
          </w:p>
        </w:tc>
        <w:tc>
          <w:tcPr>
            <w:tcW w:w="326"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right"/>
              <w:rPr/>
            </w:pPr>
            <w:r>
              <w:rPr/>
              <w:t>​</w:t>
            </w:r>
          </w:p>
        </w:tc>
        <w:tc>
          <w:tcPr>
            <w:tcW w:w="623" w:type="dxa"/>
            <w:tcBorders/>
            <w:vAlign w:val="center"/>
          </w:tcPr>
          <w:p>
            <w:pPr>
              <w:pStyle w:val="TableContents"/>
              <w:bidi w:val="0"/>
              <w:spacing w:before="0" w:after="1"/>
              <w:ind w:left="0" w:right="0" w:hanging="0"/>
              <w:jc w:val="right"/>
              <w:rPr/>
            </w:pPr>
            <w:r>
              <w:rPr/>
              <w:t>  </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2020 Incentive Stock Options from the 2012 Plan</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1,605</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100.20</w:t>
            </w:r>
          </w:p>
        </w:tc>
        <w:tc>
          <w:tcPr>
            <w:tcW w:w="326"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September 6, 2030</w:t>
            </w:r>
          </w:p>
        </w:tc>
        <w:tc>
          <w:tcPr>
            <w:tcW w:w="326" w:type="dxa"/>
            <w:tcBorders/>
            <w:shd w:fill="CCEEFF" w:val="clear"/>
            <w:vAlign w:val="center"/>
          </w:tcPr>
          <w:p>
            <w:pPr>
              <w:pStyle w:val="TableContents"/>
              <w:bidi w:val="0"/>
              <w:spacing w:before="0" w:after="1"/>
              <w:ind w:left="0" w:right="0" w:hanging="0"/>
              <w:jc w:val="left"/>
              <w:rPr/>
            </w:pPr>
            <w:r>
              <w:rPr/>
              <w:t>​</w:t>
            </w:r>
          </w:p>
        </w:tc>
        <w:tc>
          <w:tcPr>
            <w:tcW w:w="698" w:type="dxa"/>
            <w:tcBorders/>
            <w:shd w:fill="CCEEFF" w:val="clear"/>
            <w:vAlign w:val="center"/>
          </w:tcPr>
          <w:p>
            <w:pPr>
              <w:pStyle w:val="TableContents"/>
              <w:bidi w:val="0"/>
              <w:spacing w:before="0" w:after="1"/>
              <w:ind w:left="0" w:right="0" w:hanging="0"/>
              <w:jc w:val="righ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right"/>
              <w:rPr/>
            </w:pPr>
            <w:r>
              <w:rPr/>
              <w:t>​</w:t>
            </w:r>
          </w:p>
        </w:tc>
        <w:tc>
          <w:tcPr>
            <w:tcW w:w="623" w:type="dxa"/>
            <w:tcBorders/>
            <w:shd w:fill="CCEEFF" w:val="clear"/>
            <w:vAlign w:val="center"/>
          </w:tcPr>
          <w:p>
            <w:pPr>
              <w:pStyle w:val="TableContents"/>
              <w:bidi w:val="0"/>
              <w:spacing w:before="0" w:after="1"/>
              <w:ind w:left="0" w:right="0" w:hanging="0"/>
              <w:jc w:val="right"/>
              <w:rPr/>
            </w:pPr>
            <w:r>
              <w:rPr/>
              <w:t>  </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2020 Non-Qualified Stock Options from the 2020 Plan</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4,815</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100.20</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October 28, 2030</w:t>
            </w:r>
          </w:p>
        </w:tc>
        <w:tc>
          <w:tcPr>
            <w:tcW w:w="326"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right"/>
              <w:rPr/>
            </w:pPr>
            <w:r>
              <w:rPr/>
              <w:t>​</w:t>
            </w:r>
          </w:p>
        </w:tc>
        <w:tc>
          <w:tcPr>
            <w:tcW w:w="623" w:type="dxa"/>
            <w:tcBorders/>
            <w:vAlign w:val="center"/>
          </w:tcPr>
          <w:p>
            <w:pPr>
              <w:pStyle w:val="TableContents"/>
              <w:bidi w:val="0"/>
              <w:spacing w:before="0" w:after="1"/>
              <w:ind w:left="0" w:right="0" w:hanging="0"/>
              <w:jc w:val="right"/>
              <w:rPr/>
            </w:pPr>
            <w:r>
              <w:rPr/>
              <w:t>  </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2021 Non-Qualified Stock Options from the 2020 Plan</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14,266</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4,755</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32.20</w:t>
            </w:r>
          </w:p>
        </w:tc>
        <w:tc>
          <w:tcPr>
            <w:tcW w:w="326"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January 21, 2031</w:t>
            </w:r>
          </w:p>
        </w:tc>
        <w:tc>
          <w:tcPr>
            <w:tcW w:w="326" w:type="dxa"/>
            <w:tcBorders/>
            <w:shd w:fill="CCEEFF" w:val="clear"/>
            <w:vAlign w:val="center"/>
          </w:tcPr>
          <w:p>
            <w:pPr>
              <w:pStyle w:val="TableContents"/>
              <w:bidi w:val="0"/>
              <w:spacing w:before="0" w:after="1"/>
              <w:ind w:left="0" w:right="0" w:hanging="0"/>
              <w:jc w:val="left"/>
              <w:rPr/>
            </w:pPr>
            <w:r>
              <w:rPr/>
              <w:t>​</w:t>
            </w:r>
          </w:p>
        </w:tc>
        <w:tc>
          <w:tcPr>
            <w:tcW w:w="698" w:type="dxa"/>
            <w:tcBorders/>
            <w:shd w:fill="CCEEFF" w:val="clear"/>
            <w:vAlign w:val="center"/>
          </w:tcPr>
          <w:p>
            <w:pPr>
              <w:pStyle w:val="TableContents"/>
              <w:bidi w:val="0"/>
              <w:spacing w:before="0" w:after="1"/>
              <w:ind w:left="0" w:right="0" w:hanging="0"/>
              <w:jc w:val="righ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right"/>
              <w:rPr/>
            </w:pPr>
            <w:r>
              <w:rPr/>
              <w:t>​</w:t>
            </w:r>
          </w:p>
        </w:tc>
        <w:tc>
          <w:tcPr>
            <w:tcW w:w="623" w:type="dxa"/>
            <w:tcBorders/>
            <w:shd w:fill="CCEEFF" w:val="clear"/>
            <w:vAlign w:val="center"/>
          </w:tcPr>
          <w:p>
            <w:pPr>
              <w:pStyle w:val="TableContents"/>
              <w:bidi w:val="0"/>
              <w:spacing w:before="0" w:after="1"/>
              <w:ind w:left="0" w:right="0" w:hanging="0"/>
              <w:jc w:val="right"/>
              <w:rPr/>
            </w:pPr>
            <w:r>
              <w:rPr/>
              <w:t>  </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2022 Non-Qualified Stock Options from the 2020 Plan</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28.60</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April 20, 2032</w:t>
            </w:r>
          </w:p>
        </w:tc>
        <w:tc>
          <w:tcPr>
            <w:tcW w:w="326"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right"/>
              <w:rPr/>
            </w:pPr>
            <w:r>
              <w:rPr/>
              <w:t>​</w:t>
            </w:r>
          </w:p>
        </w:tc>
        <w:tc>
          <w:tcPr>
            <w:tcW w:w="623" w:type="dxa"/>
            <w:tcBorders/>
            <w:vAlign w:val="center"/>
          </w:tcPr>
          <w:p>
            <w:pPr>
              <w:pStyle w:val="TableContents"/>
              <w:bidi w:val="0"/>
              <w:spacing w:before="0" w:after="1"/>
              <w:ind w:left="0" w:right="0" w:hanging="0"/>
              <w:jc w:val="right"/>
              <w:rPr/>
            </w:pPr>
            <w:r>
              <w:rPr/>
              <w:t>  </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2023 Non-Qualified Stock Options from the 2020 Plan</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22,500</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1,875</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w:t>
            </w:r>
          </w:p>
        </w:tc>
        <w:tc>
          <w:tcPr>
            <w:tcW w:w="326"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January 5, 2033</w:t>
            </w:r>
          </w:p>
        </w:tc>
        <w:tc>
          <w:tcPr>
            <w:tcW w:w="326" w:type="dxa"/>
            <w:tcBorders/>
            <w:shd w:fill="CCEEFF" w:val="clear"/>
            <w:vAlign w:val="center"/>
          </w:tcPr>
          <w:p>
            <w:pPr>
              <w:pStyle w:val="TableContents"/>
              <w:bidi w:val="0"/>
              <w:spacing w:before="0" w:after="1"/>
              <w:ind w:left="0" w:right="0" w:hanging="0"/>
              <w:jc w:val="left"/>
              <w:rPr/>
            </w:pPr>
            <w:r>
              <w:rPr/>
              <w:t>​</w:t>
            </w:r>
          </w:p>
        </w:tc>
        <w:tc>
          <w:tcPr>
            <w:tcW w:w="698" w:type="dxa"/>
            <w:tcBorders/>
            <w:shd w:fill="CCEEFF" w:val="clear"/>
            <w:vAlign w:val="center"/>
          </w:tcPr>
          <w:p>
            <w:pPr>
              <w:pStyle w:val="TableContents"/>
              <w:bidi w:val="0"/>
              <w:spacing w:before="0" w:after="1"/>
              <w:ind w:left="0" w:right="0" w:hanging="0"/>
              <w:jc w:val="righ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right"/>
              <w:rPr/>
            </w:pPr>
            <w:r>
              <w:rPr/>
              <w:t>​</w:t>
            </w:r>
          </w:p>
        </w:tc>
        <w:tc>
          <w:tcPr>
            <w:tcW w:w="623" w:type="dxa"/>
            <w:tcBorders/>
            <w:shd w:fill="CCEEFF" w:val="clear"/>
            <w:vAlign w:val="center"/>
          </w:tcPr>
          <w:p>
            <w:pPr>
              <w:pStyle w:val="TableContents"/>
              <w:bidi w:val="0"/>
              <w:spacing w:before="0" w:after="1"/>
              <w:ind w:left="0" w:right="0" w:hanging="0"/>
              <w:jc w:val="right"/>
              <w:rPr/>
            </w:pPr>
            <w:r>
              <w:rPr/>
              <w:t>  </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2024 Non-Qualified Stock Options from the 2020 Plan</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February 5, 2034</w:t>
            </w:r>
          </w:p>
        </w:tc>
        <w:tc>
          <w:tcPr>
            <w:tcW w:w="326"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right"/>
              <w:rPr/>
            </w:pPr>
            <w:r>
              <w:rPr/>
              <w:t>​</w:t>
            </w:r>
          </w:p>
        </w:tc>
        <w:tc>
          <w:tcPr>
            <w:tcW w:w="623" w:type="dxa"/>
            <w:tcBorders/>
            <w:vAlign w:val="center"/>
          </w:tcPr>
          <w:p>
            <w:pPr>
              <w:pStyle w:val="TableContents"/>
              <w:bidi w:val="0"/>
              <w:spacing w:before="0" w:after="1"/>
              <w:ind w:left="0" w:right="0" w:hanging="0"/>
              <w:jc w:val="left"/>
              <w:rPr/>
            </w:pPr>
            <w:r>
              <w:rPr/>
              <w:t>​</w:t>
            </w:r>
          </w:p>
        </w:tc>
      </w:tr>
      <w:tr>
        <w:trPr/>
        <w:tc>
          <w:tcPr>
            <w:tcW w:w="28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8"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left"/>
              <w:rPr/>
            </w:pPr>
            <w:r>
              <w:rPr/>
              <w:t>​</w:t>
            </w:r>
          </w:p>
        </w:tc>
      </w:tr>
      <w:tr>
        <w:trPr/>
        <w:tc>
          <w:tcPr>
            <w:tcW w:w="286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Ezra T. Ernst </w:t>
            </w:r>
            <w:r>
              <w:rPr>
                <w:rFonts w:ascii="Times New Roman;Times;serif" w:hAnsi="Times New Roman;Times;serif"/>
                <w:sz w:val="12"/>
              </w:rPr>
              <w:t>(1)</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30,000</w:t>
            </w:r>
          </w:p>
        </w:tc>
        <w:tc>
          <w:tcPr>
            <w:tcW w:w="336" w:type="dxa"/>
            <w:tcBorders/>
            <w:vAlign w:val="center"/>
          </w:tcPr>
          <w:p>
            <w:pPr>
              <w:pStyle w:val="TableContents"/>
              <w:bidi w:val="0"/>
              <w:spacing w:before="0" w:after="1"/>
              <w:ind w:left="0" w:right="0" w:hanging="0"/>
              <w:jc w:val="left"/>
              <w:rPr/>
            </w:pPr>
            <w:r>
              <w:rPr/>
              <w:t> </w:t>
            </w:r>
          </w:p>
        </w:tc>
        <w:tc>
          <w:tcPr>
            <w:tcW w:w="357"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$ 1.80</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Inducement Plan</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33,333</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16,667</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32.80</w:t>
            </w:r>
          </w:p>
        </w:tc>
        <w:tc>
          <w:tcPr>
            <w:tcW w:w="326"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January 14, 2032</w:t>
            </w:r>
          </w:p>
        </w:tc>
        <w:tc>
          <w:tcPr>
            <w:tcW w:w="326" w:type="dxa"/>
            <w:tcBorders/>
            <w:shd w:fill="CCEEFF" w:val="clear"/>
            <w:vAlign w:val="center"/>
          </w:tcPr>
          <w:p>
            <w:pPr>
              <w:pStyle w:val="TableContents"/>
              <w:bidi w:val="0"/>
              <w:spacing w:before="0" w:after="1"/>
              <w:ind w:left="0" w:right="0" w:hanging="0"/>
              <w:jc w:val="left"/>
              <w:rPr/>
            </w:pPr>
            <w:r>
              <w:rPr/>
              <w:t> </w:t>
            </w:r>
          </w:p>
        </w:tc>
        <w:tc>
          <w:tcPr>
            <w:tcW w:w="698" w:type="dxa"/>
            <w:tcBorders/>
            <w:shd w:fill="CCEEFF" w:val="clear"/>
            <w:vAlign w:val="center"/>
          </w:tcPr>
          <w:p>
            <w:pPr>
              <w:pStyle w:val="TableContents"/>
              <w:bidi w:val="0"/>
              <w:spacing w:before="0" w:after="1"/>
              <w:ind w:left="0" w:right="0" w:hanging="0"/>
              <w:jc w:val="right"/>
              <w:rPr/>
            </w:pPr>
            <w:r>
              <w:rPr/>
              <w:t>  </w:t>
            </w:r>
          </w:p>
        </w:tc>
        <w:tc>
          <w:tcPr>
            <w:tcW w:w="336" w:type="dxa"/>
            <w:tcBorders/>
            <w:shd w:fill="CCEEFF" w:val="clear"/>
            <w:vAlign w:val="center"/>
          </w:tcPr>
          <w:p>
            <w:pPr>
              <w:pStyle w:val="TableContents"/>
              <w:bidi w:val="0"/>
              <w:spacing w:before="0" w:after="1"/>
              <w:ind w:left="0" w:right="0" w:hanging="0"/>
              <w:jc w:val="left"/>
              <w:rPr/>
            </w:pPr>
            <w:r>
              <w:rPr/>
              <w:t> </w:t>
            </w:r>
          </w:p>
        </w:tc>
        <w:tc>
          <w:tcPr>
            <w:tcW w:w="357"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  </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2023 Non-Qualified Stock Options from the 2020 Plan</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1,250</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January 5, 2033</w:t>
            </w:r>
          </w:p>
        </w:tc>
        <w:tc>
          <w:tcPr>
            <w:tcW w:w="326" w:type="dxa"/>
            <w:tcBorders/>
            <w:vAlign w:val="center"/>
          </w:tcPr>
          <w:p>
            <w:pPr>
              <w:pStyle w:val="TableContents"/>
              <w:bidi w:val="0"/>
              <w:spacing w:before="0" w:after="1"/>
              <w:ind w:left="0" w:right="0" w:hanging="0"/>
              <w:jc w:val="left"/>
              <w:rPr/>
            </w:pPr>
            <w:r>
              <w:rPr/>
              <w:t> </w:t>
            </w:r>
          </w:p>
        </w:tc>
        <w:tc>
          <w:tcPr>
            <w:tcW w:w="698" w:type="dxa"/>
            <w:tcBorders/>
            <w:vAlign w:val="center"/>
          </w:tcPr>
          <w:p>
            <w:pPr>
              <w:pStyle w:val="TableContents"/>
              <w:bidi w:val="0"/>
              <w:spacing w:before="0" w:after="1"/>
              <w:ind w:left="0" w:right="0" w:hanging="0"/>
              <w:jc w:val="right"/>
              <w:rPr/>
            </w:pPr>
            <w:r>
              <w:rPr/>
              <w:t>  </w:t>
            </w:r>
          </w:p>
        </w:tc>
        <w:tc>
          <w:tcPr>
            <w:tcW w:w="336" w:type="dxa"/>
            <w:tcBorders/>
            <w:vAlign w:val="center"/>
          </w:tcPr>
          <w:p>
            <w:pPr>
              <w:pStyle w:val="TableContents"/>
              <w:bidi w:val="0"/>
              <w:spacing w:before="0" w:after="1"/>
              <w:ind w:left="0" w:right="0" w:hanging="0"/>
              <w:jc w:val="left"/>
              <w:rPr/>
            </w:pPr>
            <w:r>
              <w:rPr/>
              <w:t> </w:t>
            </w:r>
          </w:p>
        </w:tc>
        <w:tc>
          <w:tcPr>
            <w:tcW w:w="357"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  </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2024 Non-Qualified Stock Options from the 2020 Plan</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w:t>
            </w:r>
          </w:p>
        </w:tc>
        <w:tc>
          <w:tcPr>
            <w:tcW w:w="326"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February 5, 2034</w:t>
            </w:r>
          </w:p>
        </w:tc>
        <w:tc>
          <w:tcPr>
            <w:tcW w:w="326" w:type="dxa"/>
            <w:tcBorders/>
            <w:shd w:fill="CCEEFF" w:val="clear"/>
            <w:vAlign w:val="center"/>
          </w:tcPr>
          <w:p>
            <w:pPr>
              <w:pStyle w:val="TableContents"/>
              <w:bidi w:val="0"/>
              <w:spacing w:before="0" w:after="1"/>
              <w:ind w:left="0" w:right="0" w:hanging="0"/>
              <w:jc w:val="left"/>
              <w:rPr/>
            </w:pPr>
            <w:r>
              <w:rPr/>
              <w:t>​</w:t>
            </w:r>
          </w:p>
        </w:tc>
        <w:tc>
          <w:tcPr>
            <w:tcW w:w="698"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left"/>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2024 Non-Qualified Stock Options from the 2020 Plan</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13,125</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September 4, 2034</w:t>
            </w:r>
          </w:p>
        </w:tc>
        <w:tc>
          <w:tcPr>
            <w:tcW w:w="326"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left"/>
              <w:rPr/>
            </w:pPr>
            <w:r>
              <w:rPr/>
              <w:t>​</w:t>
            </w:r>
          </w:p>
        </w:tc>
      </w:tr>
      <w:tr>
        <w:trPr/>
        <w:tc>
          <w:tcPr>
            <w:tcW w:w="28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8"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left"/>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Suzanne A. Scrabis</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98"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right"/>
              <w:rPr/>
            </w:pPr>
            <w:r>
              <w:rPr/>
              <w:t>—</w:t>
            </w:r>
          </w:p>
        </w:tc>
        <w:tc>
          <w:tcPr>
            <w:tcW w:w="623" w:type="dxa"/>
            <w:tcBorders/>
            <w:vAlign w:val="center"/>
          </w:tcPr>
          <w:p>
            <w:pPr>
              <w:pStyle w:val="TableContents"/>
              <w:bidi w:val="0"/>
              <w:spacing w:before="0" w:after="1"/>
              <w:ind w:left="0" w:right="0" w:hanging="0"/>
              <w:jc w:val="right"/>
              <w:rPr/>
            </w:pPr>
            <w:r>
              <w:rPr/>
              <w:t>—</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2023 Non-Qualified Stock Options from the 2020 Plan</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3,750</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4.60</w:t>
            </w:r>
          </w:p>
        </w:tc>
        <w:tc>
          <w:tcPr>
            <w:tcW w:w="326"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July 10, 2033</w:t>
            </w:r>
          </w:p>
        </w:tc>
        <w:tc>
          <w:tcPr>
            <w:tcW w:w="326" w:type="dxa"/>
            <w:tcBorders/>
            <w:shd w:fill="CCEEFF" w:val="clear"/>
            <w:vAlign w:val="center"/>
          </w:tcPr>
          <w:p>
            <w:pPr>
              <w:pStyle w:val="TableContents"/>
              <w:bidi w:val="0"/>
              <w:spacing w:before="0" w:after="1"/>
              <w:ind w:left="0" w:right="0" w:hanging="0"/>
              <w:jc w:val="left"/>
              <w:rPr/>
            </w:pPr>
            <w:r>
              <w:rPr/>
              <w:t> </w:t>
            </w:r>
          </w:p>
        </w:tc>
        <w:tc>
          <w:tcPr>
            <w:tcW w:w="698" w:type="dxa"/>
            <w:tcBorders/>
            <w:shd w:fill="CCEEFF" w:val="clear"/>
            <w:vAlign w:val="center"/>
          </w:tcPr>
          <w:p>
            <w:pPr>
              <w:pStyle w:val="TableContents"/>
              <w:bidi w:val="0"/>
              <w:spacing w:before="0" w:after="1"/>
              <w:ind w:left="0" w:right="0" w:hanging="0"/>
              <w:jc w:val="right"/>
              <w:rPr/>
            </w:pPr>
            <w:r>
              <w:rPr/>
              <w:t>  </w:t>
            </w:r>
          </w:p>
        </w:tc>
        <w:tc>
          <w:tcPr>
            <w:tcW w:w="33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pPr>
            <w:r>
              <w:rPr/>
              <w:t>  </w:t>
            </w:r>
          </w:p>
        </w:tc>
      </w:tr>
    </w:tbl>
    <w:tbl>
      <w:tblPr>
        <w:tblW w:w="9917" w:type="dxa"/>
        <w:jc w:val="left"/>
        <w:tblInd w:w="0" w:type="dxa"/>
        <w:tblLayout w:type="fixed"/>
        <w:tblCellMar>
          <w:top w:w="0" w:type="dxa"/>
          <w:left w:w="0" w:type="dxa"/>
          <w:bottom w:w="0" w:type="dxa"/>
          <w:right w:w="0" w:type="dxa"/>
        </w:tblCellMar>
      </w:tblPr>
      <w:tblGrid>
        <w:gridCol w:w="346"/>
        <w:gridCol w:w="95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Un-exercisable options vest in equal annual increments over each of the remaining anniversaries of the date of grant.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Pension Benefits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qualified or nonqualified defined benefit plans.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Nonqualified Deferred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nonqualified defined contribution plans or other deferred compensation plans.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Potential Payments upon Termination or Change-In-Control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summarizes the payments and potential payments to each of our named executive officers as of December 31, 2024, upon termination or change-in-control. The discussion assumes that such event occurred on December 31, 2024, the last business day of our fiscal year, at which time the closing price of our common stock as listed on Nasdaq was $1.51 per share. For a further discussion of these provisions see the “Narrative Disclosure to Summary Compensation Table”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Scott R. Milford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31, 2024, Mr. Milford received $425,000 in severance payments and will also receive up to 12 months of COBRA premium reimbursement pursuant to the terms of his Transition and Severance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Ezra T. Ernst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Mr. Ernst’s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Suzanne A. Scrabis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8, 2025, Ms. Scrabis began receiving bi-weekly payments of $11,538.46 for six months and will receive up to six months of COBRA premium reimbursement pursuant to the terms of her Resignation, Separation Agreement and Release.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compensation of persons who served as non-employee members of our Board of Directors during the fiscal year ended December 31, 2024.</w:t>
      </w:r>
    </w:p>
    <w:tbl>
      <w:tblPr>
        <w:tblW w:w="8491" w:type="dxa"/>
        <w:jc w:val="left"/>
        <w:tblInd w:w="0" w:type="dxa"/>
        <w:tblLayout w:type="fixed"/>
        <w:tblCellMar>
          <w:top w:w="0" w:type="dxa"/>
          <w:left w:w="0" w:type="dxa"/>
          <w:bottom w:w="0" w:type="dxa"/>
          <w:right w:w="0" w:type="dxa"/>
        </w:tblCellMar>
      </w:tblPr>
      <w:tblGrid>
        <w:gridCol w:w="2086"/>
        <w:gridCol w:w="326"/>
        <w:gridCol w:w="841"/>
        <w:gridCol w:w="326"/>
        <w:gridCol w:w="1291"/>
        <w:gridCol w:w="326"/>
        <w:gridCol w:w="676"/>
        <w:gridCol w:w="326"/>
        <w:gridCol w:w="1141"/>
        <w:gridCol w:w="326"/>
        <w:gridCol w:w="82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24610" cy="175260"/>
                      <wp:effectExtent l="0" t="0" r="0" b="0"/>
                      <wp:wrapNone/>
                      <wp:docPr id="35" name="Frame35"/>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34035" cy="175260"/>
                      <wp:effectExtent l="0" t="0" r="0" b="0"/>
                      <wp:wrapNone/>
                      <wp:docPr id="37" name="Frame3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819785" cy="175260"/>
                      <wp:effectExtent l="0" t="0" r="0" b="0"/>
                      <wp:wrapNone/>
                      <wp:docPr id="39" name="Frame39"/>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29260" cy="175260"/>
                      <wp:effectExtent l="0" t="0" r="0" b="0"/>
                      <wp:wrapNone/>
                      <wp:docPr id="41" name="Frame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24535" cy="175260"/>
                      <wp:effectExtent l="0" t="0" r="0" b="0"/>
                      <wp:wrapNone/>
                      <wp:docPr id="43" name="Frame4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24510" cy="175260"/>
                      <wp:effectExtent l="0" t="0" r="0" b="0"/>
                      <wp:wrapNone/>
                      <wp:docPr id="45" name="Frame4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Fees</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Earned or</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 Awards</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(6)</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Bruce T. Bernstein(2)(6)</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95,000</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66,496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120,000</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281,496</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Gaëlle Wizenberg(1)(2)</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33,249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68,249</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Weinstein(4)</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46,546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106,546</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Lebowitz(5)</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33,249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78,249</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Amounts represent the aggregate grant date fair value of the RSUs and option awards granted during the fiscal year computed in accordance with FASB ASC </w:t>
            </w:r>
            <w:r>
              <w:rPr>
                <w:rFonts w:ascii="Times New Roman;Times;serif" w:hAnsi="Times New Roman;Times;serif"/>
                <w:b w:val="false"/>
                <w:i/>
                <w:sz w:val="20"/>
              </w:rPr>
              <w:t>Topic 718</w:t>
            </w:r>
            <w:r>
              <w:rPr>
                <w:rFonts w:ascii="Times New Roman;Times;serif" w:hAnsi="Times New Roman;Times;serif"/>
                <w:b w:val="false"/>
                <w:i w:val="false"/>
                <w:caps w:val="false"/>
                <w:smallCaps w:val="false"/>
                <w:sz w:val="20"/>
              </w:rPr>
              <w:t>. See Notes 2 and 15 to the consolidated financial statements included in the Original Filing for the assumptions made in the valuation of the equity awards.</w:t>
            </w:r>
          </w:p>
        </w:tc>
      </w:tr>
    </w:tbl>
    <w:tbl>
      <w:tblPr>
        <w:tblW w:w="6482" w:type="dxa"/>
        <w:jc w:val="left"/>
        <w:tblInd w:w="0" w:type="dxa"/>
        <w:tblLayout w:type="fixed"/>
        <w:tblCellMar>
          <w:top w:w="0" w:type="dxa"/>
          <w:left w:w="0" w:type="dxa"/>
          <w:bottom w:w="0" w:type="dxa"/>
          <w:right w:w="0" w:type="dxa"/>
        </w:tblCellMar>
      </w:tblPr>
      <w:tblGrid>
        <w:gridCol w:w="346"/>
        <w:gridCol w:w="61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Mr. Bernstein held 42,511 unexercised options.</w:t>
            </w:r>
          </w:p>
        </w:tc>
      </w:tr>
    </w:tbl>
    <w:tbl>
      <w:tblPr>
        <w:tblW w:w="6137" w:type="dxa"/>
        <w:jc w:val="left"/>
        <w:tblInd w:w="0" w:type="dxa"/>
        <w:tblLayout w:type="fixed"/>
        <w:tblCellMar>
          <w:top w:w="0" w:type="dxa"/>
          <w:left w:w="0" w:type="dxa"/>
          <w:bottom w:w="0" w:type="dxa"/>
          <w:right w:w="0" w:type="dxa"/>
        </w:tblCellMar>
      </w:tblPr>
      <w:tblGrid>
        <w:gridCol w:w="346"/>
        <w:gridCol w:w="579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7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Mr. Stout held 22,660 unexercised options.</w:t>
            </w:r>
          </w:p>
        </w:tc>
      </w:tr>
    </w:tbl>
    <w:tbl>
      <w:tblPr>
        <w:tblW w:w="6527" w:type="dxa"/>
        <w:jc w:val="left"/>
        <w:tblInd w:w="0" w:type="dxa"/>
        <w:tblLayout w:type="fixed"/>
        <w:tblCellMar>
          <w:top w:w="0" w:type="dxa"/>
          <w:left w:w="0" w:type="dxa"/>
          <w:bottom w:w="0" w:type="dxa"/>
          <w:right w:w="0" w:type="dxa"/>
        </w:tblCellMar>
      </w:tblPr>
      <w:tblGrid>
        <w:gridCol w:w="346"/>
        <w:gridCol w:w="618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Mr. Weinstein held 22,579 unexercised options.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467" w:type="dxa"/>
        <w:jc w:val="left"/>
        <w:tblInd w:w="0" w:type="dxa"/>
        <w:tblLayout w:type="fixed"/>
        <w:tblCellMar>
          <w:top w:w="0" w:type="dxa"/>
          <w:left w:w="0" w:type="dxa"/>
          <w:bottom w:w="0" w:type="dxa"/>
          <w:right w:w="0" w:type="dxa"/>
        </w:tblCellMar>
      </w:tblPr>
      <w:tblGrid>
        <w:gridCol w:w="346"/>
        <w:gridCol w:w="612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Mr. Lebowitz held 21,996 unexercised options.</w:t>
            </w:r>
          </w:p>
        </w:tc>
      </w:tr>
    </w:tbl>
    <w:tbl>
      <w:tblPr>
        <w:tblW w:w="8462" w:type="dxa"/>
        <w:jc w:val="left"/>
        <w:tblInd w:w="0" w:type="dxa"/>
        <w:tblLayout w:type="fixed"/>
        <w:tblCellMar>
          <w:top w:w="0" w:type="dxa"/>
          <w:left w:w="0" w:type="dxa"/>
          <w:bottom w:w="0" w:type="dxa"/>
          <w:right w:w="0" w:type="dxa"/>
        </w:tblCellMar>
      </w:tblPr>
      <w:tblGrid>
        <w:gridCol w:w="346"/>
        <w:gridCol w:w="811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81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$120,000 in cash paid in respect of XpresTest, Inc. board services (as described below).</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January 2023, the Board and the Compensation Committee engaged StreeterWyatt Analytics, an independent third-party compensation analyst, to evaluate and make recommendations regarding-the compensation paid to our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2023, the Board reevaluated the Company’s compensation structure. Based on its review, the Compensation Committee recommended, and the full Board approved, a new director compensation program effective October 1, 2023:</w:t>
      </w:r>
    </w:p>
    <w:tbl>
      <w:tblPr>
        <w:tblW w:w="3096" w:type="dxa"/>
        <w:jc w:val="left"/>
        <w:tblInd w:w="0" w:type="dxa"/>
        <w:tblLayout w:type="fixed"/>
        <w:tblCellMar>
          <w:top w:w="28" w:type="dxa"/>
          <w:left w:w="28" w:type="dxa"/>
          <w:bottom w:w="28" w:type="dxa"/>
          <w:right w:w="28" w:type="dxa"/>
        </w:tblCellMar>
      </w:tblPr>
      <w:tblGrid>
        <w:gridCol w:w="124"/>
        <w:gridCol w:w="256"/>
        <w:gridCol w:w="2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Chairman of the Board: </w:t>
            </w:r>
          </w:p>
        </w:tc>
      </w:tr>
    </w:tbl>
    <w:tbl>
      <w:tblPr>
        <w:tblW w:w="1791" w:type="dxa"/>
        <w:jc w:val="left"/>
        <w:tblInd w:w="0" w:type="dxa"/>
        <w:tblLayout w:type="fixed"/>
        <w:tblCellMar>
          <w:top w:w="28" w:type="dxa"/>
          <w:left w:w="28" w:type="dxa"/>
          <w:bottom w:w="28" w:type="dxa"/>
          <w:right w:w="28" w:type="dxa"/>
        </w:tblCellMar>
      </w:tblPr>
      <w:tblGrid>
        <w:gridCol w:w="124"/>
        <w:gridCol w:w="226"/>
        <w:gridCol w:w="144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 in cash</w:t>
            </w:r>
          </w:p>
        </w:tc>
      </w:tr>
    </w:tbl>
    <w:tbl>
      <w:tblPr>
        <w:tblW w:w="3666" w:type="dxa"/>
        <w:jc w:val="left"/>
        <w:tblInd w:w="0" w:type="dxa"/>
        <w:tblLayout w:type="fixed"/>
        <w:tblCellMar>
          <w:top w:w="28" w:type="dxa"/>
          <w:left w:w="28" w:type="dxa"/>
          <w:bottom w:w="28" w:type="dxa"/>
          <w:right w:w="28" w:type="dxa"/>
        </w:tblCellMar>
      </w:tblPr>
      <w:tblGrid>
        <w:gridCol w:w="124"/>
        <w:gridCol w:w="256"/>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other non-employee Directors: </w:t>
            </w:r>
          </w:p>
        </w:tc>
      </w:tr>
    </w:tbl>
    <w:tbl>
      <w:tblPr>
        <w:tblW w:w="1791" w:type="dxa"/>
        <w:jc w:val="left"/>
        <w:tblInd w:w="0" w:type="dxa"/>
        <w:tblLayout w:type="fixed"/>
        <w:tblCellMar>
          <w:top w:w="28" w:type="dxa"/>
          <w:left w:w="28" w:type="dxa"/>
          <w:bottom w:w="28" w:type="dxa"/>
          <w:right w:w="28" w:type="dxa"/>
        </w:tblCellMar>
      </w:tblPr>
      <w:tblGrid>
        <w:gridCol w:w="124"/>
        <w:gridCol w:w="226"/>
        <w:gridCol w:w="144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 in cash</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additional cash payments:</w:t>
            </w:r>
          </w:p>
        </w:tc>
      </w:tr>
    </w:tbl>
    <w:tbl>
      <w:tblPr>
        <w:tblW w:w="5151" w:type="dxa"/>
        <w:jc w:val="left"/>
        <w:tblInd w:w="0" w:type="dxa"/>
        <w:tblLayout w:type="fixed"/>
        <w:tblCellMar>
          <w:top w:w="28" w:type="dxa"/>
          <w:left w:w="28" w:type="dxa"/>
          <w:bottom w:w="28" w:type="dxa"/>
          <w:right w:w="28" w:type="dxa"/>
        </w:tblCellMar>
      </w:tblPr>
      <w:tblGrid>
        <w:gridCol w:w="124"/>
        <w:gridCol w:w="22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 in cash to the Chairman of the Audit Committee.</w:t>
            </w:r>
          </w:p>
        </w:tc>
      </w:tr>
    </w:tbl>
    <w:tbl>
      <w:tblPr>
        <w:tblW w:w="5871" w:type="dxa"/>
        <w:jc w:val="left"/>
        <w:tblInd w:w="0" w:type="dxa"/>
        <w:tblLayout w:type="fixed"/>
        <w:tblCellMar>
          <w:top w:w="28" w:type="dxa"/>
          <w:left w:w="28" w:type="dxa"/>
          <w:bottom w:w="28" w:type="dxa"/>
          <w:right w:w="28" w:type="dxa"/>
        </w:tblCellMar>
      </w:tblPr>
      <w:tblGrid>
        <w:gridCol w:w="124"/>
        <w:gridCol w:w="22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 in cash to the Chairman of the Compensation Committee.</w:t>
            </w:r>
          </w:p>
        </w:tc>
      </w:tr>
    </w:tbl>
    <w:tbl>
      <w:tblPr>
        <w:tblW w:w="5961" w:type="dxa"/>
        <w:jc w:val="left"/>
        <w:tblInd w:w="0" w:type="dxa"/>
        <w:tblLayout w:type="fixed"/>
        <w:tblCellMar>
          <w:top w:w="28" w:type="dxa"/>
          <w:left w:w="28" w:type="dxa"/>
          <w:bottom w:w="28" w:type="dxa"/>
          <w:right w:w="28" w:type="dxa"/>
        </w:tblCellMar>
      </w:tblPr>
      <w:tblGrid>
        <w:gridCol w:w="124"/>
        <w:gridCol w:w="22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in cash to each member of the Strategic Affairs Committee.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65" w:name="ITEM12SECURITYOWNERSHIPOFCERTAINBENEFICI"/>
      <w:bookmarkStart w:id="66" w:name="_a0a19419_f876_4aac_b8dd_417f952e7a5e"/>
      <w:bookmarkStart w:id="67" w:name="_Toc163832296"/>
      <w:bookmarkStart w:id="68" w:name="_ITEM_12._SECURITY"/>
      <w:bookmarkEnd w:id="65"/>
      <w:bookmarkEnd w:id="66"/>
      <w:bookmarkEnd w:id="67"/>
      <w:bookmarkEnd w:id="68"/>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Equity Compensation Plan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certain aggregate information, as of December 31, 2024 with respect to all of our equity compensation plans then in effect:</w:t>
      </w:r>
    </w:p>
    <w:tbl>
      <w:tblPr>
        <w:tblW w:w="10205" w:type="dxa"/>
        <w:jc w:val="left"/>
        <w:tblInd w:w="0" w:type="dxa"/>
        <w:tblLayout w:type="fixed"/>
        <w:tblCellMar>
          <w:top w:w="0" w:type="dxa"/>
          <w:left w:w="0" w:type="dxa"/>
          <w:bottom w:w="0" w:type="dxa"/>
          <w:right w:w="0" w:type="dxa"/>
        </w:tblCellMar>
      </w:tblPr>
      <w:tblGrid>
        <w:gridCol w:w="5207"/>
        <w:gridCol w:w="326"/>
        <w:gridCol w:w="1318"/>
        <w:gridCol w:w="326"/>
        <w:gridCol w:w="370"/>
        <w:gridCol w:w="990"/>
        <w:gridCol w:w="326"/>
        <w:gridCol w:w="1342"/>
      </w:tblGrid>
      <w:tr>
        <w:trPr/>
        <w:tc>
          <w:tcPr>
            <w:tcW w:w="5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306445" cy="175260"/>
                      <wp:effectExtent l="0" t="0" r="0" b="0"/>
                      <wp:wrapNone/>
                      <wp:docPr id="46" name="Frame46"/>
                      <a:graphic xmlns:a="http://schemas.openxmlformats.org/drawingml/2006/main">
                        <a:graphicData uri="http://schemas.microsoft.com/office/word/2010/wordprocessingShape">
                          <wps:wsp>
                            <wps:cNvSpPr txBox="1"/>
                            <wps:spPr>
                              <a:xfrm>
                                <a:off x="0" y="0"/>
                                <a:ext cx="3306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836930" cy="175260"/>
                      <wp:effectExtent l="0" t="0" r="0" b="0"/>
                      <wp:wrapNone/>
                      <wp:docPr id="48" name="Frame48"/>
                      <a:graphic xmlns:a="http://schemas.openxmlformats.org/drawingml/2006/main">
                        <a:graphicData uri="http://schemas.microsoft.com/office/word/2010/wordprocessingShape">
                          <wps:wsp>
                            <wps:cNvSpPr txBox="1"/>
                            <wps:spPr>
                              <a:xfrm>
                                <a:off x="0" y="0"/>
                                <a:ext cx="836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34950" cy="175260"/>
                      <wp:effectExtent l="0" t="0" r="0" b="0"/>
                      <wp:wrapNone/>
                      <wp:docPr id="50" name="Frame50"/>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28650" cy="175260"/>
                      <wp:effectExtent l="0" t="0" r="0" b="0"/>
                      <wp:wrapNone/>
                      <wp:docPr id="51" name="Frame51"/>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852170" cy="175260"/>
                      <wp:effectExtent l="0" t="0" r="0" b="0"/>
                      <wp:wrapNone/>
                      <wp:docPr id="53" name="Frame53"/>
                      <a:graphic xmlns:a="http://schemas.openxmlformats.org/drawingml/2006/main">
                        <a:graphicData uri="http://schemas.microsoft.com/office/word/2010/wordprocessingShape">
                          <wps:wsp>
                            <wps:cNvSpPr txBox="1"/>
                            <wps:spPr>
                              <a:xfrm>
                                <a:off x="0" y="0"/>
                                <a:ext cx="852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3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center"/>
              <w:rPr/>
            </w:pPr>
            <w:r>
              <w:rPr/>
              <w:t>​</w:t>
            </w:r>
          </w:p>
        </w:tc>
        <w:tc>
          <w:tcPr>
            <w:tcW w:w="9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3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 of securities</w:t>
            </w:r>
          </w:p>
        </w:tc>
      </w:tr>
      <w:tr>
        <w:trPr/>
        <w:tc>
          <w:tcPr>
            <w:tcW w:w="52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center"/>
              <w:rPr/>
            </w:pPr>
            <w:r>
              <w:rPr/>
              <w:t>​</w:t>
            </w:r>
          </w:p>
        </w:tc>
        <w:tc>
          <w:tcPr>
            <w:tcW w:w="9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52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center"/>
              <w:rPr/>
            </w:pPr>
            <w:r>
              <w:rPr/>
              <w:t>​</w:t>
            </w:r>
          </w:p>
        </w:tc>
        <w:tc>
          <w:tcPr>
            <w:tcW w:w="9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available for</w:t>
            </w:r>
          </w:p>
        </w:tc>
      </w:tr>
      <w:tr>
        <w:trPr/>
        <w:tc>
          <w:tcPr>
            <w:tcW w:w="52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 of securities</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center"/>
              <w:rPr/>
            </w:pPr>
            <w:r>
              <w:rPr/>
              <w:t>​</w:t>
            </w:r>
          </w:p>
        </w:tc>
        <w:tc>
          <w:tcPr>
            <w:tcW w:w="9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future issuance</w:t>
            </w:r>
          </w:p>
        </w:tc>
      </w:tr>
      <w:tr>
        <w:trPr/>
        <w:tc>
          <w:tcPr>
            <w:tcW w:w="52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be issued upon</w:t>
            </w:r>
          </w:p>
        </w:tc>
        <w:tc>
          <w:tcPr>
            <w:tcW w:w="326" w:type="dxa"/>
            <w:tcBorders/>
            <w:vAlign w:val="center"/>
          </w:tcPr>
          <w:p>
            <w:pPr>
              <w:pStyle w:val="TableContents"/>
              <w:bidi w:val="0"/>
              <w:spacing w:before="0" w:after="1"/>
              <w:ind w:left="0" w:right="0" w:hanging="0"/>
              <w:jc w:val="left"/>
              <w:rPr/>
            </w:pPr>
            <w:r>
              <w:rPr/>
              <w:t>​</w:t>
            </w:r>
          </w:p>
        </w:tc>
        <w:tc>
          <w:tcPr>
            <w:tcW w:w="13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13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 equity</w:t>
            </w:r>
          </w:p>
        </w:tc>
      </w:tr>
      <w:tr>
        <w:trPr/>
        <w:tc>
          <w:tcPr>
            <w:tcW w:w="52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of</w:t>
            </w:r>
          </w:p>
        </w:tc>
        <w:tc>
          <w:tcPr>
            <w:tcW w:w="326" w:type="dxa"/>
            <w:tcBorders/>
            <w:vAlign w:val="center"/>
          </w:tcPr>
          <w:p>
            <w:pPr>
              <w:pStyle w:val="TableContents"/>
              <w:bidi w:val="0"/>
              <w:spacing w:before="0" w:after="1"/>
              <w:ind w:left="0" w:right="0" w:hanging="0"/>
              <w:jc w:val="left"/>
              <w:rPr/>
            </w:pPr>
            <w:r>
              <w:rPr/>
              <w:t>​</w:t>
            </w:r>
          </w:p>
        </w:tc>
        <w:tc>
          <w:tcPr>
            <w:tcW w:w="13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exercise</w:t>
            </w:r>
          </w:p>
        </w:tc>
        <w:tc>
          <w:tcPr>
            <w:tcW w:w="326" w:type="dxa"/>
            <w:tcBorders/>
            <w:vAlign w:val="center"/>
          </w:tcPr>
          <w:p>
            <w:pPr>
              <w:pStyle w:val="TableContents"/>
              <w:bidi w:val="0"/>
              <w:spacing w:before="0" w:after="1"/>
              <w:ind w:left="0" w:right="0" w:hanging="0"/>
              <w:jc w:val="left"/>
              <w:rPr/>
            </w:pPr>
            <w:r>
              <w:rPr/>
              <w:t>​</w:t>
            </w:r>
          </w:p>
        </w:tc>
        <w:tc>
          <w:tcPr>
            <w:tcW w:w="13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r>
      <w:tr>
        <w:trPr/>
        <w:tc>
          <w:tcPr>
            <w:tcW w:w="52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left"/>
              <w:rPr/>
            </w:pPr>
            <w:r>
              <w:rPr/>
              <w:t>​</w:t>
            </w:r>
          </w:p>
        </w:tc>
        <w:tc>
          <w:tcPr>
            <w:tcW w:w="13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of</w:t>
            </w:r>
          </w:p>
        </w:tc>
        <w:tc>
          <w:tcPr>
            <w:tcW w:w="326" w:type="dxa"/>
            <w:tcBorders/>
            <w:vAlign w:val="center"/>
          </w:tcPr>
          <w:p>
            <w:pPr>
              <w:pStyle w:val="TableContents"/>
              <w:bidi w:val="0"/>
              <w:spacing w:before="0" w:after="1"/>
              <w:ind w:left="0" w:right="0" w:hanging="0"/>
              <w:jc w:val="left"/>
              <w:rPr/>
            </w:pPr>
            <w:r>
              <w:rPr/>
              <w:t>​</w:t>
            </w:r>
          </w:p>
        </w:tc>
        <w:tc>
          <w:tcPr>
            <w:tcW w:w="13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plans (excluding</w:t>
            </w:r>
          </w:p>
        </w:tc>
      </w:tr>
      <w:tr>
        <w:trPr/>
        <w:tc>
          <w:tcPr>
            <w:tcW w:w="52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left"/>
              <w:rPr/>
            </w:pPr>
            <w:r>
              <w:rPr/>
              <w:t>​</w:t>
            </w:r>
          </w:p>
        </w:tc>
        <w:tc>
          <w:tcPr>
            <w:tcW w:w="13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left"/>
              <w:rPr/>
            </w:pPr>
            <w:r>
              <w:rPr/>
              <w:t>​</w:t>
            </w:r>
          </w:p>
        </w:tc>
        <w:tc>
          <w:tcPr>
            <w:tcW w:w="13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r>
      <w:tr>
        <w:trPr/>
        <w:tc>
          <w:tcPr>
            <w:tcW w:w="52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w:t>
            </w:r>
          </w:p>
        </w:tc>
        <w:tc>
          <w:tcPr>
            <w:tcW w:w="326" w:type="dxa"/>
            <w:tcBorders/>
            <w:vAlign w:val="center"/>
          </w:tcPr>
          <w:p>
            <w:pPr>
              <w:pStyle w:val="TableContents"/>
              <w:bidi w:val="0"/>
              <w:spacing w:before="0" w:after="1"/>
              <w:ind w:left="0" w:right="0" w:hanging="0"/>
              <w:jc w:val="left"/>
              <w:rPr/>
            </w:pPr>
            <w:r>
              <w:rPr/>
              <w:t>​</w:t>
            </w:r>
          </w:p>
        </w:tc>
        <w:tc>
          <w:tcPr>
            <w:tcW w:w="13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warrants</w:t>
            </w:r>
          </w:p>
        </w:tc>
        <w:tc>
          <w:tcPr>
            <w:tcW w:w="326" w:type="dxa"/>
            <w:tcBorders/>
            <w:vAlign w:val="center"/>
          </w:tcPr>
          <w:p>
            <w:pPr>
              <w:pStyle w:val="TableContents"/>
              <w:bidi w:val="0"/>
              <w:spacing w:before="0" w:after="1"/>
              <w:ind w:left="0" w:right="0" w:hanging="0"/>
              <w:jc w:val="left"/>
              <w:rPr/>
            </w:pPr>
            <w:r>
              <w:rPr/>
              <w:t>​</w:t>
            </w:r>
          </w:p>
        </w:tc>
        <w:tc>
          <w:tcPr>
            <w:tcW w:w="13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reflected in</w:t>
            </w:r>
          </w:p>
        </w:tc>
      </w:tr>
      <w:tr>
        <w:trPr/>
        <w:tc>
          <w:tcPr>
            <w:tcW w:w="520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326" w:type="dxa"/>
            <w:tcBorders/>
            <w:vAlign w:val="center"/>
          </w:tcPr>
          <w:p>
            <w:pPr>
              <w:pStyle w:val="TableContents"/>
              <w:bidi w:val="0"/>
              <w:spacing w:before="0" w:after="1"/>
              <w:ind w:left="0" w:right="0" w:hanging="0"/>
              <w:jc w:val="left"/>
              <w:rPr/>
            </w:pPr>
            <w:r>
              <w:rPr/>
              <w:t>​</w:t>
            </w:r>
          </w:p>
        </w:tc>
        <w:tc>
          <w:tcPr>
            <w:tcW w:w="13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rights</w:t>
            </w:r>
          </w:p>
        </w:tc>
        <w:tc>
          <w:tcPr>
            <w:tcW w:w="326" w:type="dxa"/>
            <w:tcBorders/>
            <w:vAlign w:val="center"/>
          </w:tcPr>
          <w:p>
            <w:pPr>
              <w:pStyle w:val="TableContents"/>
              <w:bidi w:val="0"/>
              <w:spacing w:before="0" w:after="1"/>
              <w:ind w:left="0" w:right="0" w:hanging="0"/>
              <w:jc w:val="left"/>
              <w:rPr/>
            </w:pPr>
            <w:r>
              <w:rPr/>
              <w:t>​</w:t>
            </w:r>
          </w:p>
        </w:tc>
        <w:tc>
          <w:tcPr>
            <w:tcW w:w="13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rights ($)</w:t>
            </w:r>
          </w:p>
        </w:tc>
        <w:tc>
          <w:tcPr>
            <w:tcW w:w="326" w:type="dxa"/>
            <w:tcBorders/>
            <w:vAlign w:val="center"/>
          </w:tcPr>
          <w:p>
            <w:pPr>
              <w:pStyle w:val="TableContents"/>
              <w:bidi w:val="0"/>
              <w:spacing w:before="0" w:after="1"/>
              <w:ind w:left="0" w:right="0" w:hanging="0"/>
              <w:jc w:val="left"/>
              <w:rPr/>
            </w:pPr>
            <w:r>
              <w:rPr/>
              <w:t>​</w:t>
            </w:r>
          </w:p>
        </w:tc>
        <w:tc>
          <w:tcPr>
            <w:tcW w:w="13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 first column)</w:t>
            </w:r>
          </w:p>
        </w:tc>
      </w:tr>
      <w:tr>
        <w:trPr/>
        <w:tc>
          <w:tcPr>
            <w:tcW w:w="520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equity compensation plans approved by security holders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3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564,383</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14.87</w:t>
            </w:r>
          </w:p>
        </w:tc>
        <w:tc>
          <w:tcPr>
            <w:tcW w:w="326" w:type="dxa"/>
            <w:tcBorders/>
            <w:shd w:fill="CCEEFF" w:val="clear"/>
            <w:vAlign w:val="center"/>
          </w:tcPr>
          <w:p>
            <w:pPr>
              <w:pStyle w:val="TableContents"/>
              <w:bidi w:val="0"/>
              <w:spacing w:before="0" w:after="1"/>
              <w:ind w:left="0" w:right="0" w:hanging="0"/>
              <w:jc w:val="left"/>
              <w:rPr/>
            </w:pPr>
            <w:r>
              <w:rPr/>
              <w:t> </w:t>
            </w:r>
          </w:p>
        </w:tc>
        <w:tc>
          <w:tcPr>
            <w:tcW w:w="134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17,671</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plans consist solely of the 2020 Plan, as approved by our Board of Directors in September 2020 and by our stockholders in October 2020. On October 4, 2022, shareholders approved the amendment to the Company’s 2020 Equity Incentive Plan to increase the number of shares authorized for issuance under the Plan by 375,000 shares of Common Stock to an aggregate of 625,000 shares. Under the 2020 Equity Incentive Plan (the “2020 Plan”), a maximum of 17,671 shares of Common Stock remained available for issuance as of December 31,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Security Ownership of Certain Beneficial Owners and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certain information with respect to the beneficial ownership of common stock as of April 25, 2025, for (a) each stockholder known by us to own beneficially more than 5% of any class of our voting securities, (b) each of our named executive officers (as such term is defined pursuant to Rule 402 of Regulation S-K), (c) each of our directors, and (d) all of our current directors and executive officers as a group. The percentages of voting securities beneficially owned are reported on the basis of regulations of the SEC governing the determination of beneficial ownership of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Beneficial ownership is determined in accordance with the rules of the SEC and includes voting or investment power with respect to the securities. We deem shares of common stock that may be acquired by an individual or group within 60 days of April 15, 2025, pursuant to the exercise of options or warrants, conversion of preferred stock, or the vesting of RSUs, as applicable, to be outstanding for the purpose of computing the percentage ownership of such individual or group, but not for the purpose of computing the percentage ownership of any other person shown in the table. The number of shares of Common Stock beneficially owned by the principal stockholders and the percentage of shares outstanding, as set forth below, take into account certain limitations on the conversion of the Series G Convertible Preferred Stock (the “Series G Preferred Stock”) or exercise of warrants, as the case may be, to purchase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5,261,024 shares of common stock issued and outstanding and outstanding and percentage of Series G Preferred Stock ownership is based on 4,000 shares of Series G Preferred Stock issued and outstanding as of April 25, 2025.</w:t>
      </w:r>
    </w:p>
    <w:tbl>
      <w:tblPr>
        <w:tblW w:w="10205" w:type="dxa"/>
        <w:jc w:val="left"/>
        <w:tblInd w:w="0" w:type="dxa"/>
        <w:tblLayout w:type="fixed"/>
        <w:tblCellMar>
          <w:top w:w="0" w:type="dxa"/>
          <w:left w:w="0" w:type="dxa"/>
          <w:bottom w:w="0" w:type="dxa"/>
          <w:right w:w="0" w:type="dxa"/>
        </w:tblCellMar>
      </w:tblPr>
      <w:tblGrid>
        <w:gridCol w:w="3716"/>
        <w:gridCol w:w="326"/>
        <w:gridCol w:w="946"/>
        <w:gridCol w:w="326"/>
        <w:gridCol w:w="916"/>
        <w:gridCol w:w="361"/>
        <w:gridCol w:w="974"/>
        <w:gridCol w:w="326"/>
        <w:gridCol w:w="916"/>
        <w:gridCol w:w="361"/>
        <w:gridCol w:w="629"/>
        <w:gridCol w:w="408"/>
      </w:tblGrid>
      <w:tr>
        <w:trPr/>
        <w:tc>
          <w:tcPr>
            <w:tcW w:w="3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359660" cy="175260"/>
                      <wp:effectExtent l="0" t="0" r="0" b="0"/>
                      <wp:wrapNone/>
                      <wp:docPr id="54" name="Frame54"/>
                      <a:graphic xmlns:a="http://schemas.openxmlformats.org/drawingml/2006/main">
                        <a:graphicData uri="http://schemas.microsoft.com/office/word/2010/wordprocessingShape">
                          <wps:wsp>
                            <wps:cNvSpPr txBox="1"/>
                            <wps:spPr>
                              <a:xfrm>
                                <a:off x="0" y="0"/>
                                <a:ext cx="2359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00710" cy="175260"/>
                      <wp:effectExtent l="0" t="0" r="0" b="0"/>
                      <wp:wrapNone/>
                      <wp:docPr id="56" name="Frame5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81660" cy="175260"/>
                      <wp:effectExtent l="0" t="0" r="0" b="0"/>
                      <wp:wrapNone/>
                      <wp:docPr id="58" name="Frame5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29235" cy="175260"/>
                      <wp:effectExtent l="0" t="0" r="0" b="0"/>
                      <wp:wrapNone/>
                      <wp:docPr id="59" name="Frame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18490" cy="175260"/>
                      <wp:effectExtent l="0" t="0" r="0" b="0"/>
                      <wp:wrapNone/>
                      <wp:docPr id="60" name="Frame60"/>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81660" cy="175260"/>
                      <wp:effectExtent l="0" t="0" r="0" b="0"/>
                      <wp:wrapNone/>
                      <wp:docPr id="62" name="Frame6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29235" cy="175260"/>
                      <wp:effectExtent l="0" t="0" r="0" b="0"/>
                      <wp:wrapNone/>
                      <wp:docPr id="63" name="Frame6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99415" cy="175260"/>
                      <wp:effectExtent l="0" t="0" r="0" b="0"/>
                      <wp:wrapNone/>
                      <wp:docPr id="64" name="Frame64"/>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59080" cy="175260"/>
                      <wp:effectExtent l="0" t="0" r="0" b="0"/>
                      <wp:wrapNone/>
                      <wp:docPr id="65" name="Frame65"/>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1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    </w:t>
            </w:r>
          </w:p>
        </w:tc>
        <w:tc>
          <w:tcPr>
            <w:tcW w:w="97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26" w:type="dxa"/>
            <w:tcBorders/>
            <w:vAlign w:val="center"/>
          </w:tcPr>
          <w:p>
            <w:pPr>
              <w:pStyle w:val="TableContents"/>
              <w:bidi w:val="0"/>
              <w:spacing w:before="0" w:after="1"/>
              <w:ind w:left="0" w:right="0" w:hanging="0"/>
              <w:jc w:val="center"/>
              <w:rPr/>
            </w:pPr>
            <w:r>
              <w:rPr/>
              <w:t>    </w:t>
            </w:r>
          </w:p>
        </w:tc>
        <w:tc>
          <w:tcPr>
            <w:tcW w:w="91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    </w:t>
            </w:r>
          </w:p>
        </w:tc>
        <w:tc>
          <w:tcPr>
            <w:tcW w:w="629" w:type="dxa"/>
            <w:tcBorders/>
            <w:vAlign w:val="center"/>
          </w:tcPr>
          <w:p>
            <w:pPr>
              <w:pStyle w:val="TableContents"/>
              <w:bidi w:val="0"/>
              <w:spacing w:before="0" w:after="1"/>
              <w:ind w:left="0" w:right="0" w:hanging="0"/>
              <w:jc w:val="center"/>
              <w:rPr/>
            </w:pPr>
            <w:r>
              <w:rPr/>
              <w:t>​</w:t>
            </w:r>
          </w:p>
        </w:tc>
        <w:tc>
          <w:tcPr>
            <w:tcW w:w="408" w:type="dxa"/>
            <w:tcBorders/>
            <w:vAlign w:val="center"/>
          </w:tcPr>
          <w:p>
            <w:pPr>
              <w:pStyle w:val="TableContents"/>
              <w:bidi w:val="0"/>
              <w:spacing w:before="0" w:after="1"/>
              <w:ind w:left="0" w:right="0" w:hanging="0"/>
              <w:jc w:val="center"/>
              <w:rPr/>
            </w:pPr>
            <w:r>
              <w:rPr/>
              <w:t> </w:t>
            </w:r>
          </w:p>
        </w:tc>
      </w:tr>
      <w:tr>
        <w:trPr/>
        <w:tc>
          <w:tcPr>
            <w:tcW w:w="3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97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Shares of </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629" w:type="dxa"/>
            <w:tcBorders/>
            <w:vAlign w:val="center"/>
          </w:tcPr>
          <w:p>
            <w:pPr>
              <w:pStyle w:val="TableContents"/>
              <w:bidi w:val="0"/>
              <w:spacing w:before="0" w:after="1"/>
              <w:ind w:left="0" w:right="0" w:hanging="0"/>
              <w:jc w:val="center"/>
              <w:rPr/>
            </w:pPr>
            <w:r>
              <w:rPr/>
              <w:t>​</w:t>
            </w:r>
          </w:p>
        </w:tc>
        <w:tc>
          <w:tcPr>
            <w:tcW w:w="408" w:type="dxa"/>
            <w:tcBorders/>
            <w:vAlign w:val="center"/>
          </w:tcPr>
          <w:p>
            <w:pPr>
              <w:pStyle w:val="TableContents"/>
              <w:bidi w:val="0"/>
              <w:spacing w:before="0" w:after="1"/>
              <w:ind w:left="0" w:right="0" w:hanging="0"/>
              <w:jc w:val="center"/>
              <w:rPr/>
            </w:pPr>
            <w:r>
              <w:rPr/>
              <w:t>​</w:t>
            </w:r>
          </w:p>
        </w:tc>
      </w:tr>
      <w:tr>
        <w:trPr/>
        <w:tc>
          <w:tcPr>
            <w:tcW w:w="3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of </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97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Series G </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629" w:type="dxa"/>
            <w:tcBorders/>
            <w:vAlign w:val="center"/>
          </w:tcPr>
          <w:p>
            <w:pPr>
              <w:pStyle w:val="TableContents"/>
              <w:bidi w:val="0"/>
              <w:spacing w:before="0" w:after="1"/>
              <w:ind w:left="0" w:right="0" w:hanging="0"/>
              <w:jc w:val="center"/>
              <w:rPr/>
            </w:pPr>
            <w:r>
              <w:rPr/>
              <w:t>​</w:t>
            </w:r>
          </w:p>
        </w:tc>
        <w:tc>
          <w:tcPr>
            <w:tcW w:w="408" w:type="dxa"/>
            <w:tcBorders/>
            <w:vAlign w:val="center"/>
          </w:tcPr>
          <w:p>
            <w:pPr>
              <w:pStyle w:val="TableContents"/>
              <w:bidi w:val="0"/>
              <w:spacing w:before="0" w:after="1"/>
              <w:ind w:left="0" w:right="0" w:hanging="0"/>
              <w:jc w:val="center"/>
              <w:rPr/>
            </w:pPr>
            <w:r>
              <w:rPr/>
              <w:t> </w:t>
            </w:r>
          </w:p>
        </w:tc>
      </w:tr>
      <w:tr>
        <w:trPr/>
        <w:tc>
          <w:tcPr>
            <w:tcW w:w="3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97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629" w:type="dxa"/>
            <w:tcBorders/>
            <w:vAlign w:val="center"/>
          </w:tcPr>
          <w:p>
            <w:pPr>
              <w:pStyle w:val="TableContents"/>
              <w:bidi w:val="0"/>
              <w:spacing w:before="0" w:after="1"/>
              <w:ind w:left="0" w:right="0" w:hanging="0"/>
              <w:jc w:val="center"/>
              <w:rPr/>
            </w:pPr>
            <w:r>
              <w:rPr/>
              <w:t>​</w:t>
            </w:r>
          </w:p>
        </w:tc>
        <w:tc>
          <w:tcPr>
            <w:tcW w:w="408" w:type="dxa"/>
            <w:tcBorders/>
            <w:vAlign w:val="center"/>
          </w:tcPr>
          <w:p>
            <w:pPr>
              <w:pStyle w:val="TableContents"/>
              <w:bidi w:val="0"/>
              <w:spacing w:before="0" w:after="1"/>
              <w:ind w:left="0" w:right="0" w:hanging="0"/>
              <w:jc w:val="center"/>
              <w:rPr/>
            </w:pPr>
            <w:r>
              <w:rPr/>
              <w:t> </w:t>
            </w:r>
          </w:p>
        </w:tc>
      </w:tr>
      <w:tr>
        <w:trPr/>
        <w:tc>
          <w:tcPr>
            <w:tcW w:w="3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61" w:type="dxa"/>
            <w:tcBorders/>
            <w:vAlign w:val="center"/>
          </w:tcPr>
          <w:p>
            <w:pPr>
              <w:pStyle w:val="TableContents"/>
              <w:bidi w:val="0"/>
              <w:spacing w:before="0" w:after="1"/>
              <w:ind w:left="0" w:right="0" w:hanging="0"/>
              <w:jc w:val="center"/>
              <w:rPr/>
            </w:pPr>
            <w:r>
              <w:rPr/>
              <w:t>​</w:t>
            </w:r>
          </w:p>
        </w:tc>
        <w:tc>
          <w:tcPr>
            <w:tcW w:w="97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Stock </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61" w:type="dxa"/>
            <w:tcBorders/>
            <w:vAlign w:val="center"/>
          </w:tcPr>
          <w:p>
            <w:pPr>
              <w:pStyle w:val="TableContents"/>
              <w:bidi w:val="0"/>
              <w:spacing w:before="0" w:after="1"/>
              <w:ind w:left="0" w:right="0" w:hanging="0"/>
              <w:jc w:val="center"/>
              <w:rPr/>
            </w:pPr>
            <w:r>
              <w:rPr/>
              <w:t>​</w:t>
            </w:r>
          </w:p>
        </w:tc>
        <w:tc>
          <w:tcPr>
            <w:tcW w:w="62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408" w:type="dxa"/>
            <w:tcBorders/>
            <w:vAlign w:val="center"/>
          </w:tcPr>
          <w:p>
            <w:pPr>
              <w:pStyle w:val="TableContents"/>
              <w:bidi w:val="0"/>
              <w:spacing w:before="0" w:after="1"/>
              <w:ind w:left="0" w:right="0" w:hanging="0"/>
              <w:jc w:val="center"/>
              <w:rPr/>
            </w:pPr>
            <w:r>
              <w:rPr/>
              <w:t> </w:t>
            </w:r>
          </w:p>
        </w:tc>
      </w:tr>
      <w:tr>
        <w:trPr/>
        <w:tc>
          <w:tcPr>
            <w:tcW w:w="3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61" w:type="dxa"/>
            <w:tcBorders/>
            <w:vAlign w:val="center"/>
          </w:tcPr>
          <w:p>
            <w:pPr>
              <w:pStyle w:val="TableContents"/>
              <w:bidi w:val="0"/>
              <w:spacing w:before="0" w:after="1"/>
              <w:ind w:left="0" w:right="0" w:hanging="0"/>
              <w:jc w:val="center"/>
              <w:rPr/>
            </w:pPr>
            <w:r>
              <w:rPr/>
              <w:t>​</w:t>
            </w:r>
          </w:p>
        </w:tc>
        <w:tc>
          <w:tcPr>
            <w:tcW w:w="97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Beneficially </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of </w:t>
            </w:r>
          </w:p>
        </w:tc>
        <w:tc>
          <w:tcPr>
            <w:tcW w:w="361" w:type="dxa"/>
            <w:tcBorders/>
            <w:vAlign w:val="center"/>
          </w:tcPr>
          <w:p>
            <w:pPr>
              <w:pStyle w:val="TableContents"/>
              <w:bidi w:val="0"/>
              <w:spacing w:before="0" w:after="1"/>
              <w:ind w:left="0" w:right="0" w:hanging="0"/>
              <w:jc w:val="center"/>
              <w:rPr/>
            </w:pPr>
            <w:r>
              <w:rPr/>
              <w:t>​</w:t>
            </w:r>
          </w:p>
        </w:tc>
        <w:tc>
          <w:tcPr>
            <w:tcW w:w="62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Voting </w:t>
            </w:r>
          </w:p>
        </w:tc>
        <w:tc>
          <w:tcPr>
            <w:tcW w:w="408" w:type="dxa"/>
            <w:tcBorders/>
            <w:vAlign w:val="center"/>
          </w:tcPr>
          <w:p>
            <w:pPr>
              <w:pStyle w:val="TableContents"/>
              <w:bidi w:val="0"/>
              <w:spacing w:before="0" w:after="1"/>
              <w:ind w:left="0" w:right="0" w:hanging="0"/>
              <w:jc w:val="center"/>
              <w:rPr/>
            </w:pPr>
            <w:r>
              <w:rPr/>
              <w:t> </w:t>
            </w:r>
          </w:p>
        </w:tc>
      </w:tr>
      <w:tr>
        <w:trPr/>
        <w:tc>
          <w:tcPr>
            <w:tcW w:w="3716" w:type="dxa"/>
            <w:tcBorders>
              <w:bottom w:val="single" w:sz="2" w:space="0" w:color="000000"/>
            </w:tcBorders>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Name and Address of Beneficial Owner</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Owned</w:t>
            </w:r>
          </w:p>
        </w:tc>
        <w:tc>
          <w:tcPr>
            <w:tcW w:w="32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w:t>
            </w:r>
          </w:p>
        </w:tc>
        <w:tc>
          <w:tcPr>
            <w:tcW w:w="361" w:type="dxa"/>
            <w:tcBorders/>
            <w:vAlign w:val="center"/>
          </w:tcPr>
          <w:p>
            <w:pPr>
              <w:pStyle w:val="TableContents"/>
              <w:bidi w:val="0"/>
              <w:spacing w:before="0" w:after="1"/>
              <w:ind w:left="0" w:right="0" w:hanging="0"/>
              <w:jc w:val="center"/>
              <w:rPr/>
            </w:pPr>
            <w:r>
              <w:rPr/>
              <w:t>​</w:t>
            </w:r>
          </w:p>
        </w:tc>
        <w:tc>
          <w:tcPr>
            <w:tcW w:w="97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2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w:t>
            </w:r>
          </w:p>
        </w:tc>
        <w:tc>
          <w:tcPr>
            <w:tcW w:w="361" w:type="dxa"/>
            <w:tcBorders/>
            <w:vAlign w:val="center"/>
          </w:tcPr>
          <w:p>
            <w:pPr>
              <w:pStyle w:val="TableContents"/>
              <w:bidi w:val="0"/>
              <w:spacing w:before="0" w:after="1"/>
              <w:ind w:left="0" w:right="0" w:hanging="0"/>
              <w:jc w:val="center"/>
              <w:rPr/>
            </w:pPr>
            <w:r>
              <w:rPr/>
              <w:t>​</w:t>
            </w:r>
          </w:p>
        </w:tc>
        <w:tc>
          <w:tcPr>
            <w:tcW w:w="6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Power</w:t>
            </w:r>
          </w:p>
        </w:tc>
        <w:tc>
          <w:tcPr>
            <w:tcW w:w="408" w:type="dxa"/>
            <w:tcBorders/>
            <w:vAlign w:val="center"/>
          </w:tcPr>
          <w:p>
            <w:pPr>
              <w:pStyle w:val="TableContents"/>
              <w:bidi w:val="0"/>
              <w:spacing w:before="0" w:after="1"/>
              <w:ind w:left="0" w:right="0" w:hanging="0"/>
              <w:jc w:val="center"/>
              <w:rPr/>
            </w:pPr>
            <w:r>
              <w:rPr/>
              <w:t> </w:t>
            </w:r>
          </w:p>
        </w:tc>
      </w:tr>
      <w:tr>
        <w:trPr/>
        <w:tc>
          <w:tcPr>
            <w:tcW w:w="37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5% Stockholders</w:t>
            </w:r>
          </w:p>
        </w:tc>
        <w:tc>
          <w:tcPr>
            <w:tcW w:w="326" w:type="dxa"/>
            <w:tcBorders/>
            <w:shd w:fill="CCEEFF" w:val="clear"/>
            <w:vAlign w:val="center"/>
          </w:tcPr>
          <w:p>
            <w:pPr>
              <w:pStyle w:val="TableContents"/>
              <w:bidi w:val="0"/>
              <w:spacing w:before="0" w:after="1"/>
              <w:ind w:left="0" w:right="0" w:hanging="0"/>
              <w:jc w:val="center"/>
              <w:rPr/>
            </w:pPr>
            <w:r>
              <w:rPr/>
              <w:t>​</w:t>
            </w:r>
          </w:p>
        </w:tc>
        <w:tc>
          <w:tcPr>
            <w:tcW w:w="94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center"/>
              <w:rPr/>
            </w:pPr>
            <w:r>
              <w:rPr/>
              <w:t>​</w:t>
            </w:r>
          </w:p>
        </w:tc>
        <w:tc>
          <w:tcPr>
            <w:tcW w:w="97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center"/>
              <w:rPr/>
            </w:pPr>
            <w:r>
              <w:rPr/>
              <w:t>​</w:t>
            </w:r>
          </w:p>
        </w:tc>
        <w:tc>
          <w:tcPr>
            <w:tcW w:w="629" w:type="dxa"/>
            <w:tcBorders/>
            <w:shd w:fill="CCEEFF" w:val="clear"/>
            <w:vAlign w:val="center"/>
          </w:tcPr>
          <w:p>
            <w:pPr>
              <w:pStyle w:val="TableContents"/>
              <w:bidi w:val="0"/>
              <w:spacing w:before="0" w:after="1"/>
              <w:ind w:left="0" w:right="0" w:hanging="0"/>
              <w:jc w:val="center"/>
              <w:rPr/>
            </w:pPr>
            <w:r>
              <w:rPr/>
              <w:t>​</w:t>
            </w:r>
          </w:p>
        </w:tc>
        <w:tc>
          <w:tcPr>
            <w:tcW w:w="408" w:type="dxa"/>
            <w:tcBorders/>
            <w:shd w:fill="CCEEFF" w:val="clear"/>
            <w:vAlign w:val="center"/>
          </w:tcPr>
          <w:p>
            <w:pPr>
              <w:pStyle w:val="TableContents"/>
              <w:bidi w:val="0"/>
              <w:spacing w:before="0" w:after="1"/>
              <w:ind w:left="0" w:right="0" w:hanging="0"/>
              <w:jc w:val="center"/>
              <w:rPr/>
            </w:pPr>
            <w:r>
              <w:rPr/>
              <w:t>​</w:t>
            </w:r>
          </w:p>
        </w:tc>
      </w:tr>
      <w:tr>
        <w:trPr/>
        <w:tc>
          <w:tcPr>
            <w:tcW w:w="37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Iroquois Capital Investment Group, LLC</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276,313</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2,775</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4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Iroquois Master Fund Ltd.(3)</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274,801</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4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XWEL INV I, LLC</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515,090</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w:t>
            </w:r>
          </w:p>
        </w:tc>
        <w:tc>
          <w:tcPr>
            <w:tcW w:w="4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CPC Pain &amp; Wellness SPV, LLC</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394,200</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w:t>
            </w:r>
          </w:p>
        </w:tc>
        <w:tc>
          <w:tcPr>
            <w:tcW w:w="4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Named Executive Officers and Directors</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right"/>
              <w:rPr/>
            </w:pPr>
            <w:r>
              <w:rPr/>
              <w:t>​</w:t>
            </w:r>
          </w:p>
        </w:tc>
        <w:tc>
          <w:tcPr>
            <w:tcW w:w="408" w:type="dxa"/>
            <w:tcBorders/>
            <w:vAlign w:val="center"/>
          </w:tcPr>
          <w:p>
            <w:pPr>
              <w:pStyle w:val="TableContents"/>
              <w:bidi w:val="0"/>
              <w:spacing w:before="0" w:after="1"/>
              <w:ind w:left="0" w:right="0" w:hanging="0"/>
              <w:jc w:val="left"/>
              <w:rPr/>
            </w:pPr>
            <w:r>
              <w:rPr/>
              <w:t>​</w:t>
            </w:r>
          </w:p>
        </w:tc>
      </w:tr>
      <w:tr>
        <w:trPr/>
        <w:tc>
          <w:tcPr>
            <w:tcW w:w="3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Scott R. Milford</w:t>
            </w:r>
            <w:r>
              <w:rPr>
                <w:rFonts w:ascii="Times New Roman;Times;serif" w:hAnsi="Times New Roman;Times;serif"/>
                <w:b/>
                <w:sz w:val="15"/>
              </w:rPr>
              <w:t xml:space="preserve">(6) </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60,660</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8" w:type="dxa"/>
            <w:tcBorders/>
            <w:shd w:fill="CCEEFF" w:val="clear"/>
            <w:vAlign w:val="center"/>
          </w:tcPr>
          <w:p>
            <w:pPr>
              <w:pStyle w:val="TableContents"/>
              <w:bidi w:val="0"/>
              <w:spacing w:before="0" w:after="1"/>
              <w:ind w:left="0" w:right="0" w:hanging="0"/>
              <w:jc w:val="left"/>
              <w:rPr/>
            </w:pPr>
            <w:r>
              <w:rPr/>
              <w:t>​</w:t>
            </w:r>
          </w:p>
        </w:tc>
      </w:tr>
      <w:tr>
        <w:trPr/>
        <w:tc>
          <w:tcPr>
            <w:tcW w:w="37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Suzanne A. Scrabis</w:t>
            </w:r>
            <w:r>
              <w:rPr>
                <w:rFonts w:ascii="Times New Roman;Times;serif" w:hAnsi="Times New Roman;Times;serif"/>
                <w:sz w:val="15"/>
              </w:rPr>
              <w:t>(7)</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18,750</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8" w:type="dxa"/>
            <w:tcBorders/>
            <w:vAlign w:val="center"/>
          </w:tcPr>
          <w:p>
            <w:pPr>
              <w:pStyle w:val="TableContents"/>
              <w:bidi w:val="0"/>
              <w:spacing w:before="0" w:after="1"/>
              <w:ind w:left="0" w:right="0" w:hanging="0"/>
              <w:jc w:val="left"/>
              <w:rPr/>
            </w:pPr>
            <w:r>
              <w:rPr/>
              <w:t>​</w:t>
            </w:r>
          </w:p>
        </w:tc>
      </w:tr>
      <w:tr>
        <w:trPr/>
        <w:tc>
          <w:tcPr>
            <w:tcW w:w="3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Ezra T. Ernst</w:t>
            </w:r>
            <w:r>
              <w:rPr>
                <w:rFonts w:ascii="Times New Roman;Times;serif" w:hAnsi="Times New Roman;Times;serif"/>
                <w:sz w:val="15"/>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109,463</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4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Bruce T. Bernstein</w:t>
            </w:r>
            <w:r>
              <w:rPr>
                <w:rFonts w:ascii="Times New Roman;Times;serif" w:hAnsi="Times New Roman;Times;serif"/>
                <w:sz w:val="15"/>
              </w:rPr>
              <w:t>(9)</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125,504</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c>
          <w:tcPr>
            <w:tcW w:w="4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Gaëlle Wizenberg</w:t>
            </w:r>
            <w:r>
              <w:rPr>
                <w:rFonts w:ascii="Times New Roman;Times;serif" w:hAnsi="Times New Roman;Times;serif"/>
                <w:sz w:val="15"/>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23,519</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1"/>
              <w:ind w:left="0" w:right="0" w:hanging="0"/>
              <w:jc w:val="left"/>
              <w:rPr/>
            </w:pPr>
            <w:r>
              <w:rPr/>
              <w:t>​</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8" w:type="dxa"/>
            <w:tcBorders/>
            <w:shd w:fill="CCEEFF" w:val="clear"/>
            <w:vAlign w:val="center"/>
          </w:tcPr>
          <w:p>
            <w:pPr>
              <w:pStyle w:val="TableContents"/>
              <w:bidi w:val="0"/>
              <w:spacing w:before="0" w:after="1"/>
              <w:ind w:left="0" w:right="0" w:hanging="0"/>
              <w:jc w:val="left"/>
              <w:rPr/>
            </w:pPr>
            <w:r>
              <w:rPr/>
              <w:t>​</w:t>
            </w:r>
          </w:p>
        </w:tc>
      </w:tr>
      <w:tr>
        <w:trPr/>
        <w:tc>
          <w:tcPr>
            <w:tcW w:w="37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Robert Weinstein</w:t>
            </w:r>
            <w:r>
              <w:rPr>
                <w:rFonts w:ascii="Times New Roman;Times;serif" w:hAnsi="Times New Roman;Times;serif"/>
                <w:sz w:val="15"/>
              </w:rPr>
              <w:t>(11)</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61,228</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8" w:type="dxa"/>
            <w:tcBorders/>
            <w:vAlign w:val="center"/>
          </w:tcPr>
          <w:p>
            <w:pPr>
              <w:pStyle w:val="TableContents"/>
              <w:bidi w:val="0"/>
              <w:spacing w:before="0" w:after="1"/>
              <w:ind w:left="0" w:right="0" w:hanging="0"/>
              <w:jc w:val="left"/>
              <w:rPr/>
            </w:pPr>
            <w:r>
              <w:rPr/>
              <w:t>​</w:t>
            </w:r>
          </w:p>
        </w:tc>
      </w:tr>
      <w:tr>
        <w:trPr/>
        <w:tc>
          <w:tcPr>
            <w:tcW w:w="3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Michael Lebowitz</w:t>
            </w:r>
            <w:r>
              <w:rPr>
                <w:rFonts w:ascii="Times New Roman;Times;serif" w:hAnsi="Times New Roman;Times;serif"/>
                <w:sz w:val="15"/>
              </w:rPr>
              <w:t>(12)</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56,989</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8" w:type="dxa"/>
            <w:tcBorders/>
            <w:shd w:fill="CCEEFF" w:val="clear"/>
            <w:vAlign w:val="center"/>
          </w:tcPr>
          <w:p>
            <w:pPr>
              <w:pStyle w:val="TableContents"/>
              <w:bidi w:val="0"/>
              <w:spacing w:before="0" w:after="1"/>
              <w:ind w:left="0" w:right="0" w:hanging="0"/>
              <w:jc w:val="left"/>
              <w:rPr/>
            </w:pPr>
            <w:r>
              <w:rPr/>
              <w:t>​</w:t>
            </w:r>
          </w:p>
        </w:tc>
      </w:tr>
      <w:tr>
        <w:trPr/>
        <w:tc>
          <w:tcPr>
            <w:tcW w:w="37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Omar A. Haynes</w:t>
            </w:r>
            <w:r>
              <w:rPr>
                <w:rFonts w:ascii="Times New Roman;Times;serif" w:hAnsi="Times New Roman;Times;serif"/>
                <w:sz w:val="15"/>
              </w:rPr>
              <w:t>(13)</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5,466</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8" w:type="dxa"/>
            <w:tcBorders/>
            <w:vAlign w:val="center"/>
          </w:tcPr>
          <w:p>
            <w:pPr>
              <w:pStyle w:val="TableContents"/>
              <w:bidi w:val="0"/>
              <w:spacing w:before="0" w:after="1"/>
              <w:ind w:left="0" w:right="0" w:hanging="0"/>
              <w:jc w:val="left"/>
              <w:rPr/>
            </w:pPr>
            <w:r>
              <w:rPr/>
              <w:t>​</w:t>
            </w:r>
          </w:p>
        </w:tc>
      </w:tr>
      <w:tr>
        <w:trPr/>
        <w:tc>
          <w:tcPr>
            <w:tcW w:w="3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 directors and executive officers as a group (9 persons)</w:t>
            </w:r>
            <w:r>
              <w:rPr>
                <w:rFonts w:ascii="Times New Roman;Times;serif" w:hAnsi="Times New Roman;Times;serif"/>
                <w:b/>
                <w:sz w:val="15"/>
              </w:rPr>
              <w:t>(14)</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498,579</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w:t>
            </w:r>
          </w:p>
        </w:tc>
        <w:tc>
          <w:tcPr>
            <w:tcW w:w="4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tbl>
      <w:tblPr>
        <w:tblW w:w="1457" w:type="dxa"/>
        <w:jc w:val="left"/>
        <w:tblInd w:w="0" w:type="dxa"/>
        <w:tblLayout w:type="fixed"/>
        <w:tblCellMar>
          <w:top w:w="0" w:type="dxa"/>
          <w:left w:w="0" w:type="dxa"/>
          <w:bottom w:w="0" w:type="dxa"/>
          <w:right w:w="0" w:type="dxa"/>
        </w:tblCellMar>
      </w:tblPr>
      <w:tblGrid>
        <w:gridCol w:w="226"/>
        <w:gridCol w:w="1231"/>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Less than 1%</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set forth in the column “Number of Shares of Common stock Beneficially Owned” reflect the application of various limitations on the issuance of the shares of Common Stock issuable upon conversion of the Series G Preferred Stock and the shares of common stock issuable upon exercise of certain outstanding warrants issued on January 14, 2025 (the “January 2025 Warrants”) in the Certificate of Designations of the Series G Preferred Stock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January 2025 Warrants, respectively, including beneficial ownership limitations and limitations under the rules or regulations of Nasdaq. The information in the table above and in the following footnotes reflects information available to us as of April 1X, 2025.</w:t>
            </w:r>
          </w:p>
        </w:tc>
      </w:tr>
    </w:tbl>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A total of 5,261,024 shares of our Common Stock are considered to be outstanding pursuant to SEC Rule 13d-3(d)(1) as of the Record Date and 4,000 shares of Preferred Stock are outstanding as of the Record Date, which such outstanding shares of Series G Preferred Stock as of the Record Date are entitled to an aggregate of approximately 551,114 votes, voting on an as-converted basis, pursuant to the terms of the Certificate of Designations.</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276,313 shares of Common Stock issuable upon the conversion of shares of Series G Preferred Stock and (ii) Warrants to purchase up to an aggregate of 1,854,947 shares of Common Stock. The shares of Series G Preferred Stock and the Warrants held by ICIG are subject to a 4.99% beneficial ownership blocker.</w:t>
            </w:r>
          </w:p>
        </w:tc>
      </w:tr>
    </w:tbl>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The shares are held directly by ICIG. Richard Abbe is the managing member of ICIG. Mr. Abbe has voting control and investment discretion over securities held by ICIG. As such, Mr. Abbe may be deemed to be the beneficial owner (as determined under Section 13(d) of the Exchange Act) of the securities held by ICIG. Mr. Abbe disclaims beneficial ownership over the securities listed except to the extent of his pecuniary interest therein. ICIG’s address is 2 Overhill Road, Suite 400, Scarsdale, NY 10583.</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28,791 shares of Common Stock, (ii) 246,010 shares of Common Stock issuable upon the conversion of shares of Series G Preferred Stock, and (iii) Warrants to purchase up to an aggregate of 818,850 shares of Common Stock. The shares of Series G Preferred Stock and the Warrants held by IMF are subject to a 4.99% beneficial ownership blocker.</w:t>
            </w:r>
          </w:p>
        </w:tc>
      </w:tr>
    </w:tbl>
    <w:p>
      <w:pPr>
        <w:pStyle w:val="TextBody"/>
        <w:bidi w:val="0"/>
        <w:spacing w:before="0" w:after="160"/>
        <w:ind w:left="360" w:right="0" w:hanging="0"/>
        <w:jc w:val="both"/>
        <w:rPr>
          <w:rFonts w:ascii="Times New Roman;Times;serif" w:hAnsi="Times New Roman;Times;serif"/>
          <w:sz w:val="20"/>
        </w:rPr>
      </w:pPr>
      <w:r>
        <w:rPr>
          <w:rFonts w:ascii="Times New Roman;Times;serif" w:hAnsi="Times New Roman;Times;serif"/>
          <w:sz w:val="20"/>
        </w:rPr>
        <w:t>The shares are held directly by IMF. Iroquois Capital Management, LLC is the investment manager of IMF. Iroquois Capital Management, LLC has voting control and investment discretion over securities held by IMF. As Managing Members of Iroquois Capital Management, LLC, Richard Abbe and Kimberly Page make voting and investment decisions on behalf of Iroquois Capital Management, LLC in its capacity as investment manager to IMF. As a result of the foregoing, Mr. Abbe and Mrs. Page may be deemed to have beneficial ownership (as determined under Section 13(d) of the Exchange Act) of the securities held by Iroquois Capital Management and IMF. Each of Iroquois Capital Management, LLC, Mr. Abbe and Ms. Page disclaims beneficial ownership over the securities listed except to the extent of their pecuniary interest therein. IMF’s address is 2 Overhill Road, Suite 400, Scarsdale, NY 10583.</w:t>
      </w:r>
    </w:p>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information contained in a Schedule 13G filed on August 9, 2024 by XWEL INV I, LLC. XWEL INV I, LLC’s address is 400 Park Avenue, 4th Floor, New York, New York 10022.</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information contained in a Schedule 13D/A filed on August 13, 2024 by CPC Pain &amp; Wellness SPV, LLC (“CPC”). CPC’s address is 301 Edgewater Place, Suite 100 Wakefield, Massachusetts 01880.</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2,058 shares of Common Stock and options to purchase 58,602 shares of Common Stock, which are exercisable within 60 days of April 28, 2025.</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5,000 restricted stock units (“RSUs”) and options to purchase 13,750 shares of Common Stock, which are exercisable within 60 days of April 28, 2025.</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31,130 shares of Common Stock and options to purchase 78,333 shares of Common Stock, which are exercisable within 60 days of April 28, 2025.</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38,956 shares of Common Stock and options to purchase 86,548 shares of Common Stock, which are exercisable within 60 days of April 28, 2025.</w:t>
            </w:r>
          </w:p>
        </w:tc>
      </w:tr>
    </w:tbl>
    <w:tbl>
      <w:tblPr>
        <w:tblW w:w="10205" w:type="dxa"/>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1,500 shares of Common Stock and options to purchase 22,019 shares of Common Stock, which are exercisable within 60 days of April 28, 2025.</w:t>
            </w:r>
          </w:p>
        </w:tc>
      </w:tr>
    </w:tbl>
    <w:tbl>
      <w:tblPr>
        <w:tblW w:w="10205" w:type="dxa"/>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7,824 shares of Common Stock and options to purchase 53,404 shares of Common Stock, which are exercisable within 60 days of April 28, 2025.</w:t>
            </w:r>
          </w:p>
        </w:tc>
      </w:tr>
    </w:tbl>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7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12,974 vested shares of Common Stock and options to purchase 44,015 shares of Common Stock, which are exercisable within 60 days of April 28,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232" w:type="dxa"/>
        <w:jc w:val="left"/>
        <w:tblInd w:w="0" w:type="dxa"/>
        <w:tblLayout w:type="fixed"/>
        <w:tblCellMar>
          <w:top w:w="0" w:type="dxa"/>
          <w:left w:w="0" w:type="dxa"/>
          <w:bottom w:w="0" w:type="dxa"/>
          <w:right w:w="0" w:type="dxa"/>
        </w:tblCellMar>
      </w:tblPr>
      <w:tblGrid>
        <w:gridCol w:w="451"/>
        <w:gridCol w:w="6781"/>
      </w:tblGrid>
      <w:tr>
        <w:trPr/>
        <w:tc>
          <w:tcPr>
            <w:tcW w:w="4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6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5,466 RSUs.</w:t>
            </w:r>
          </w:p>
        </w:tc>
      </w:tr>
    </w:tbl>
    <w:tbl>
      <w:tblPr>
        <w:tblW w:w="3077" w:type="dxa"/>
        <w:jc w:val="left"/>
        <w:tblInd w:w="0" w:type="dxa"/>
        <w:tblLayout w:type="fixed"/>
        <w:tblCellMar>
          <w:top w:w="0" w:type="dxa"/>
          <w:left w:w="0" w:type="dxa"/>
          <w:bottom w:w="0" w:type="dxa"/>
          <w:right w:w="0" w:type="dxa"/>
        </w:tblCellMar>
      </w:tblPr>
      <w:tblGrid>
        <w:gridCol w:w="451"/>
        <w:gridCol w:w="2626"/>
      </w:tblGrid>
      <w:tr>
        <w:trPr/>
        <w:tc>
          <w:tcPr>
            <w:tcW w:w="4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26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footnotes (6) through (13).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69" w:name="ITEM13CERTAINRELATIONSHIPSANDRELATEDTRAN"/>
      <w:bookmarkStart w:id="70" w:name="_15a4d318_f810_46f5_873c_1d0c92bb5532"/>
      <w:bookmarkStart w:id="71" w:name="_Toc163832297"/>
      <w:bookmarkStart w:id="72" w:name="_ITEM_13._CERTAIN"/>
      <w:bookmarkEnd w:id="69"/>
      <w:bookmarkEnd w:id="70"/>
      <w:bookmarkEnd w:id="71"/>
      <w:bookmarkEnd w:id="72"/>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Related Person Transactions Approval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related party transactions must be approved by our Audit Committee or a majority of our independent directors who do not have an interest in the transaction and who will have access, at our expense, to our independent legal counsel.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Transactions with Related Persons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Director Independence and Committee Qualifications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Board of Directors has reviewed the materiality of any relationship that each of our directors has with us, either directly or indirectly. Based upon this review, we believe that Messrs. Bernstein, Weinstein, Lebowitz and Mme. Wizenberg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3" w:name="ITEM14PRINCIPALACCOUNTANTFEESANDSERVICES"/>
      <w:bookmarkStart w:id="74" w:name="_08959908_aa5b_4601_973b_f17f70ddec66"/>
      <w:bookmarkStart w:id="75" w:name="_Toc163832298"/>
      <w:bookmarkStart w:id="76" w:name="_ITEM_14._PRINCIPAL"/>
      <w:bookmarkEnd w:id="73"/>
      <w:bookmarkEnd w:id="74"/>
      <w:bookmarkEnd w:id="75"/>
      <w:bookmarkEnd w:id="76"/>
      <w:r>
        <w:rPr>
          <w:rFonts w:ascii="Times New Roman;Times;serif" w:hAnsi="Times New Roman;Times;serif"/>
          <w:b/>
          <w:sz w:val="20"/>
        </w:rPr>
        <w:t>ITEM 14. PRINCIPAL ACCOUNTANT FEES AND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4, 2020, we approved the engagement of Friedman LLP (“Friedman”) as our independent registered public accounting firm for the fiscal year ended December 31, 2020. This selection was ratified by our stockholders at the 2020, 2021, 2022 and 2023 annual meetings held on October 28, 2020, September 30, 2021 October 4, 2022 and August 22, 2023. In deciding to select Friedman, the Audit Committee carefully considered the qualifications of Friedman, including their reputation for integrity, quality, and competence in the fields of accounting and auditing. Effective September 1, 2022, Friedman combined with Marcum LLP (“Marcum”), and Marcum became our auditors as of October 4, 2022, following the approval of their engagement by our Audit Committee. Further, the Audit Committee reviewed auditor independence issues and existing commercial relationships with Marcum. The Audit Committee concluded that independence of Marcum was not impaired for the fiscal years ended December 31, 2024, and 2023. For the fiscal years ended December 31, 2024, and 2023, we incurred the following fees for the services of Marcum:</w:t>
      </w:r>
    </w:p>
    <w:tbl>
      <w:tblPr>
        <w:tblW w:w="4467" w:type="dxa"/>
        <w:jc w:val="left"/>
        <w:tblInd w:w="0" w:type="dxa"/>
        <w:tblLayout w:type="fixed"/>
        <w:tblCellMar>
          <w:top w:w="0" w:type="dxa"/>
          <w:left w:w="0" w:type="dxa"/>
          <w:bottom w:w="0" w:type="dxa"/>
          <w:right w:w="0" w:type="dxa"/>
        </w:tblCellMar>
      </w:tblPr>
      <w:tblGrid>
        <w:gridCol w:w="1726"/>
        <w:gridCol w:w="326"/>
        <w:gridCol w:w="211"/>
        <w:gridCol w:w="781"/>
        <w:gridCol w:w="326"/>
        <w:gridCol w:w="211"/>
        <w:gridCol w:w="886"/>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096010" cy="175260"/>
                      <wp:effectExtent l="0" t="0" r="0" b="0"/>
                      <wp:wrapNone/>
                      <wp:docPr id="66" name="Frame66"/>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95935" cy="175260"/>
                      <wp:effectExtent l="0" t="0" r="0" b="0"/>
                      <wp:wrapNone/>
                      <wp:docPr id="69" name="Frame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62610" cy="175260"/>
                      <wp:effectExtent l="0" t="0" r="0" b="0"/>
                      <wp:wrapNone/>
                      <wp:docPr id="72" name="Frame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7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Marcum:</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center"/>
              <w:rPr/>
            </w:pPr>
            <w:r>
              <w:rPr/>
              <w:t>​</w:t>
            </w:r>
          </w:p>
        </w:tc>
      </w:tr>
      <w:tr>
        <w:trPr/>
        <w:tc>
          <w:tcPr>
            <w:tcW w:w="17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7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503,900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567,070</w:t>
            </w:r>
          </w:p>
        </w:tc>
      </w:tr>
      <w:tr>
        <w:trPr/>
        <w:tc>
          <w:tcPr>
            <w:tcW w:w="17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Audit-related fees</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120,915</w:t>
            </w:r>
          </w:p>
        </w:tc>
      </w:tr>
      <w:tr>
        <w:trPr/>
        <w:tc>
          <w:tcPr>
            <w:tcW w:w="17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7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7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613,480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687,985</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tc>
      </w:tr>
    </w:tbl>
    <w:tbl>
      <w:tblPr>
        <w:tblW w:w="7232" w:type="dxa"/>
        <w:jc w:val="left"/>
        <w:tblInd w:w="0" w:type="dxa"/>
        <w:tblLayout w:type="fixed"/>
        <w:tblCellMar>
          <w:top w:w="0" w:type="dxa"/>
          <w:left w:w="0" w:type="dxa"/>
          <w:bottom w:w="0" w:type="dxa"/>
          <w:right w:w="0" w:type="dxa"/>
        </w:tblCellMar>
      </w:tblPr>
      <w:tblGrid>
        <w:gridCol w:w="346"/>
        <w:gridCol w:w="68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includes fees for benefit plan audits and lease compliance audits.</w:t>
            </w:r>
          </w:p>
        </w:tc>
      </w:tr>
    </w:tbl>
    <w:tbl>
      <w:tblPr>
        <w:tblW w:w="8192" w:type="dxa"/>
        <w:jc w:val="left"/>
        <w:tblInd w:w="0" w:type="dxa"/>
        <w:tblLayout w:type="fixed"/>
        <w:tblCellMar>
          <w:top w:w="0" w:type="dxa"/>
          <w:left w:w="0" w:type="dxa"/>
          <w:bottom w:w="0" w:type="dxa"/>
          <w:right w:w="0" w:type="dxa"/>
        </w:tblCellMar>
      </w:tblPr>
      <w:tblGrid>
        <w:gridCol w:w="346"/>
        <w:gridCol w:w="784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8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consist of fees for tax services, including tax compliance, tax advice and tax planning.</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in this category pertain to fees billed for products and services provided by Marcum, other than the services reported in the categories above.</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Pre-Approval Policies and Procedures Audit and Non-Audit Services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for the years ended December 31, 2024 and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7" w:name="PARTIV_400112"/>
      <w:bookmarkStart w:id="78" w:name="_d3f7a047_9c47_43f0_b29e_5435a5c37615"/>
      <w:bookmarkEnd w:id="77"/>
      <w:bookmarkEnd w:id="78"/>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79" w:name="ITEM15_592887"/>
      <w:bookmarkEnd w:id="79"/>
      <w:r>
        <w:rPr>
          <w:rFonts w:ascii="Times New Roman;Times;serif" w:hAnsi="Times New Roman;Times;serif"/>
          <w:b/>
          <w:sz w:val="20"/>
        </w:rPr>
        <w:t>ITEM 15. EXHIBITS AND FINANCIAL STATEMENT SCHEDULES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(a)(1)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No financial statements are filed with this 10-K/A. These items were included as part of the Original Filing.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(a)(2)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(a)(3)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10-K/A from the Original Filing.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Exhibits Index</w:t>
      </w:r>
    </w:p>
    <w:p>
      <w:pPr>
        <w:pStyle w:val="Normal"/>
        <w:bidi w:val="0"/>
        <w:spacing w:before="0" w:after="0"/>
        <w:jc w:val="left"/>
        <w:rPr>
          <w:sz w:val="4"/>
          <w:szCs w:val="4"/>
        </w:rPr>
      </w:pPr>
      <w:r>
        <w:rPr>
          <w:sz w:val="4"/>
          <w:szCs w:val="4"/>
        </w:rPr>
      </w:r>
      <w:bookmarkStart w:id="80" w:name="BK_1_0"/>
      <w:bookmarkStart w:id="81" w:name="BK_1_0"/>
      <w:bookmarkEnd w:id="81"/>
    </w:p>
    <w:tbl>
      <w:tblPr>
        <w:tblW w:w="10205" w:type="dxa"/>
        <w:jc w:val="left"/>
        <w:tblInd w:w="0" w:type="dxa"/>
        <w:tblLayout w:type="fixed"/>
        <w:tblCellMar>
          <w:top w:w="0" w:type="dxa"/>
          <w:left w:w="0" w:type="dxa"/>
          <w:bottom w:w="28" w:type="dxa"/>
          <w:right w:w="0" w:type="dxa"/>
        </w:tblCellMar>
      </w:tblPr>
      <w:tblGrid>
        <w:gridCol w:w="943"/>
        <w:gridCol w:w="266"/>
        <w:gridCol w:w="8996"/>
      </w:tblGrid>
      <w:tr>
        <w:trPr/>
        <w:tc>
          <w:tcPr>
            <w:tcW w:w="943"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t xml:space="preserve"> </w:t>
            </w:r>
            <w:r>
              <w:rPr>
                <w:rFonts w:ascii="Times New Roman;Times;serif" w:hAnsi="Times New Roman;Times;serif"/>
                <w:b/>
                <w:sz w:val="20"/>
              </w:rPr>
              <w:t>No.</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89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943"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99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94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both"/>
              <w:rPr/>
            </w:pPr>
            <w:hyperlink w:anchor="xwel-20241231xex31d1.htm">
              <w:r>
                <w:rPr>
                  <w:rStyle w:val="InternetLink"/>
                  <w:rFonts w:ascii="Times New Roman;Times;serif" w:hAnsi="Times New Roman;Times;serif"/>
                  <w:b w:val="false"/>
                  <w:i w:val="false"/>
                  <w:caps w:val="false"/>
                  <w:smallCaps w:val="false"/>
                  <w:sz w:val="20"/>
                </w:rPr>
                <w:t>Certification of Principal Executive Officer pursuant to Exchange Act, Rules 13a – 14(a) and 15d – 14(a), as adopted pursuant to Section 302 of the Sarbanes-Oxley Act of 2002</w:t>
              </w:r>
            </w:hyperlink>
          </w:p>
        </w:tc>
      </w:tr>
      <w:tr>
        <w:trPr/>
        <w:tc>
          <w:tcPr>
            <w:tcW w:w="943"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both"/>
              <w:rPr/>
            </w:pPr>
            <w:r>
              <w:rPr/>
              <w:t>​</w:t>
            </w:r>
          </w:p>
        </w:tc>
      </w:tr>
      <w:tr>
        <w:trPr/>
        <w:tc>
          <w:tcPr>
            <w:tcW w:w="94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both"/>
              <w:rPr/>
            </w:pPr>
            <w:hyperlink w:anchor="xwel-20241231xex31d2.htm">
              <w:r>
                <w:rPr>
                  <w:rStyle w:val="InternetLink"/>
                  <w:rFonts w:ascii="Times New Roman;Times;serif" w:hAnsi="Times New Roman;Times;serif"/>
                  <w:b w:val="false"/>
                  <w:i w:val="false"/>
                  <w:caps w:val="false"/>
                  <w:smallCaps w:val="false"/>
                  <w:sz w:val="20"/>
                </w:rPr>
                <w:t>Certification of Principal Financial Officer pursuant to Exchange Act, Rules 13a – 14(a) and 15d – 14(a), as adopted pursuant to Section 302 of the Sarbanes-Oxley Act of 2002</w:t>
              </w:r>
            </w:hyperlink>
          </w:p>
        </w:tc>
      </w:tr>
      <w:tr>
        <w:trPr/>
        <w:tc>
          <w:tcPr>
            <w:tcW w:w="943"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left"/>
              <w:rPr/>
            </w:pPr>
            <w:r>
              <w:rPr/>
              <w:t>​</w:t>
            </w:r>
          </w:p>
        </w:tc>
      </w:tr>
      <w:tr>
        <w:trPr/>
        <w:tc>
          <w:tcPr>
            <w:tcW w:w="94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2" w:name="SIGNATURES_457177"/>
      <w:bookmarkStart w:id="83" w:name="_2bea76b9_46a7_430e_9af7_f9f4b328180d"/>
      <w:bookmarkStart w:id="84" w:name="_Toc163832303"/>
      <w:bookmarkEnd w:id="82"/>
      <w:bookmarkEnd w:id="83"/>
      <w:bookmarkEnd w:id="84"/>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Amendment No. 1 to Annual Report on Form 10-K/A to be signed on its behalf by the undersigned thereunto, duly authorized on the 28th day of April, 2025.</w:t>
      </w:r>
    </w:p>
    <w:tbl>
      <w:tblPr>
        <w:tblW w:w="3253" w:type="dxa"/>
        <w:jc w:val="left"/>
        <w:tblInd w:w="0" w:type="dxa"/>
        <w:tblLayout w:type="fixed"/>
        <w:tblCellMar>
          <w:top w:w="0" w:type="dxa"/>
          <w:left w:w="0" w:type="dxa"/>
          <w:bottom w:w="0" w:type="dxa"/>
          <w:right w:w="0" w:type="dxa"/>
        </w:tblCellMar>
      </w:tblPr>
      <w:tblGrid>
        <w:gridCol w:w="161"/>
        <w:gridCol w:w="496"/>
        <w:gridCol w:w="2596"/>
      </w:tblGrid>
      <w:tr>
        <w:trPr/>
        <w:tc>
          <w:tcPr>
            <w:tcW w:w="161" w:type="dxa"/>
            <w:tcBorders/>
            <w:vAlign w:val="center"/>
          </w:tcPr>
          <w:p>
            <w:pPr>
              <w:pStyle w:val="TableContents"/>
              <w:bidi w:val="0"/>
              <w:spacing w:before="0" w:after="0"/>
              <w:ind w:left="0" w:right="0" w:hanging="0"/>
              <w:jc w:val="left"/>
              <w:rPr/>
            </w:pPr>
            <w:r>
              <w:rPr/>
              <w:t> </w:t>
            </w:r>
          </w:p>
        </w:tc>
        <w:tc>
          <w:tcPr>
            <w:tcW w:w="309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XWELL, Inc.</w:t>
            </w:r>
          </w:p>
        </w:tc>
      </w:tr>
      <w:tr>
        <w:trPr/>
        <w:tc>
          <w:tcPr>
            <w:tcW w:w="161" w:type="dxa"/>
            <w:tcBorders/>
            <w:vAlign w:val="center"/>
          </w:tcPr>
          <w:p>
            <w:pPr>
              <w:pStyle w:val="TableContents"/>
              <w:bidi w:val="0"/>
              <w:spacing w:before="0" w:after="0"/>
              <w:ind w:left="0" w:right="0" w:hanging="0"/>
              <w:jc w:val="left"/>
              <w:rPr/>
            </w:pPr>
            <w:r>
              <w:rPr/>
              <w:t> </w:t>
            </w:r>
          </w:p>
        </w:tc>
        <w:tc>
          <w:tcPr>
            <w:tcW w:w="3092" w:type="dxa"/>
            <w:gridSpan w:val="2"/>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259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Ezra T. Ernst</w:t>
            </w:r>
          </w:p>
        </w:tc>
      </w:tr>
      <w:tr>
        <w:trPr/>
        <w:tc>
          <w:tcPr>
            <w:tcW w:w="161"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Ezra T. Ernst</w:t>
            </w:r>
          </w:p>
        </w:tc>
      </w:tr>
      <w:tr>
        <w:trPr/>
        <w:tc>
          <w:tcPr>
            <w:tcW w:w="161"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Executive Officer</w:t>
            </w:r>
          </w:p>
        </w:tc>
      </w:tr>
      <w:tr>
        <w:trPr/>
        <w:tc>
          <w:tcPr>
            <w:tcW w:w="161"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593" w:type="dxa"/>
        <w:jc w:val="left"/>
        <w:tblInd w:w="0" w:type="dxa"/>
        <w:tblLayout w:type="fixed"/>
        <w:tblCellMar>
          <w:top w:w="0" w:type="dxa"/>
          <w:left w:w="0" w:type="dxa"/>
          <w:bottom w:w="0" w:type="dxa"/>
          <w:right w:w="0" w:type="dxa"/>
        </w:tblCellMar>
      </w:tblPr>
      <w:tblGrid>
        <w:gridCol w:w="166"/>
        <w:gridCol w:w="496"/>
        <w:gridCol w:w="3931"/>
      </w:tblGrid>
      <w:tr>
        <w:trPr/>
        <w:tc>
          <w:tcPr>
            <w:tcW w:w="166" w:type="dxa"/>
            <w:tcBorders/>
            <w:vAlign w:val="center"/>
          </w:tcPr>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N Bro</w:t>
            </w:r>
          </w:p>
        </w:tc>
        <w:tc>
          <w:tcPr>
            <w:tcW w:w="49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283"/>
              <w:ind w:left="0" w:right="0" w:hanging="0"/>
              <w:jc w:val="left"/>
              <w:rPr>
                <w:sz w:val="4"/>
                <w:szCs w:val="4"/>
              </w:rPr>
            </w:pPr>
            <w:r>
              <w:rPr>
                <w:sz w:val="4"/>
                <w:szCs w:val="4"/>
              </w:rPr>
            </w:r>
          </w:p>
        </w:tc>
      </w:tr>
      <w:tr>
        <w:trPr/>
        <w:tc>
          <w:tcPr>
            <w:tcW w:w="166" w:type="dxa"/>
            <w:tcBorders/>
            <w:vAlign w:val="center"/>
          </w:tcPr>
          <w:p>
            <w:pPr>
              <w:pStyle w:val="TableContents"/>
              <w:bidi w:val="0"/>
              <w:spacing w:before="0" w:after="0"/>
              <w:ind w:left="0" w:right="0" w:hanging="0"/>
              <w:jc w:val="left"/>
              <w:rPr/>
            </w:pPr>
            <w:r>
              <w:rPr/>
              <w:t> </w:t>
            </w:r>
          </w:p>
        </w:tc>
        <w:tc>
          <w:tcPr>
            <w:tcW w:w="442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XWELL, Inc.</w:t>
            </w:r>
          </w:p>
        </w:tc>
      </w:tr>
      <w:tr>
        <w:trPr/>
        <w:tc>
          <w:tcPr>
            <w:tcW w:w="166" w:type="dxa"/>
            <w:tcBorders/>
            <w:vAlign w:val="center"/>
          </w:tcPr>
          <w:p>
            <w:pPr>
              <w:pStyle w:val="TableContents"/>
              <w:bidi w:val="0"/>
              <w:spacing w:before="0" w:after="0"/>
              <w:ind w:left="0" w:right="0" w:hanging="0"/>
              <w:jc w:val="left"/>
              <w:rPr/>
            </w:pPr>
            <w:r>
              <w:rPr/>
              <w:t> </w:t>
            </w:r>
          </w:p>
        </w:tc>
        <w:tc>
          <w:tcPr>
            <w:tcW w:w="4427" w:type="dxa"/>
            <w:gridSpan w:val="2"/>
            <w:tcBorders/>
            <w:vAlign w:val="center"/>
          </w:tcPr>
          <w:p>
            <w:pPr>
              <w:pStyle w:val="TableContents"/>
              <w:bidi w:val="0"/>
              <w:spacing w:before="0" w:after="0"/>
              <w:ind w:left="0" w:right="0" w:hanging="0"/>
              <w:jc w:val="left"/>
              <w:rPr/>
            </w:pPr>
            <w:r>
              <w:rPr/>
              <w:t> </w:t>
            </w:r>
          </w:p>
        </w:tc>
      </w:tr>
      <w:tr>
        <w:trPr/>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393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Ian Brown</w:t>
            </w:r>
          </w:p>
        </w:tc>
      </w:tr>
      <w:tr>
        <w:trPr/>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Ian Brown</w:t>
            </w:r>
          </w:p>
        </w:tc>
      </w:tr>
      <w:tr>
        <w:trPr/>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Financial Officer</w:t>
            </w:r>
          </w:p>
        </w:tc>
      </w:tr>
      <w:tr>
        <w:trPr/>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0"/>
        <w:ind w:left="0" w:right="0" w:hanging="0"/>
        <w:jc w:val="right"/>
        <w:rPr>
          <w:rFonts w:ascii="Times New Roman;Times;serif" w:hAnsi="Times New Roman;Times;serif"/>
          <w:b/>
          <w:sz w:val="20"/>
        </w:rPr>
      </w:pPr>
      <w:bookmarkStart w:id="85" w:name="xwel-20241231xex31d1.htm"/>
      <w:bookmarkStart w:id="86" w:name="ksxwel20241231xex31d1"/>
      <w:bookmarkEnd w:id="85"/>
      <w:bookmarkEnd w:id="86"/>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Ezra T. Ernst, certify that: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Amendment No. 1 to the Annual Report on Form 10-K of XWELL, Inc.;</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28, 2025</w:t>
      </w:r>
    </w:p>
    <w:p>
      <w:pPr>
        <w:pStyle w:val="TextBody"/>
        <w:bidi w:val="0"/>
        <w:spacing w:before="0" w:after="0"/>
        <w:ind w:left="0" w:right="0" w:hanging="0"/>
        <w:jc w:val="left"/>
        <w:rPr/>
      </w:pPr>
      <w:r>
        <w:rPr/>
        <w:t>​</w:t>
      </w:r>
    </w:p>
    <w:tbl>
      <w:tblPr>
        <w:tblW w:w="2611" w:type="dxa"/>
        <w:jc w:val="center"/>
        <w:tblInd w:w="0" w:type="dxa"/>
        <w:tblLayout w:type="fixed"/>
        <w:tblCellMar>
          <w:top w:w="0" w:type="dxa"/>
          <w:left w:w="0" w:type="dxa"/>
          <w:bottom w:w="0" w:type="dxa"/>
          <w:right w:w="0" w:type="dxa"/>
        </w:tblCellMar>
      </w:tblPr>
      <w:tblGrid>
        <w:gridCol w:w="2611"/>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p>
        </w:tc>
      </w:tr>
      <w:tr>
        <w:trPr/>
        <w:tc>
          <w:tcPr>
            <w:tcW w:w="26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EZRA T. ERNST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Executive Officer</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7" w:name="xwel-20241231xex31d2.htm"/>
      <w:bookmarkStart w:id="88" w:name="ksxwel20241231xex31d2"/>
      <w:bookmarkEnd w:id="87"/>
      <w:bookmarkEnd w:id="88"/>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Thomas Ian Brown, certify that: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Amendment No. 1 to the Annual Report on Form 10-K of XWELL,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28, 2025</w:t>
      </w:r>
    </w:p>
    <w:p>
      <w:pPr>
        <w:pStyle w:val="TextBody"/>
        <w:bidi w:val="0"/>
        <w:spacing w:before="0" w:after="0"/>
        <w:ind w:left="0" w:right="0" w:hanging="0"/>
        <w:jc w:val="left"/>
        <w:rPr/>
      </w:pPr>
      <w:r>
        <w:rPr/>
        <w:t>​</w:t>
      </w:r>
    </w:p>
    <w:tbl>
      <w:tblPr>
        <w:tblW w:w="3946" w:type="dxa"/>
        <w:jc w:val="center"/>
        <w:tblInd w:w="0" w:type="dxa"/>
        <w:tblLayout w:type="fixed"/>
        <w:tblCellMar>
          <w:top w:w="0" w:type="dxa"/>
          <w:left w:w="0" w:type="dxa"/>
          <w:bottom w:w="28" w:type="dxa"/>
          <w:right w:w="0" w:type="dxa"/>
        </w:tblCellMar>
      </w:tblPr>
      <w:tblGrid>
        <w:gridCol w:w="3946"/>
      </w:tblGrid>
      <w:tr>
        <w:trPr/>
        <w:tc>
          <w:tcPr>
            <w:tcW w:w="394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THOMAS IAN BROWN</w:t>
            </w:r>
          </w:p>
        </w:tc>
      </w:tr>
      <w:tr>
        <w:trPr/>
        <w:tc>
          <w:tcPr>
            <w:tcW w:w="3946" w:type="dxa"/>
            <w:tcBorders/>
            <w:tcMar>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Financial Officer</w:t>
            </w:r>
          </w:p>
        </w:tc>
      </w:tr>
      <w:tr>
        <w:trPr/>
        <w:tc>
          <w:tcPr>
            <w:tcW w:w="3946" w:type="dxa"/>
            <w:tcBorders/>
            <w:tcMar>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10362</Words>
  <Characters>55762</Characters>
  <CharactersWithSpaces>66459</CharactersWithSpaces>
  <Paragraphs>1699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